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6C7D" w:rsidRPr="006740E5" w:rsidRDefault="00C66C7D" w:rsidP="0022425B">
      <w:pPr>
        <w:tabs>
          <w:tab w:val="left" w:pos="-6379"/>
        </w:tabs>
        <w:spacing w:after="0"/>
        <w:ind w:firstLine="567"/>
        <w:jc w:val="center"/>
        <w:rPr>
          <w:rFonts w:ascii="Times New Roman" w:hAnsi="Times New Roman"/>
          <w:sz w:val="32"/>
          <w:szCs w:val="32"/>
        </w:rPr>
      </w:pPr>
      <w:r w:rsidRPr="006740E5">
        <w:rPr>
          <w:rFonts w:ascii="Times New Roman" w:hAnsi="Times New Roman"/>
          <w:sz w:val="32"/>
          <w:szCs w:val="32"/>
        </w:rPr>
        <w:t>MYKOLO ROMERIO UNIVERSITETAS</w:t>
      </w: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SOCIALINĖS INFORMATIKOS FAKULTETAS</w:t>
      </w:r>
    </w:p>
    <w:p w:rsidR="00C66C7D" w:rsidRPr="006740E5" w:rsidRDefault="00C66C7D" w:rsidP="0022425B">
      <w:pPr>
        <w:tabs>
          <w:tab w:val="left" w:pos="-6379"/>
        </w:tabs>
        <w:spacing w:after="0"/>
        <w:ind w:firstLine="567"/>
        <w:jc w:val="center"/>
        <w:rPr>
          <w:rFonts w:ascii="Times New Roman" w:hAnsi="Times New Roman"/>
          <w:sz w:val="24"/>
          <w:szCs w:val="24"/>
        </w:rPr>
      </w:pPr>
      <w:r w:rsidRPr="006740E5">
        <w:rPr>
          <w:rFonts w:ascii="Times New Roman" w:hAnsi="Times New Roman"/>
          <w:sz w:val="24"/>
          <w:szCs w:val="24"/>
        </w:rPr>
        <w:t>ELEKTRONINIO VERSLO KATEDRA</w:t>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1163EF" w:rsidRPr="006740E5" w:rsidRDefault="001163EF"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sz w:val="32"/>
          <w:szCs w:val="32"/>
        </w:rPr>
      </w:pPr>
      <w:r w:rsidRPr="006740E5">
        <w:rPr>
          <w:rFonts w:ascii="Times New Roman" w:hAnsi="Times New Roman"/>
          <w:sz w:val="32"/>
          <w:szCs w:val="32"/>
        </w:rPr>
        <w:t>RŪTA TAMOŠIŪNAITĖ</w:t>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312905" w:rsidRPr="006740E5" w:rsidRDefault="00312905" w:rsidP="003B6421">
      <w:pPr>
        <w:tabs>
          <w:tab w:val="left" w:pos="-6379"/>
          <w:tab w:val="left" w:pos="7938"/>
          <w:tab w:val="left" w:pos="8364"/>
        </w:tabs>
        <w:spacing w:after="0"/>
        <w:jc w:val="center"/>
        <w:rPr>
          <w:rFonts w:ascii="Times New Roman" w:hAnsi="Times New Roman"/>
          <w:sz w:val="40"/>
          <w:szCs w:val="40"/>
        </w:rPr>
      </w:pPr>
      <w:r w:rsidRPr="006740E5">
        <w:rPr>
          <w:rFonts w:ascii="Times New Roman" w:hAnsi="Times New Roman"/>
          <w:sz w:val="40"/>
          <w:szCs w:val="40"/>
        </w:rPr>
        <w:t xml:space="preserve">VALSTYBINĖS ĮMONĖS AB ,,LIETUVOS PAŠTAS‘‘ KONKURENCINGUMO DIDINIMAS </w:t>
      </w:r>
      <w:r w:rsidRPr="006740E5">
        <w:rPr>
          <w:rFonts w:ascii="Times New Roman" w:hAnsi="Times New Roman"/>
          <w:sz w:val="40"/>
          <w:szCs w:val="40"/>
        </w:rPr>
        <w:br/>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Magistro baigiamasis darbas</w:t>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3B6421">
      <w:pPr>
        <w:tabs>
          <w:tab w:val="left" w:pos="-6379"/>
        </w:tabs>
        <w:spacing w:after="0"/>
        <w:ind w:left="6521"/>
        <w:rPr>
          <w:rFonts w:ascii="Times New Roman" w:hAnsi="Times New Roman"/>
          <w:sz w:val="28"/>
          <w:szCs w:val="28"/>
        </w:rPr>
      </w:pPr>
      <w:r w:rsidRPr="006740E5">
        <w:rPr>
          <w:rFonts w:ascii="Times New Roman" w:hAnsi="Times New Roman"/>
          <w:sz w:val="28"/>
          <w:szCs w:val="28"/>
        </w:rPr>
        <w:t>Vadov</w:t>
      </w:r>
      <w:r w:rsidR="00377B1C" w:rsidRPr="006740E5">
        <w:rPr>
          <w:rFonts w:ascii="Times New Roman" w:hAnsi="Times New Roman"/>
          <w:sz w:val="28"/>
          <w:szCs w:val="28"/>
        </w:rPr>
        <w:t>ė</w:t>
      </w:r>
    </w:p>
    <w:p w:rsidR="00C66C7D" w:rsidRPr="006740E5" w:rsidRDefault="00C66C7D" w:rsidP="003B6421">
      <w:pPr>
        <w:tabs>
          <w:tab w:val="left" w:pos="-6379"/>
        </w:tabs>
        <w:spacing w:after="0"/>
        <w:ind w:left="6521"/>
        <w:rPr>
          <w:rFonts w:ascii="Times New Roman" w:hAnsi="Times New Roman"/>
          <w:sz w:val="28"/>
          <w:szCs w:val="28"/>
        </w:rPr>
      </w:pPr>
      <w:r w:rsidRPr="006740E5">
        <w:rPr>
          <w:rFonts w:ascii="Times New Roman" w:hAnsi="Times New Roman"/>
          <w:sz w:val="28"/>
          <w:szCs w:val="28"/>
        </w:rPr>
        <w:t>doc. dr. A. Skaržauskienė</w:t>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VILNIUS, 2010</w:t>
      </w:r>
    </w:p>
    <w:p w:rsidR="001A0D06" w:rsidRPr="006740E5" w:rsidRDefault="00C66C7D" w:rsidP="001A0D06">
      <w:pPr>
        <w:tabs>
          <w:tab w:val="left" w:pos="-6379"/>
        </w:tabs>
        <w:spacing w:after="0"/>
        <w:ind w:firstLine="567"/>
        <w:jc w:val="center"/>
        <w:rPr>
          <w:rFonts w:ascii="Times New Roman" w:hAnsi="Times New Roman"/>
          <w:sz w:val="32"/>
          <w:szCs w:val="32"/>
        </w:rPr>
      </w:pPr>
      <w:r w:rsidRPr="006740E5">
        <w:rPr>
          <w:rFonts w:ascii="Times New Roman" w:hAnsi="Times New Roman"/>
          <w:sz w:val="28"/>
          <w:szCs w:val="28"/>
        </w:rPr>
        <w:br w:type="page"/>
      </w:r>
      <w:r w:rsidR="001A0D06" w:rsidRPr="006740E5">
        <w:rPr>
          <w:rFonts w:ascii="Times New Roman" w:hAnsi="Times New Roman"/>
          <w:sz w:val="32"/>
          <w:szCs w:val="32"/>
        </w:rPr>
        <w:lastRenderedPageBreak/>
        <w:t>MYKOLO ROMERIO UNIVERSITETAS</w:t>
      </w:r>
    </w:p>
    <w:p w:rsidR="001A0D06" w:rsidRPr="006740E5" w:rsidRDefault="001A0D06" w:rsidP="001A0D06">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SOCIALINĖS INFORMATIKOS FAKULTETAS</w:t>
      </w:r>
    </w:p>
    <w:p w:rsidR="001A0D06" w:rsidRPr="006740E5" w:rsidRDefault="001A0D06" w:rsidP="001A0D06">
      <w:pPr>
        <w:tabs>
          <w:tab w:val="left" w:pos="-6379"/>
        </w:tabs>
        <w:spacing w:after="0"/>
        <w:ind w:firstLine="567"/>
        <w:jc w:val="center"/>
        <w:rPr>
          <w:rFonts w:ascii="Times New Roman" w:hAnsi="Times New Roman"/>
          <w:sz w:val="24"/>
          <w:szCs w:val="24"/>
        </w:rPr>
      </w:pPr>
      <w:r w:rsidRPr="006740E5">
        <w:rPr>
          <w:rFonts w:ascii="Times New Roman" w:hAnsi="Times New Roman"/>
          <w:sz w:val="24"/>
          <w:szCs w:val="24"/>
        </w:rPr>
        <w:t>ELEKTRONINIO VERSLO KATEDRA</w:t>
      </w:r>
    </w:p>
    <w:p w:rsidR="00C66C7D" w:rsidRPr="006740E5" w:rsidRDefault="00C66C7D" w:rsidP="001A0D06">
      <w:pPr>
        <w:tabs>
          <w:tab w:val="left" w:pos="-6379"/>
        </w:tabs>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6208D2" w:rsidRPr="006740E5" w:rsidRDefault="006208D2"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3B6421" w:rsidRPr="006740E5" w:rsidRDefault="003B6421" w:rsidP="003B6421">
      <w:pPr>
        <w:tabs>
          <w:tab w:val="left" w:pos="-6379"/>
          <w:tab w:val="left" w:pos="7938"/>
          <w:tab w:val="left" w:pos="8364"/>
        </w:tabs>
        <w:spacing w:after="0"/>
        <w:jc w:val="center"/>
        <w:rPr>
          <w:rFonts w:ascii="Times New Roman" w:hAnsi="Times New Roman"/>
          <w:sz w:val="40"/>
          <w:szCs w:val="40"/>
        </w:rPr>
      </w:pPr>
      <w:r w:rsidRPr="006740E5">
        <w:rPr>
          <w:rFonts w:ascii="Times New Roman" w:hAnsi="Times New Roman"/>
          <w:sz w:val="40"/>
          <w:szCs w:val="40"/>
        </w:rPr>
        <w:t xml:space="preserve">VALSTYBINĖS ĮMONĖS AB ,,LIETUVOS PAŠTAS‘‘ KONKURENCINGUMO DIDINIMAS </w:t>
      </w:r>
      <w:r w:rsidRPr="006740E5">
        <w:rPr>
          <w:rFonts w:ascii="Times New Roman" w:hAnsi="Times New Roman"/>
          <w:sz w:val="40"/>
          <w:szCs w:val="40"/>
        </w:rPr>
        <w:br/>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Elektroninio verslo vadybos magistro baigiamasis darbas</w:t>
      </w: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 xml:space="preserve">Studijų programa </w:t>
      </w:r>
      <w:r w:rsidR="00BD2CA5" w:rsidRPr="006740E5">
        <w:rPr>
          <w:rFonts w:ascii="Times New Roman" w:hAnsi="Times New Roman"/>
          <w:sz w:val="28"/>
          <w:szCs w:val="28"/>
          <w:lang w:eastAsia="lt-LT"/>
        </w:rPr>
        <w:t>621M90008</w:t>
      </w: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tbl>
      <w:tblPr>
        <w:tblW w:w="0" w:type="auto"/>
        <w:tblLook w:val="00A0"/>
      </w:tblPr>
      <w:tblGrid>
        <w:gridCol w:w="4927"/>
        <w:gridCol w:w="4927"/>
      </w:tblGrid>
      <w:tr w:rsidR="00C66C7D" w:rsidRPr="006740E5" w:rsidTr="008222E8">
        <w:tc>
          <w:tcPr>
            <w:tcW w:w="4927" w:type="dxa"/>
          </w:tcPr>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tc>
        <w:tc>
          <w:tcPr>
            <w:tcW w:w="4927" w:type="dxa"/>
          </w:tcPr>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Vadov</w:t>
            </w:r>
            <w:r w:rsidR="00377B1C" w:rsidRPr="006740E5">
              <w:rPr>
                <w:rFonts w:ascii="Times New Roman" w:hAnsi="Times New Roman"/>
                <w:sz w:val="24"/>
                <w:szCs w:val="24"/>
              </w:rPr>
              <w:t>ė</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3B6421"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 xml:space="preserve">              </w:t>
            </w:r>
            <w:r w:rsidR="00C66C7D" w:rsidRPr="006740E5">
              <w:rPr>
                <w:rFonts w:ascii="Times New Roman" w:hAnsi="Times New Roman"/>
                <w:sz w:val="24"/>
                <w:szCs w:val="24"/>
              </w:rPr>
              <w:t xml:space="preserve">             doc. dr. A.</w:t>
            </w:r>
            <w:r w:rsidR="001163EF" w:rsidRPr="006740E5">
              <w:rPr>
                <w:rFonts w:ascii="Times New Roman" w:hAnsi="Times New Roman"/>
                <w:sz w:val="24"/>
                <w:szCs w:val="24"/>
              </w:rPr>
              <w:t xml:space="preserve"> </w:t>
            </w:r>
            <w:r w:rsidR="00C66C7D" w:rsidRPr="006740E5">
              <w:rPr>
                <w:rFonts w:ascii="Times New Roman" w:hAnsi="Times New Roman"/>
                <w:sz w:val="24"/>
                <w:szCs w:val="24"/>
              </w:rPr>
              <w:t>Skaržauskienė</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2010</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tc>
      </w:tr>
      <w:tr w:rsidR="00C66C7D" w:rsidRPr="006740E5" w:rsidTr="008222E8">
        <w:tc>
          <w:tcPr>
            <w:tcW w:w="4927" w:type="dxa"/>
          </w:tcPr>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Recenzentas</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5D7A30" w:rsidRPr="006740E5" w:rsidRDefault="005D7A30" w:rsidP="008222E8">
            <w:pPr>
              <w:tabs>
                <w:tab w:val="left" w:pos="-6379"/>
              </w:tabs>
              <w:spacing w:after="0" w:line="240" w:lineRule="auto"/>
              <w:ind w:firstLine="567"/>
              <w:rPr>
                <w:rFonts w:ascii="Times New Roman" w:hAnsi="Times New Roman"/>
                <w:sz w:val="24"/>
                <w:szCs w:val="24"/>
              </w:rPr>
            </w:pPr>
          </w:p>
          <w:p w:rsidR="00C66C7D" w:rsidRPr="006740E5" w:rsidRDefault="00C66C7D" w:rsidP="005D7A30">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2010</w:t>
            </w:r>
          </w:p>
        </w:tc>
        <w:tc>
          <w:tcPr>
            <w:tcW w:w="4927" w:type="dxa"/>
          </w:tcPr>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Atliko</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EVVmns9−01 gr. stud.</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3B6421"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 xml:space="preserve">          </w:t>
            </w:r>
            <w:r w:rsidR="00C66C7D" w:rsidRPr="006740E5">
              <w:rPr>
                <w:rFonts w:ascii="Times New Roman" w:hAnsi="Times New Roman"/>
                <w:sz w:val="24"/>
                <w:szCs w:val="24"/>
              </w:rPr>
              <w:t xml:space="preserve">                               R. Tamošiūnaitė</w:t>
            </w:r>
          </w:p>
          <w:p w:rsidR="00C66C7D" w:rsidRPr="006740E5" w:rsidRDefault="00C66C7D" w:rsidP="008222E8">
            <w:pPr>
              <w:tabs>
                <w:tab w:val="left" w:pos="-6379"/>
              </w:tabs>
              <w:spacing w:after="0" w:line="240" w:lineRule="auto"/>
              <w:ind w:firstLine="567"/>
              <w:rPr>
                <w:rFonts w:ascii="Times New Roman" w:hAnsi="Times New Roman"/>
                <w:sz w:val="24"/>
                <w:szCs w:val="24"/>
              </w:rPr>
            </w:pPr>
          </w:p>
          <w:p w:rsidR="00C66C7D" w:rsidRPr="006740E5" w:rsidRDefault="00C66C7D" w:rsidP="008222E8">
            <w:pPr>
              <w:tabs>
                <w:tab w:val="left" w:pos="-6379"/>
              </w:tabs>
              <w:spacing w:after="0" w:line="240" w:lineRule="auto"/>
              <w:ind w:firstLine="567"/>
              <w:rPr>
                <w:rFonts w:ascii="Times New Roman" w:hAnsi="Times New Roman"/>
                <w:sz w:val="24"/>
                <w:szCs w:val="24"/>
              </w:rPr>
            </w:pPr>
            <w:r w:rsidRPr="006740E5">
              <w:rPr>
                <w:rFonts w:ascii="Times New Roman" w:hAnsi="Times New Roman"/>
                <w:sz w:val="24"/>
                <w:szCs w:val="24"/>
              </w:rPr>
              <w:t>2010</w:t>
            </w:r>
          </w:p>
        </w:tc>
      </w:tr>
    </w:tbl>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5D7A30" w:rsidRPr="006740E5" w:rsidRDefault="005D7A30"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rPr>
      </w:pPr>
    </w:p>
    <w:p w:rsidR="00C66C7D" w:rsidRPr="006740E5" w:rsidRDefault="00C66C7D" w:rsidP="0022425B">
      <w:pPr>
        <w:tabs>
          <w:tab w:val="left" w:pos="-6379"/>
        </w:tabs>
        <w:spacing w:after="0"/>
        <w:ind w:firstLine="567"/>
        <w:jc w:val="center"/>
        <w:rPr>
          <w:rFonts w:ascii="Times New Roman" w:hAnsi="Times New Roman"/>
          <w:sz w:val="28"/>
          <w:szCs w:val="28"/>
        </w:rPr>
      </w:pPr>
      <w:r w:rsidRPr="006740E5">
        <w:rPr>
          <w:rFonts w:ascii="Times New Roman" w:hAnsi="Times New Roman"/>
          <w:sz w:val="28"/>
          <w:szCs w:val="28"/>
        </w:rPr>
        <w:t>VILNIUS, 2010</w:t>
      </w:r>
    </w:p>
    <w:p w:rsidR="00C66C7D" w:rsidRPr="006740E5" w:rsidRDefault="00C66C7D" w:rsidP="00312905">
      <w:pPr>
        <w:tabs>
          <w:tab w:val="left" w:pos="-6379"/>
        </w:tabs>
        <w:ind w:left="851"/>
        <w:jc w:val="center"/>
        <w:rPr>
          <w:rFonts w:ascii="Times New Roman" w:hAnsi="Times New Roman"/>
          <w:b/>
          <w:sz w:val="24"/>
          <w:szCs w:val="24"/>
        </w:rPr>
      </w:pPr>
      <w:r w:rsidRPr="006740E5">
        <w:rPr>
          <w:rFonts w:ascii="Times New Roman" w:hAnsi="Times New Roman"/>
          <w:sz w:val="24"/>
          <w:szCs w:val="24"/>
        </w:rPr>
        <w:br w:type="page"/>
      </w:r>
      <w:bookmarkStart w:id="0" w:name="_Toc248397751"/>
      <w:r w:rsidRPr="006740E5">
        <w:rPr>
          <w:rFonts w:ascii="Times New Roman" w:hAnsi="Times New Roman"/>
          <w:b/>
          <w:sz w:val="24"/>
          <w:szCs w:val="24"/>
        </w:rPr>
        <w:lastRenderedPageBreak/>
        <w:t>TURINYS</w:t>
      </w:r>
      <w:bookmarkEnd w:id="0"/>
    </w:p>
    <w:p w:rsidR="00C66C7D" w:rsidRPr="006740E5" w:rsidRDefault="00C66C7D"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ĮVADAS</w:t>
      </w:r>
      <w:r w:rsidRPr="006740E5">
        <w:rPr>
          <w:rFonts w:ascii="Times New Roman" w:hAnsi="Times New Roman"/>
          <w:sz w:val="24"/>
          <w:szCs w:val="24"/>
          <w:lang w:eastAsia="lt-LT"/>
        </w:rPr>
        <w:tab/>
        <w:t>10</w:t>
      </w:r>
    </w:p>
    <w:p w:rsidR="00C66C7D" w:rsidRPr="006740E5" w:rsidRDefault="00312905" w:rsidP="00EC159F">
      <w:pPr>
        <w:tabs>
          <w:tab w:val="left" w:pos="-6379"/>
          <w:tab w:val="left" w:leader="dot" w:pos="9185"/>
        </w:tabs>
        <w:spacing w:after="0" w:line="360" w:lineRule="auto"/>
        <w:ind w:left="567" w:right="423"/>
        <w:jc w:val="both"/>
        <w:rPr>
          <w:rFonts w:ascii="Times New Roman" w:hAnsi="Times New Roman"/>
          <w:sz w:val="24"/>
          <w:szCs w:val="24"/>
          <w:lang w:eastAsia="lt-LT"/>
        </w:rPr>
      </w:pPr>
      <w:r w:rsidRPr="006740E5">
        <w:rPr>
          <w:rFonts w:ascii="Times New Roman" w:hAnsi="Times New Roman"/>
          <w:sz w:val="24"/>
          <w:szCs w:val="24"/>
          <w:lang w:eastAsia="lt-LT"/>
        </w:rPr>
        <w:t xml:space="preserve">1. NAUJŲ ŽINIŲ KŪRIMAS IR TAIKYMAS DIDINANT ĮMONIŲ </w:t>
      </w:r>
      <w:r w:rsidRPr="006740E5">
        <w:rPr>
          <w:rFonts w:ascii="Times New Roman" w:hAnsi="Times New Roman"/>
          <w:sz w:val="24"/>
          <w:szCs w:val="24"/>
          <w:lang w:eastAsia="lt-LT"/>
        </w:rPr>
        <w:br/>
        <w:t>KONKURENCINGUMĄ LIBERALĖJANČIOJE RINKOJE</w:t>
      </w:r>
      <w:r w:rsidR="003B7DE4" w:rsidRPr="006740E5">
        <w:rPr>
          <w:rFonts w:ascii="Times New Roman" w:hAnsi="Times New Roman"/>
          <w:sz w:val="24"/>
          <w:szCs w:val="24"/>
          <w:lang w:eastAsia="lt-LT"/>
        </w:rPr>
        <w:t xml:space="preserve"> </w:t>
      </w:r>
      <w:r w:rsidRPr="006740E5">
        <w:rPr>
          <w:rFonts w:ascii="Times New Roman" w:hAnsi="Times New Roman"/>
          <w:sz w:val="24"/>
          <w:szCs w:val="24"/>
          <w:lang w:eastAsia="lt-LT"/>
        </w:rPr>
        <w:tab/>
      </w:r>
      <w:r w:rsidR="00C66C7D" w:rsidRPr="006740E5">
        <w:rPr>
          <w:rFonts w:ascii="Times New Roman" w:hAnsi="Times New Roman"/>
          <w:sz w:val="24"/>
          <w:szCs w:val="24"/>
          <w:lang w:eastAsia="lt-LT"/>
        </w:rPr>
        <w:t>14</w:t>
      </w:r>
    </w:p>
    <w:p w:rsidR="00C66C7D" w:rsidRPr="006740E5" w:rsidRDefault="00C66C7D" w:rsidP="00EC159F">
      <w:pPr>
        <w:tabs>
          <w:tab w:val="left" w:leader="dot" w:pos="-6521"/>
          <w:tab w:val="left" w:leader="dot" w:pos="-6379"/>
          <w:tab w:val="left" w:leader="dot" w:pos="-6237"/>
          <w:tab w:val="left" w:leader="dot" w:pos="9214"/>
        </w:tabs>
        <w:spacing w:after="0" w:line="360" w:lineRule="auto"/>
        <w:ind w:left="567" w:right="423"/>
        <w:jc w:val="both"/>
        <w:rPr>
          <w:rFonts w:ascii="Times New Roman" w:hAnsi="Times New Roman"/>
          <w:b/>
          <w:sz w:val="24"/>
          <w:szCs w:val="24"/>
        </w:rPr>
      </w:pPr>
      <w:r w:rsidRPr="006740E5">
        <w:rPr>
          <w:rFonts w:ascii="Times New Roman" w:hAnsi="Times New Roman"/>
          <w:sz w:val="24"/>
          <w:szCs w:val="24"/>
          <w:lang w:eastAsia="lt-LT"/>
        </w:rPr>
        <w:t xml:space="preserve">2. </w:t>
      </w:r>
      <w:r w:rsidR="00371816" w:rsidRPr="006740E5">
        <w:rPr>
          <w:rFonts w:ascii="Times New Roman" w:hAnsi="Times New Roman"/>
          <w:sz w:val="24"/>
          <w:szCs w:val="24"/>
          <w:lang w:eastAsia="lt-LT"/>
        </w:rPr>
        <w:t>LIETUVOS PAŠTO SEKTORI</w:t>
      </w:r>
      <w:r w:rsidR="00312905" w:rsidRPr="006740E5">
        <w:rPr>
          <w:rFonts w:ascii="Times New Roman" w:hAnsi="Times New Roman"/>
          <w:sz w:val="24"/>
          <w:szCs w:val="24"/>
          <w:lang w:eastAsia="lt-LT"/>
        </w:rPr>
        <w:t>US EUROPOS SĄJUNGOS PAŠTO RINKOS KONTEKSTE</w:t>
      </w:r>
      <w:r w:rsidR="003B7DE4" w:rsidRPr="006740E5">
        <w:rPr>
          <w:rFonts w:ascii="Times New Roman" w:hAnsi="Times New Roman"/>
          <w:sz w:val="24"/>
          <w:szCs w:val="24"/>
          <w:lang w:eastAsia="lt-LT"/>
        </w:rPr>
        <w:t xml:space="preserve"> </w:t>
      </w:r>
      <w:r w:rsidRPr="006740E5">
        <w:rPr>
          <w:rFonts w:ascii="Times New Roman" w:eastAsia="EUAlbertina-Regular-Identity-H" w:hAnsi="Times New Roman"/>
          <w:sz w:val="24"/>
          <w:szCs w:val="24"/>
        </w:rPr>
        <w:tab/>
      </w:r>
      <w:r w:rsidR="0032101B" w:rsidRPr="006740E5">
        <w:rPr>
          <w:rFonts w:ascii="Times New Roman" w:hAnsi="Times New Roman"/>
          <w:sz w:val="24"/>
          <w:szCs w:val="24"/>
          <w:lang w:eastAsia="lt-LT"/>
        </w:rPr>
        <w:t>2</w:t>
      </w:r>
      <w:r w:rsidR="00BC3701" w:rsidRPr="006740E5">
        <w:rPr>
          <w:rFonts w:ascii="Times New Roman" w:hAnsi="Times New Roman"/>
          <w:sz w:val="24"/>
          <w:szCs w:val="24"/>
          <w:lang w:eastAsia="lt-LT"/>
        </w:rPr>
        <w:t>7</w:t>
      </w:r>
    </w:p>
    <w:p w:rsidR="00C66C7D" w:rsidRPr="006740E5" w:rsidRDefault="00312905" w:rsidP="00EC159F">
      <w:pPr>
        <w:tabs>
          <w:tab w:val="left" w:leader="dot" w:pos="-6521"/>
          <w:tab w:val="left" w:leader="dot" w:pos="-6379"/>
          <w:tab w:val="left" w:leader="dot" w:pos="-6237"/>
          <w:tab w:val="left" w:leader="dot" w:pos="9214"/>
        </w:tabs>
        <w:spacing w:after="0" w:line="360" w:lineRule="auto"/>
        <w:ind w:left="851" w:right="423"/>
        <w:jc w:val="both"/>
        <w:rPr>
          <w:rFonts w:ascii="Times New Roman" w:hAnsi="Times New Roman"/>
          <w:sz w:val="24"/>
          <w:szCs w:val="24"/>
          <w:lang w:eastAsia="lt-LT"/>
        </w:rPr>
      </w:pPr>
      <w:r w:rsidRPr="006740E5">
        <w:rPr>
          <w:rFonts w:ascii="Times New Roman" w:hAnsi="Times New Roman"/>
          <w:sz w:val="24"/>
          <w:szCs w:val="24"/>
          <w:lang w:eastAsia="lt-LT"/>
        </w:rPr>
        <w:t>2.1</w:t>
      </w:r>
      <w:r w:rsidR="00C66C7D" w:rsidRPr="006740E5">
        <w:rPr>
          <w:rFonts w:ascii="Times New Roman" w:hAnsi="Times New Roman"/>
          <w:sz w:val="24"/>
          <w:szCs w:val="24"/>
          <w:lang w:eastAsia="lt-LT"/>
        </w:rPr>
        <w:t xml:space="preserve">. </w:t>
      </w:r>
      <w:r w:rsidRPr="006740E5">
        <w:rPr>
          <w:rFonts w:ascii="Times New Roman" w:hAnsi="Times New Roman"/>
          <w:sz w:val="24"/>
          <w:szCs w:val="24"/>
          <w:lang w:eastAsia="lt-LT"/>
        </w:rPr>
        <w:t>AB ,,Lietuvos paštas’’ paslaugų konkurencingumas liberalėjančioje rinkoje</w:t>
      </w:r>
      <w:r w:rsidR="003B7DE4" w:rsidRPr="006740E5">
        <w:rPr>
          <w:rFonts w:ascii="Times New Roman" w:hAnsi="Times New Roman"/>
          <w:sz w:val="24"/>
          <w:szCs w:val="24"/>
          <w:lang w:eastAsia="lt-LT"/>
        </w:rPr>
        <w:t xml:space="preserve"> </w:t>
      </w:r>
      <w:r w:rsidR="00BC3701" w:rsidRPr="006740E5">
        <w:rPr>
          <w:rFonts w:ascii="Times New Roman" w:hAnsi="Times New Roman"/>
          <w:sz w:val="24"/>
          <w:szCs w:val="24"/>
          <w:lang w:eastAsia="lt-LT"/>
        </w:rPr>
        <w:tab/>
        <w:t>27</w:t>
      </w:r>
    </w:p>
    <w:p w:rsidR="00C66C7D" w:rsidRPr="006740E5" w:rsidRDefault="00312905" w:rsidP="00BC3701">
      <w:pPr>
        <w:tabs>
          <w:tab w:val="left" w:pos="-6379"/>
          <w:tab w:val="left" w:pos="851"/>
          <w:tab w:val="left" w:leader="dot" w:pos="9185"/>
        </w:tabs>
        <w:spacing w:after="0" w:line="360" w:lineRule="auto"/>
        <w:ind w:left="851" w:right="423"/>
        <w:rPr>
          <w:rFonts w:ascii="Times New Roman" w:hAnsi="Times New Roman"/>
          <w:sz w:val="24"/>
          <w:szCs w:val="24"/>
          <w:lang w:eastAsia="lt-LT"/>
        </w:rPr>
      </w:pPr>
      <w:r w:rsidRPr="006740E5">
        <w:rPr>
          <w:rFonts w:ascii="Times New Roman" w:hAnsi="Times New Roman"/>
          <w:sz w:val="24"/>
          <w:szCs w:val="24"/>
          <w:lang w:eastAsia="lt-LT"/>
        </w:rPr>
        <w:t>2.2</w:t>
      </w:r>
      <w:r w:rsidR="00C66C7D" w:rsidRPr="006740E5">
        <w:rPr>
          <w:rFonts w:ascii="Times New Roman" w:hAnsi="Times New Roman"/>
          <w:sz w:val="24"/>
          <w:szCs w:val="24"/>
          <w:lang w:eastAsia="lt-LT"/>
        </w:rPr>
        <w:t>. Veikiančio AB ,,Lietuvos paštas’’ paslaugų teikimo modelis ir probleminės subjekto veiklos sritys</w:t>
      </w:r>
      <w:r w:rsidR="003B7DE4" w:rsidRPr="006740E5">
        <w:rPr>
          <w:rFonts w:ascii="Times New Roman" w:hAnsi="Times New Roman"/>
          <w:sz w:val="24"/>
          <w:szCs w:val="24"/>
          <w:lang w:eastAsia="lt-LT"/>
        </w:rPr>
        <w:t xml:space="preserve"> </w:t>
      </w:r>
      <w:r w:rsidR="00BC3701" w:rsidRPr="006740E5">
        <w:rPr>
          <w:rFonts w:ascii="Times New Roman" w:hAnsi="Times New Roman"/>
          <w:sz w:val="24"/>
          <w:szCs w:val="24"/>
          <w:lang w:eastAsia="lt-LT"/>
        </w:rPr>
        <w:tab/>
        <w:t>33</w:t>
      </w:r>
    </w:p>
    <w:p w:rsidR="00C66C7D" w:rsidRPr="006740E5" w:rsidRDefault="00C66C7D" w:rsidP="00EC159F">
      <w:pPr>
        <w:tabs>
          <w:tab w:val="left" w:leader="dot" w:pos="-6521"/>
          <w:tab w:val="left" w:leader="dot" w:pos="-6379"/>
          <w:tab w:val="left" w:leader="dot" w:pos="-6237"/>
          <w:tab w:val="left" w:leader="dot" w:pos="9214"/>
          <w:tab w:val="left" w:pos="9497"/>
        </w:tabs>
        <w:spacing w:after="0" w:line="360" w:lineRule="auto"/>
        <w:ind w:left="567" w:right="423"/>
        <w:jc w:val="both"/>
        <w:rPr>
          <w:rFonts w:ascii="Times New Roman" w:hAnsi="Times New Roman"/>
          <w:sz w:val="24"/>
          <w:szCs w:val="24"/>
          <w:lang w:eastAsia="lt-LT"/>
        </w:rPr>
      </w:pPr>
      <w:r w:rsidRPr="006740E5">
        <w:rPr>
          <w:rFonts w:ascii="Times New Roman" w:hAnsi="Times New Roman"/>
          <w:sz w:val="24"/>
          <w:szCs w:val="24"/>
          <w:lang w:eastAsia="lt-LT"/>
        </w:rPr>
        <w:t xml:space="preserve">3. </w:t>
      </w:r>
      <w:r w:rsidR="00312905" w:rsidRPr="006740E5">
        <w:rPr>
          <w:rFonts w:ascii="Times New Roman" w:hAnsi="Times New Roman"/>
          <w:sz w:val="24"/>
          <w:szCs w:val="24"/>
          <w:lang w:eastAsia="lt-LT"/>
        </w:rPr>
        <w:t>AB ,,LIETUVOS PAŠTAS’’ PASLAUGŲ KONKURENCINGUMO DIDINIMO MODELIS PRITRAIKANT NAUJAS ŽINIAS. EMPIRINIS TYRIMAS</w:t>
      </w:r>
      <w:r w:rsidR="003B7DE4" w:rsidRPr="006740E5">
        <w:rPr>
          <w:rFonts w:ascii="Times New Roman" w:hAnsi="Times New Roman"/>
          <w:sz w:val="24"/>
          <w:szCs w:val="24"/>
          <w:lang w:eastAsia="lt-LT"/>
        </w:rPr>
        <w:t xml:space="preserve"> </w:t>
      </w:r>
      <w:r w:rsidRPr="006740E5">
        <w:rPr>
          <w:rFonts w:ascii="Times New Roman" w:eastAsia="EUAlbertina-Regular-Identity-H" w:hAnsi="Times New Roman"/>
          <w:sz w:val="24"/>
          <w:szCs w:val="24"/>
        </w:rPr>
        <w:tab/>
      </w:r>
      <w:r w:rsidR="00BC3701" w:rsidRPr="006740E5">
        <w:rPr>
          <w:rFonts w:ascii="Times New Roman" w:hAnsi="Times New Roman"/>
          <w:sz w:val="24"/>
          <w:szCs w:val="24"/>
          <w:lang w:eastAsia="lt-LT"/>
        </w:rPr>
        <w:t>40</w:t>
      </w:r>
    </w:p>
    <w:p w:rsidR="00C66C7D" w:rsidRPr="006740E5" w:rsidRDefault="00312905" w:rsidP="00EC159F">
      <w:pPr>
        <w:tabs>
          <w:tab w:val="left" w:leader="dot" w:pos="-6521"/>
          <w:tab w:val="left" w:leader="dot" w:pos="-6379"/>
          <w:tab w:val="left" w:leader="dot" w:pos="-6237"/>
          <w:tab w:val="left" w:leader="dot" w:pos="9214"/>
        </w:tabs>
        <w:spacing w:after="0" w:line="360" w:lineRule="auto"/>
        <w:ind w:left="851" w:right="423"/>
        <w:jc w:val="both"/>
        <w:rPr>
          <w:rFonts w:ascii="Times New Roman" w:hAnsi="Times New Roman"/>
          <w:b/>
          <w:sz w:val="24"/>
          <w:szCs w:val="24"/>
        </w:rPr>
      </w:pPr>
      <w:r w:rsidRPr="006740E5">
        <w:rPr>
          <w:rFonts w:ascii="Times New Roman" w:hAnsi="Times New Roman"/>
          <w:sz w:val="24"/>
          <w:szCs w:val="24"/>
          <w:lang w:eastAsia="lt-LT"/>
        </w:rPr>
        <w:t xml:space="preserve">3.1. </w:t>
      </w:r>
      <w:r w:rsidR="00C66C7D" w:rsidRPr="006740E5">
        <w:rPr>
          <w:rFonts w:ascii="Times New Roman" w:hAnsi="Times New Roman"/>
          <w:sz w:val="24"/>
          <w:szCs w:val="24"/>
          <w:lang w:eastAsia="lt-LT"/>
        </w:rPr>
        <w:t>Tyrimo metodologija</w:t>
      </w:r>
      <w:r w:rsidR="003B7DE4" w:rsidRPr="006740E5">
        <w:rPr>
          <w:rFonts w:ascii="Times New Roman" w:hAnsi="Times New Roman"/>
          <w:sz w:val="24"/>
          <w:szCs w:val="24"/>
          <w:lang w:eastAsia="lt-LT"/>
        </w:rPr>
        <w:t xml:space="preserve"> </w:t>
      </w:r>
      <w:r w:rsidRPr="006740E5">
        <w:rPr>
          <w:rFonts w:ascii="Times New Roman" w:hAnsi="Times New Roman"/>
          <w:sz w:val="24"/>
          <w:szCs w:val="24"/>
          <w:lang w:eastAsia="lt-LT"/>
        </w:rPr>
        <w:tab/>
      </w:r>
      <w:r w:rsidR="00BC3701" w:rsidRPr="006740E5">
        <w:rPr>
          <w:rFonts w:ascii="Times New Roman" w:hAnsi="Times New Roman"/>
          <w:sz w:val="24"/>
          <w:szCs w:val="24"/>
          <w:lang w:eastAsia="lt-LT"/>
        </w:rPr>
        <w:t>40</w:t>
      </w:r>
    </w:p>
    <w:p w:rsidR="00C66C7D" w:rsidRPr="006740E5" w:rsidRDefault="00312905" w:rsidP="00EC159F">
      <w:pPr>
        <w:tabs>
          <w:tab w:val="left" w:leader="dot" w:pos="-6521"/>
          <w:tab w:val="left" w:leader="dot" w:pos="-6379"/>
          <w:tab w:val="left" w:leader="dot" w:pos="-6237"/>
          <w:tab w:val="left" w:leader="dot" w:pos="9214"/>
        </w:tabs>
        <w:spacing w:after="0" w:line="360" w:lineRule="auto"/>
        <w:ind w:left="851" w:right="423"/>
        <w:jc w:val="both"/>
        <w:rPr>
          <w:rFonts w:ascii="Times New Roman" w:hAnsi="Times New Roman"/>
          <w:sz w:val="24"/>
          <w:szCs w:val="24"/>
          <w:lang w:eastAsia="lt-LT"/>
        </w:rPr>
      </w:pPr>
      <w:r w:rsidRPr="006740E5">
        <w:rPr>
          <w:rFonts w:ascii="Times New Roman" w:hAnsi="Times New Roman"/>
          <w:sz w:val="24"/>
          <w:szCs w:val="24"/>
        </w:rPr>
        <w:t>3.2. Tyrimo rezultatų</w:t>
      </w:r>
      <w:r w:rsidRPr="006740E5">
        <w:rPr>
          <w:rFonts w:ascii="Times New Roman" w:hAnsi="Times New Roman"/>
          <w:sz w:val="24"/>
          <w:szCs w:val="24"/>
          <w:lang w:eastAsia="lt-LT"/>
        </w:rPr>
        <w:t xml:space="preserve"> analizė</w:t>
      </w:r>
      <w:r w:rsidR="003B7DE4" w:rsidRPr="006740E5">
        <w:rPr>
          <w:rFonts w:ascii="Times New Roman" w:hAnsi="Times New Roman"/>
          <w:sz w:val="24"/>
          <w:szCs w:val="24"/>
          <w:lang w:eastAsia="lt-LT"/>
        </w:rPr>
        <w:t xml:space="preserve"> </w:t>
      </w:r>
      <w:r w:rsidR="00BC3701" w:rsidRPr="006740E5">
        <w:rPr>
          <w:rFonts w:ascii="Times New Roman" w:hAnsi="Times New Roman"/>
          <w:sz w:val="24"/>
          <w:szCs w:val="24"/>
          <w:lang w:eastAsia="lt-LT"/>
        </w:rPr>
        <w:tab/>
        <w:t>45</w:t>
      </w:r>
    </w:p>
    <w:p w:rsidR="00C66C7D" w:rsidRPr="006740E5" w:rsidRDefault="00312905" w:rsidP="00EC159F">
      <w:pPr>
        <w:tabs>
          <w:tab w:val="left" w:leader="dot" w:pos="-6521"/>
          <w:tab w:val="left" w:leader="dot" w:pos="-6379"/>
          <w:tab w:val="left" w:leader="dot" w:pos="-6237"/>
          <w:tab w:val="left" w:leader="dot" w:pos="9214"/>
        </w:tabs>
        <w:spacing w:after="0" w:line="360" w:lineRule="auto"/>
        <w:ind w:left="1276" w:right="423"/>
        <w:jc w:val="both"/>
        <w:rPr>
          <w:rFonts w:ascii="Times New Roman" w:hAnsi="Times New Roman"/>
          <w:sz w:val="24"/>
          <w:szCs w:val="24"/>
        </w:rPr>
      </w:pPr>
      <w:r w:rsidRPr="006740E5">
        <w:rPr>
          <w:rFonts w:ascii="Times New Roman" w:hAnsi="Times New Roman"/>
          <w:sz w:val="24"/>
          <w:szCs w:val="24"/>
        </w:rPr>
        <w:t xml:space="preserve">3.2.1. </w:t>
      </w:r>
      <w:r w:rsidR="001411D4" w:rsidRPr="006740E5">
        <w:rPr>
          <w:rFonts w:ascii="Times New Roman" w:hAnsi="Times New Roman"/>
          <w:sz w:val="24"/>
          <w:szCs w:val="24"/>
        </w:rPr>
        <w:t>Dabartinėje</w:t>
      </w:r>
      <w:r w:rsidR="00C66C7D" w:rsidRPr="006740E5">
        <w:rPr>
          <w:rFonts w:ascii="Times New Roman" w:hAnsi="Times New Roman"/>
          <w:sz w:val="24"/>
          <w:szCs w:val="24"/>
        </w:rPr>
        <w:t xml:space="preserve"> Lietuvos pašto rinkoje siūlomų paslaugų palyginimas </w:t>
      </w:r>
      <w:r w:rsidR="003B7DE4" w:rsidRPr="006740E5">
        <w:rPr>
          <w:rFonts w:ascii="Times New Roman" w:hAnsi="Times New Roman"/>
          <w:sz w:val="24"/>
          <w:szCs w:val="24"/>
        </w:rPr>
        <w:t>tarp</w:t>
      </w:r>
      <w:r w:rsidR="00C66C7D" w:rsidRPr="006740E5">
        <w:rPr>
          <w:rFonts w:ascii="Times New Roman" w:hAnsi="Times New Roman"/>
          <w:sz w:val="24"/>
          <w:szCs w:val="24"/>
        </w:rPr>
        <w:t xml:space="preserve"> viešojo ir privataus sektoriaus </w:t>
      </w:r>
      <w:r w:rsidR="003B7DE4" w:rsidRPr="006740E5">
        <w:rPr>
          <w:rFonts w:ascii="Times New Roman" w:hAnsi="Times New Roman"/>
          <w:sz w:val="24"/>
          <w:szCs w:val="24"/>
        </w:rPr>
        <w:t xml:space="preserve">pašto paslaugų teikėjų </w:t>
      </w:r>
      <w:r w:rsidR="00BC3701" w:rsidRPr="006740E5">
        <w:rPr>
          <w:rFonts w:ascii="Times New Roman" w:hAnsi="Times New Roman"/>
          <w:sz w:val="24"/>
          <w:szCs w:val="24"/>
        </w:rPr>
        <w:tab/>
        <w:t>45</w:t>
      </w:r>
    </w:p>
    <w:p w:rsidR="00C66C7D" w:rsidRPr="006740E5" w:rsidRDefault="00312905" w:rsidP="00EC159F">
      <w:pPr>
        <w:tabs>
          <w:tab w:val="left" w:leader="dot" w:pos="-6521"/>
          <w:tab w:val="left" w:leader="dot" w:pos="-6379"/>
          <w:tab w:val="left" w:leader="dot" w:pos="-6237"/>
          <w:tab w:val="left" w:leader="dot" w:pos="9214"/>
        </w:tabs>
        <w:spacing w:after="0" w:line="360" w:lineRule="auto"/>
        <w:ind w:left="1276" w:right="423"/>
        <w:jc w:val="both"/>
        <w:rPr>
          <w:rFonts w:ascii="Times New Roman" w:hAnsi="Times New Roman"/>
          <w:b/>
          <w:sz w:val="24"/>
          <w:szCs w:val="24"/>
        </w:rPr>
      </w:pPr>
      <w:r w:rsidRPr="006740E5">
        <w:rPr>
          <w:rFonts w:ascii="Times New Roman" w:hAnsi="Times New Roman"/>
          <w:sz w:val="24"/>
          <w:szCs w:val="24"/>
        </w:rPr>
        <w:t xml:space="preserve">3.2.2. </w:t>
      </w:r>
      <w:r w:rsidR="00C66C7D" w:rsidRPr="006740E5">
        <w:rPr>
          <w:rFonts w:ascii="Times New Roman" w:hAnsi="Times New Roman"/>
          <w:sz w:val="24"/>
          <w:szCs w:val="24"/>
        </w:rPr>
        <w:t xml:space="preserve">AB ,,Lietuvos paštas’’ dalyvavimo Lietuvos pašto rinkoje konkurencingumo galimybių įvertinimas </w:t>
      </w:r>
      <w:r w:rsidR="00C66C7D" w:rsidRPr="006740E5">
        <w:rPr>
          <w:rFonts w:ascii="Times New Roman" w:hAnsi="Times New Roman"/>
          <w:sz w:val="24"/>
          <w:szCs w:val="24"/>
        </w:rPr>
        <w:tab/>
      </w:r>
      <w:r w:rsidR="004334B2" w:rsidRPr="006740E5">
        <w:rPr>
          <w:rFonts w:ascii="Times New Roman" w:hAnsi="Times New Roman"/>
          <w:sz w:val="24"/>
          <w:szCs w:val="24"/>
        </w:rPr>
        <w:t>5</w:t>
      </w:r>
      <w:r w:rsidR="00BC3701" w:rsidRPr="006740E5">
        <w:rPr>
          <w:rFonts w:ascii="Times New Roman" w:hAnsi="Times New Roman"/>
          <w:sz w:val="24"/>
          <w:szCs w:val="24"/>
        </w:rPr>
        <w:t>2</w:t>
      </w:r>
    </w:p>
    <w:p w:rsidR="00C66C7D" w:rsidRPr="006740E5" w:rsidRDefault="003B7DE4" w:rsidP="00EC159F">
      <w:pPr>
        <w:tabs>
          <w:tab w:val="left" w:pos="-6379"/>
          <w:tab w:val="left" w:pos="-2127"/>
          <w:tab w:val="left" w:leader="dot" w:pos="9185"/>
        </w:tabs>
        <w:spacing w:after="0" w:line="360" w:lineRule="auto"/>
        <w:ind w:left="851" w:right="423"/>
        <w:jc w:val="both"/>
        <w:rPr>
          <w:rFonts w:ascii="Times New Roman" w:hAnsi="Times New Roman"/>
          <w:sz w:val="24"/>
          <w:szCs w:val="24"/>
          <w:lang w:eastAsia="lt-LT"/>
        </w:rPr>
      </w:pPr>
      <w:r w:rsidRPr="006740E5">
        <w:rPr>
          <w:rFonts w:ascii="Times New Roman" w:hAnsi="Times New Roman"/>
          <w:sz w:val="24"/>
          <w:szCs w:val="24"/>
          <w:lang w:eastAsia="lt-LT"/>
        </w:rPr>
        <w:t>3.3</w:t>
      </w:r>
      <w:r w:rsidR="00C66C7D" w:rsidRPr="006740E5">
        <w:rPr>
          <w:rFonts w:ascii="Times New Roman" w:hAnsi="Times New Roman"/>
          <w:sz w:val="24"/>
          <w:szCs w:val="24"/>
          <w:lang w:eastAsia="lt-LT"/>
        </w:rPr>
        <w:t>. AB ,,Lietuvos paštas’’ paslaugų teikimo modelis taikant naujas žinias. Modelio praktinis aktualumas liberal</w:t>
      </w:r>
      <w:r w:rsidR="00E9515C" w:rsidRPr="006740E5">
        <w:rPr>
          <w:rFonts w:ascii="Times New Roman" w:hAnsi="Times New Roman"/>
          <w:sz w:val="24"/>
          <w:szCs w:val="24"/>
          <w:lang w:eastAsia="lt-LT"/>
        </w:rPr>
        <w:t>ėjančioje</w:t>
      </w:r>
      <w:r w:rsidR="00C66C7D" w:rsidRPr="006740E5">
        <w:rPr>
          <w:rFonts w:ascii="Times New Roman" w:hAnsi="Times New Roman"/>
          <w:sz w:val="24"/>
          <w:szCs w:val="24"/>
          <w:lang w:eastAsia="lt-LT"/>
        </w:rPr>
        <w:t xml:space="preserve"> rinkoje</w:t>
      </w:r>
      <w:r w:rsidRPr="006740E5">
        <w:rPr>
          <w:rFonts w:ascii="Times New Roman" w:hAnsi="Times New Roman"/>
          <w:sz w:val="24"/>
          <w:szCs w:val="24"/>
          <w:lang w:eastAsia="lt-LT"/>
        </w:rPr>
        <w:t xml:space="preserve"> </w:t>
      </w:r>
      <w:r w:rsidR="00BC3701" w:rsidRPr="006740E5">
        <w:rPr>
          <w:rFonts w:ascii="Times New Roman" w:hAnsi="Times New Roman"/>
          <w:sz w:val="24"/>
          <w:szCs w:val="24"/>
          <w:lang w:eastAsia="lt-LT"/>
        </w:rPr>
        <w:tab/>
        <w:t>56</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IŠVADOS IR PASIŪLYMAI</w:t>
      </w:r>
      <w:r w:rsidRPr="006740E5">
        <w:rPr>
          <w:rFonts w:ascii="Times New Roman" w:hAnsi="Times New Roman"/>
          <w:sz w:val="24"/>
          <w:szCs w:val="24"/>
          <w:lang w:eastAsia="lt-LT"/>
        </w:rPr>
        <w:tab/>
        <w:t>66</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LITERATŪRA</w:t>
      </w:r>
      <w:r w:rsidRPr="006740E5">
        <w:rPr>
          <w:rFonts w:ascii="Times New Roman" w:hAnsi="Times New Roman"/>
          <w:sz w:val="24"/>
          <w:szCs w:val="24"/>
          <w:lang w:eastAsia="lt-LT"/>
        </w:rPr>
        <w:tab/>
        <w:t>68</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ANOTACIJA LIETUVIŲ KALBA</w:t>
      </w:r>
      <w:r w:rsidRPr="006740E5">
        <w:rPr>
          <w:rFonts w:ascii="Times New Roman" w:hAnsi="Times New Roman"/>
          <w:sz w:val="24"/>
          <w:szCs w:val="24"/>
          <w:lang w:eastAsia="lt-LT"/>
        </w:rPr>
        <w:tab/>
        <w:t>76</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ANOTACIJA ANGLŲ KALBA</w:t>
      </w:r>
      <w:r w:rsidRPr="006740E5">
        <w:rPr>
          <w:rFonts w:ascii="Times New Roman" w:hAnsi="Times New Roman"/>
          <w:sz w:val="24"/>
          <w:szCs w:val="24"/>
          <w:lang w:eastAsia="lt-LT"/>
        </w:rPr>
        <w:tab/>
        <w:t>77</w:t>
      </w:r>
    </w:p>
    <w:p w:rsidR="00C66C7D" w:rsidRPr="006740E5" w:rsidRDefault="004334B2"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SANTRAUKA LIETUVIŲ KALBA</w:t>
      </w:r>
      <w:r w:rsidRPr="006740E5">
        <w:rPr>
          <w:rFonts w:ascii="Times New Roman" w:hAnsi="Times New Roman"/>
          <w:sz w:val="24"/>
          <w:szCs w:val="24"/>
          <w:lang w:eastAsia="lt-LT"/>
        </w:rPr>
        <w:tab/>
        <w:t>77</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SANTRAUKA ANGLŲ KALBA</w:t>
      </w:r>
      <w:r w:rsidRPr="006740E5">
        <w:rPr>
          <w:rFonts w:ascii="Times New Roman" w:hAnsi="Times New Roman"/>
          <w:sz w:val="24"/>
          <w:szCs w:val="24"/>
          <w:lang w:eastAsia="lt-LT"/>
        </w:rPr>
        <w:tab/>
        <w:t>81</w:t>
      </w:r>
    </w:p>
    <w:p w:rsidR="00C66C7D" w:rsidRPr="006740E5" w:rsidRDefault="00BC3701" w:rsidP="00EC159F">
      <w:pPr>
        <w:tabs>
          <w:tab w:val="left" w:pos="-6379"/>
          <w:tab w:val="left" w:leader="dot" w:pos="9185"/>
        </w:tabs>
        <w:spacing w:after="0" w:line="360" w:lineRule="auto"/>
        <w:ind w:right="423" w:firstLine="567"/>
        <w:rPr>
          <w:rFonts w:ascii="Times New Roman" w:hAnsi="Times New Roman"/>
          <w:sz w:val="24"/>
          <w:szCs w:val="24"/>
          <w:lang w:eastAsia="lt-LT"/>
        </w:rPr>
      </w:pPr>
      <w:r w:rsidRPr="006740E5">
        <w:rPr>
          <w:rFonts w:ascii="Times New Roman" w:hAnsi="Times New Roman"/>
          <w:sz w:val="24"/>
          <w:szCs w:val="24"/>
          <w:lang w:eastAsia="lt-LT"/>
        </w:rPr>
        <w:t>PRIEDAI</w:t>
      </w:r>
      <w:r w:rsidRPr="006740E5">
        <w:rPr>
          <w:rFonts w:ascii="Times New Roman" w:hAnsi="Times New Roman"/>
          <w:sz w:val="24"/>
          <w:szCs w:val="24"/>
          <w:lang w:eastAsia="lt-LT"/>
        </w:rPr>
        <w:tab/>
        <w:t>84</w:t>
      </w:r>
    </w:p>
    <w:p w:rsidR="00EC159F" w:rsidRPr="006740E5" w:rsidRDefault="00EC159F" w:rsidP="003B6421">
      <w:pPr>
        <w:tabs>
          <w:tab w:val="left" w:pos="-6379"/>
        </w:tabs>
        <w:spacing w:line="360" w:lineRule="auto"/>
        <w:ind w:firstLine="567"/>
        <w:jc w:val="center"/>
        <w:rPr>
          <w:rFonts w:ascii="Times New Roman" w:hAnsi="Times New Roman"/>
          <w:b/>
          <w:sz w:val="28"/>
          <w:szCs w:val="28"/>
          <w:highlight w:val="yellow"/>
        </w:rPr>
        <w:sectPr w:rsidR="00EC159F" w:rsidRPr="006740E5" w:rsidSect="00EC159F">
          <w:headerReference w:type="default" r:id="rId8"/>
          <w:pgSz w:w="11906" w:h="16838"/>
          <w:pgMar w:top="1134" w:right="567" w:bottom="1134" w:left="1418" w:header="567" w:footer="567" w:gutter="0"/>
          <w:pgNumType w:start="0"/>
          <w:cols w:space="1296"/>
          <w:docGrid w:linePitch="360"/>
        </w:sectPr>
      </w:pPr>
      <w:bookmarkStart w:id="1" w:name="_Toc248397752"/>
    </w:p>
    <w:p w:rsidR="00C66C7D" w:rsidRPr="006740E5" w:rsidRDefault="00C66C7D" w:rsidP="003B6421">
      <w:pPr>
        <w:tabs>
          <w:tab w:val="left" w:pos="-6379"/>
        </w:tabs>
        <w:spacing w:line="360" w:lineRule="auto"/>
        <w:ind w:firstLine="567"/>
        <w:jc w:val="center"/>
        <w:rPr>
          <w:rFonts w:ascii="Times New Roman" w:hAnsi="Times New Roman"/>
          <w:b/>
          <w:sz w:val="24"/>
          <w:szCs w:val="24"/>
        </w:rPr>
      </w:pPr>
      <w:r w:rsidRPr="006740E5">
        <w:rPr>
          <w:rFonts w:ascii="Times New Roman" w:hAnsi="Times New Roman"/>
          <w:b/>
          <w:sz w:val="24"/>
          <w:szCs w:val="24"/>
        </w:rPr>
        <w:lastRenderedPageBreak/>
        <w:t>LENTELĖS</w:t>
      </w:r>
      <w:bookmarkEnd w:id="1"/>
    </w:p>
    <w:p w:rsidR="00C66C7D" w:rsidRPr="006740E5" w:rsidRDefault="00C66C7D" w:rsidP="003D1427">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 lentelė. Naujų žinių taikymo komercinei naudai gauti procesų suvokimo analizė </w:t>
      </w:r>
      <w:r w:rsidRPr="006740E5">
        <w:rPr>
          <w:rFonts w:ascii="Times New Roman" w:hAnsi="Times New Roman"/>
          <w:iCs/>
          <w:sz w:val="24"/>
          <w:szCs w:val="24"/>
        </w:rPr>
        <w:tab/>
        <w:t>16</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2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produktą</w:t>
      </w:r>
      <w:r w:rsidRPr="006740E5">
        <w:rPr>
          <w:rFonts w:ascii="Times New Roman" w:hAnsi="Times New Roman"/>
          <w:iCs/>
          <w:sz w:val="24"/>
          <w:szCs w:val="24"/>
        </w:rPr>
        <w:tab/>
        <w:t>1</w:t>
      </w:r>
      <w:r w:rsidR="009F2D04" w:rsidRPr="006740E5">
        <w:rPr>
          <w:rFonts w:ascii="Times New Roman" w:hAnsi="Times New Roman"/>
          <w:iCs/>
          <w:sz w:val="24"/>
          <w:szCs w:val="24"/>
        </w:rPr>
        <w:t>7</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3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vartotoją</w:t>
      </w:r>
      <w:r w:rsidRPr="006740E5">
        <w:rPr>
          <w:rFonts w:ascii="Times New Roman" w:hAnsi="Times New Roman"/>
          <w:iCs/>
          <w:sz w:val="24"/>
          <w:szCs w:val="24"/>
        </w:rPr>
        <w:tab/>
        <w:t>17</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4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bendradarbiavimą</w:t>
      </w:r>
      <w:r w:rsidRPr="006740E5">
        <w:rPr>
          <w:rFonts w:ascii="Times New Roman" w:hAnsi="Times New Roman"/>
          <w:iCs/>
          <w:sz w:val="24"/>
          <w:szCs w:val="24"/>
        </w:rPr>
        <w:tab/>
        <w:t>18</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5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procesų optimizavimą</w:t>
      </w:r>
      <w:r w:rsidRPr="006740E5">
        <w:rPr>
          <w:rFonts w:ascii="Times New Roman" w:hAnsi="Times New Roman"/>
          <w:iCs/>
          <w:sz w:val="24"/>
          <w:szCs w:val="24"/>
        </w:rPr>
        <w:tab/>
        <w:t>18</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6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žmogiškuosius išteklius</w:t>
      </w:r>
      <w:r w:rsidRPr="006740E5">
        <w:rPr>
          <w:rFonts w:ascii="Times New Roman" w:hAnsi="Times New Roman"/>
          <w:iCs/>
          <w:sz w:val="24"/>
          <w:szCs w:val="24"/>
        </w:rPr>
        <w:tab/>
        <w:t>19</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7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žinių išteklius</w:t>
      </w:r>
      <w:r w:rsidRPr="006740E5">
        <w:rPr>
          <w:rFonts w:ascii="Times New Roman" w:hAnsi="Times New Roman"/>
          <w:iCs/>
          <w:sz w:val="24"/>
          <w:szCs w:val="24"/>
        </w:rPr>
        <w:tab/>
        <w:t>20</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8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strategijos kūrimą</w:t>
      </w:r>
      <w:r w:rsidRPr="006740E5">
        <w:rPr>
          <w:rFonts w:ascii="Times New Roman" w:hAnsi="Times New Roman"/>
          <w:iCs/>
          <w:sz w:val="24"/>
          <w:szCs w:val="24"/>
        </w:rPr>
        <w:tab/>
        <w:t>21</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9 lentelė. Naujų žinių taikymo komercinei naudai gauti procesų suvokimo analizė pagal orientaciją </w:t>
      </w:r>
      <w:r w:rsidR="001A0D06" w:rsidRPr="006740E5">
        <w:rPr>
          <w:rFonts w:ascii="Times New Roman" w:hAnsi="Times New Roman"/>
          <w:iCs/>
          <w:sz w:val="24"/>
          <w:szCs w:val="24"/>
        </w:rPr>
        <w:br/>
      </w:r>
      <w:r w:rsidRPr="006740E5">
        <w:rPr>
          <w:rFonts w:ascii="Times New Roman" w:hAnsi="Times New Roman"/>
          <w:iCs/>
          <w:sz w:val="24"/>
          <w:szCs w:val="24"/>
        </w:rPr>
        <w:t>į verslo procesų integravimą</w:t>
      </w:r>
      <w:r w:rsidRPr="006740E5">
        <w:rPr>
          <w:rFonts w:ascii="Times New Roman" w:hAnsi="Times New Roman"/>
          <w:iCs/>
          <w:sz w:val="24"/>
          <w:szCs w:val="24"/>
        </w:rPr>
        <w:tab/>
        <w:t>22</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10 lentelė. Šiuo metu veikiančiame AB ,,Lietuvos paštas’’ paslaugų teikimo modelyje e. erdvėje vartotoju</w:t>
      </w:r>
      <w:r w:rsidR="001D0E5D" w:rsidRPr="006740E5">
        <w:rPr>
          <w:rFonts w:ascii="Times New Roman" w:hAnsi="Times New Roman"/>
          <w:iCs/>
          <w:sz w:val="24"/>
          <w:szCs w:val="24"/>
        </w:rPr>
        <w:t>i pasiekiamų paslaugų analizė</w:t>
      </w:r>
      <w:r w:rsidR="001D0E5D" w:rsidRPr="006740E5">
        <w:rPr>
          <w:rFonts w:ascii="Times New Roman" w:hAnsi="Times New Roman"/>
          <w:iCs/>
          <w:sz w:val="24"/>
          <w:szCs w:val="24"/>
        </w:rPr>
        <w:tab/>
        <w:t>3</w:t>
      </w:r>
      <w:r w:rsidR="009F2D04" w:rsidRPr="006740E5">
        <w:rPr>
          <w:rFonts w:ascii="Times New Roman" w:hAnsi="Times New Roman"/>
          <w:iCs/>
          <w:sz w:val="24"/>
          <w:szCs w:val="24"/>
        </w:rPr>
        <w:t>6</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11 lentelė AB ,,Lietuvos paštas’’ teikiamų paslaugų analizė pagal paslaugos gavėją.</w:t>
      </w:r>
      <w:r w:rsidRPr="006740E5">
        <w:rPr>
          <w:rFonts w:ascii="Times New Roman" w:hAnsi="Times New Roman"/>
          <w:iCs/>
          <w:sz w:val="24"/>
          <w:szCs w:val="24"/>
        </w:rPr>
        <w:tab/>
        <w:t>3</w:t>
      </w:r>
      <w:r w:rsidR="009F2D04" w:rsidRPr="006740E5">
        <w:rPr>
          <w:rFonts w:ascii="Times New Roman" w:hAnsi="Times New Roman"/>
          <w:iCs/>
          <w:sz w:val="24"/>
          <w:szCs w:val="24"/>
        </w:rPr>
        <w:t>7</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12 lentelė. Pašto p</w:t>
      </w:r>
      <w:r w:rsidR="009F2D04" w:rsidRPr="006740E5">
        <w:rPr>
          <w:rFonts w:ascii="Times New Roman" w:hAnsi="Times New Roman"/>
          <w:iCs/>
          <w:sz w:val="24"/>
          <w:szCs w:val="24"/>
        </w:rPr>
        <w:t>aslaugų skirstymas pagal EVRK</w:t>
      </w:r>
      <w:r w:rsidR="009F2D04" w:rsidRPr="006740E5">
        <w:rPr>
          <w:rFonts w:ascii="Times New Roman" w:hAnsi="Times New Roman"/>
          <w:iCs/>
          <w:sz w:val="24"/>
          <w:szCs w:val="24"/>
        </w:rPr>
        <w:tab/>
        <w:t>41</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13 lentelė. Pašto paslaugų pagal funkcijas ir veiklos teritorinį vientisumą analizė</w:t>
      </w:r>
      <w:r w:rsidRPr="006740E5">
        <w:rPr>
          <w:rFonts w:ascii="Times New Roman" w:hAnsi="Times New Roman"/>
          <w:iCs/>
          <w:sz w:val="24"/>
          <w:szCs w:val="24"/>
        </w:rPr>
        <w:tab/>
        <w:t>4</w:t>
      </w:r>
      <w:r w:rsidR="009F2D04" w:rsidRPr="006740E5">
        <w:rPr>
          <w:rFonts w:ascii="Times New Roman" w:hAnsi="Times New Roman"/>
          <w:iCs/>
          <w:sz w:val="24"/>
          <w:szCs w:val="24"/>
        </w:rPr>
        <w:t>2</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14 lentelė. Pašto paslaugų teikėjų analizė pagal paslaugų teikimo turinį ir paslaugų </w:t>
      </w:r>
      <w:r w:rsidR="001D0E5D" w:rsidRPr="006740E5">
        <w:rPr>
          <w:rFonts w:ascii="Times New Roman" w:hAnsi="Times New Roman"/>
          <w:iCs/>
          <w:sz w:val="24"/>
          <w:szCs w:val="24"/>
        </w:rPr>
        <w:t>teikimo teritorinį vientisumą</w:t>
      </w:r>
      <w:r w:rsidR="001D0E5D" w:rsidRPr="006740E5">
        <w:rPr>
          <w:rFonts w:ascii="Times New Roman" w:hAnsi="Times New Roman"/>
          <w:iCs/>
          <w:sz w:val="24"/>
          <w:szCs w:val="24"/>
        </w:rPr>
        <w:tab/>
        <w:t>4</w:t>
      </w:r>
      <w:r w:rsidR="009F2D04" w:rsidRPr="006740E5">
        <w:rPr>
          <w:rFonts w:ascii="Times New Roman" w:hAnsi="Times New Roman"/>
          <w:iCs/>
          <w:sz w:val="24"/>
          <w:szCs w:val="24"/>
        </w:rPr>
        <w:t>2</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15 lentelė. Pašto paslaugų teikėjų analizė pagal teikiamas paslaugas</w:t>
      </w:r>
      <w:r w:rsidRPr="006740E5">
        <w:rPr>
          <w:rFonts w:ascii="Times New Roman" w:hAnsi="Times New Roman"/>
          <w:iCs/>
          <w:sz w:val="24"/>
          <w:szCs w:val="24"/>
        </w:rPr>
        <w:tab/>
        <w:t>4</w:t>
      </w:r>
      <w:r w:rsidR="009F2D04" w:rsidRPr="006740E5">
        <w:rPr>
          <w:rFonts w:ascii="Times New Roman" w:hAnsi="Times New Roman"/>
          <w:iCs/>
          <w:sz w:val="24"/>
          <w:szCs w:val="24"/>
        </w:rPr>
        <w:t>3</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16 lentelė. </w:t>
      </w:r>
      <w:r w:rsidR="00A57EE8" w:rsidRPr="006740E5">
        <w:rPr>
          <w:rFonts w:ascii="Times New Roman" w:hAnsi="Times New Roman"/>
          <w:iCs/>
          <w:sz w:val="24"/>
          <w:szCs w:val="24"/>
        </w:rPr>
        <w:t>Subjektų</w:t>
      </w:r>
      <w:r w:rsidRPr="006740E5">
        <w:rPr>
          <w:rFonts w:ascii="Times New Roman" w:hAnsi="Times New Roman"/>
          <w:iCs/>
          <w:sz w:val="24"/>
          <w:szCs w:val="24"/>
        </w:rPr>
        <w:t xml:space="preserve"> ko</w:t>
      </w:r>
      <w:r w:rsidR="001D0E5D" w:rsidRPr="006740E5">
        <w:rPr>
          <w:rFonts w:ascii="Times New Roman" w:hAnsi="Times New Roman"/>
          <w:iCs/>
          <w:sz w:val="24"/>
          <w:szCs w:val="24"/>
        </w:rPr>
        <w:t>mpetencijos kriterijų analizė</w:t>
      </w:r>
      <w:r w:rsidR="001D0E5D" w:rsidRPr="006740E5">
        <w:rPr>
          <w:rFonts w:ascii="Times New Roman" w:hAnsi="Times New Roman"/>
          <w:iCs/>
          <w:sz w:val="24"/>
          <w:szCs w:val="24"/>
        </w:rPr>
        <w:tab/>
        <w:t>4</w:t>
      </w:r>
      <w:r w:rsidR="009D6DD9" w:rsidRPr="006740E5">
        <w:rPr>
          <w:rFonts w:ascii="Times New Roman" w:hAnsi="Times New Roman"/>
          <w:iCs/>
          <w:sz w:val="24"/>
          <w:szCs w:val="24"/>
        </w:rPr>
        <w:t>3</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17 lentelė. </w:t>
      </w:r>
      <w:r w:rsidR="00A57EE8" w:rsidRPr="006740E5">
        <w:rPr>
          <w:rFonts w:ascii="Times New Roman" w:hAnsi="Times New Roman"/>
          <w:iCs/>
          <w:sz w:val="24"/>
          <w:szCs w:val="24"/>
        </w:rPr>
        <w:t>Subjektų</w:t>
      </w:r>
      <w:r w:rsidR="001D0E5D" w:rsidRPr="006740E5">
        <w:rPr>
          <w:rFonts w:ascii="Times New Roman" w:hAnsi="Times New Roman"/>
          <w:iCs/>
          <w:sz w:val="24"/>
          <w:szCs w:val="24"/>
        </w:rPr>
        <w:t xml:space="preserve"> kompetencijos analizė</w:t>
      </w:r>
      <w:r w:rsidR="001D0E5D" w:rsidRPr="006740E5">
        <w:rPr>
          <w:rFonts w:ascii="Times New Roman" w:hAnsi="Times New Roman"/>
          <w:iCs/>
          <w:sz w:val="24"/>
          <w:szCs w:val="24"/>
        </w:rPr>
        <w:tab/>
        <w:t>4</w:t>
      </w:r>
      <w:r w:rsidR="009D6DD9" w:rsidRPr="006740E5">
        <w:rPr>
          <w:rFonts w:ascii="Times New Roman" w:hAnsi="Times New Roman"/>
          <w:iCs/>
          <w:sz w:val="24"/>
          <w:szCs w:val="24"/>
        </w:rPr>
        <w:t>5</w:t>
      </w:r>
    </w:p>
    <w:p w:rsidR="00C66C7D" w:rsidRPr="006740E5" w:rsidRDefault="00C66C7D" w:rsidP="008170BE">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18 lentelė. AB ,,Lietuvos paštas’’ ir kitų Lietuvos pašto rinkos atstovų teikiamų paslau</w:t>
      </w:r>
      <w:r w:rsidR="001D0E5D" w:rsidRPr="006740E5">
        <w:rPr>
          <w:rFonts w:ascii="Times New Roman" w:hAnsi="Times New Roman"/>
          <w:iCs/>
          <w:sz w:val="24"/>
          <w:szCs w:val="24"/>
        </w:rPr>
        <w:t>gų spektro lyginamoji analizė</w:t>
      </w:r>
      <w:r w:rsidR="001D0E5D" w:rsidRPr="006740E5">
        <w:rPr>
          <w:rFonts w:ascii="Times New Roman" w:hAnsi="Times New Roman"/>
          <w:iCs/>
          <w:sz w:val="24"/>
          <w:szCs w:val="24"/>
        </w:rPr>
        <w:tab/>
        <w:t>4</w:t>
      </w:r>
      <w:r w:rsidR="009F2D04" w:rsidRPr="006740E5">
        <w:rPr>
          <w:rFonts w:ascii="Times New Roman" w:hAnsi="Times New Roman"/>
          <w:iCs/>
          <w:sz w:val="24"/>
          <w:szCs w:val="24"/>
        </w:rPr>
        <w:t>8</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19 lentelė. Respondentų klasifikacijos paga</w:t>
      </w:r>
      <w:r w:rsidR="001D0E5D" w:rsidRPr="006740E5">
        <w:rPr>
          <w:rFonts w:ascii="Times New Roman" w:hAnsi="Times New Roman"/>
          <w:iCs/>
          <w:sz w:val="24"/>
          <w:szCs w:val="24"/>
        </w:rPr>
        <w:t>l darbuotojų skaičių analizė</w:t>
      </w:r>
      <w:r w:rsidR="001D0E5D" w:rsidRPr="006740E5">
        <w:rPr>
          <w:rFonts w:ascii="Times New Roman" w:hAnsi="Times New Roman"/>
          <w:iCs/>
          <w:sz w:val="24"/>
          <w:szCs w:val="24"/>
        </w:rPr>
        <w:tab/>
        <w:t>5</w:t>
      </w:r>
      <w:r w:rsidR="009D6DD9" w:rsidRPr="006740E5">
        <w:rPr>
          <w:rFonts w:ascii="Times New Roman" w:hAnsi="Times New Roman"/>
          <w:iCs/>
          <w:sz w:val="24"/>
          <w:szCs w:val="24"/>
        </w:rPr>
        <w:t>2</w:t>
      </w:r>
    </w:p>
    <w:p w:rsidR="00C66C7D" w:rsidRPr="006740E5" w:rsidRDefault="00C66C7D" w:rsidP="003D1427">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20 lentelė. Ty</w:t>
      </w:r>
      <w:r w:rsidR="00653B68" w:rsidRPr="006740E5">
        <w:rPr>
          <w:rFonts w:ascii="Times New Roman" w:hAnsi="Times New Roman"/>
          <w:iCs/>
          <w:sz w:val="24"/>
          <w:szCs w:val="24"/>
        </w:rPr>
        <w:t>rimo rezultatų apibendrinimas</w:t>
      </w:r>
      <w:r w:rsidR="00653B68" w:rsidRPr="006740E5">
        <w:rPr>
          <w:rFonts w:ascii="Times New Roman" w:hAnsi="Times New Roman"/>
          <w:iCs/>
          <w:sz w:val="24"/>
          <w:szCs w:val="24"/>
        </w:rPr>
        <w:tab/>
        <w:t>5</w:t>
      </w:r>
      <w:r w:rsidR="009D6DD9" w:rsidRPr="006740E5">
        <w:rPr>
          <w:rFonts w:ascii="Times New Roman" w:hAnsi="Times New Roman"/>
          <w:iCs/>
          <w:sz w:val="24"/>
          <w:szCs w:val="24"/>
        </w:rPr>
        <w:t>5</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21 lentelė. E. paslaugų taikymo galimybių A</w:t>
      </w:r>
      <w:r w:rsidR="00653B68" w:rsidRPr="006740E5">
        <w:rPr>
          <w:rFonts w:ascii="Times New Roman" w:hAnsi="Times New Roman"/>
          <w:iCs/>
          <w:sz w:val="24"/>
          <w:szCs w:val="24"/>
        </w:rPr>
        <w:t>B ,,Lietuvos paštas’’ analizė</w:t>
      </w:r>
      <w:r w:rsidR="00653B68" w:rsidRPr="006740E5">
        <w:rPr>
          <w:rFonts w:ascii="Times New Roman" w:hAnsi="Times New Roman"/>
          <w:iCs/>
          <w:sz w:val="24"/>
          <w:szCs w:val="24"/>
        </w:rPr>
        <w:tab/>
        <w:t>5</w:t>
      </w:r>
      <w:r w:rsidR="009F2D04" w:rsidRPr="006740E5">
        <w:rPr>
          <w:rFonts w:ascii="Times New Roman" w:hAnsi="Times New Roman"/>
          <w:iCs/>
          <w:sz w:val="24"/>
          <w:szCs w:val="24"/>
        </w:rPr>
        <w:t>8</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22 lentelė. E. sutarčių AB ,,Lietuvos paštas’’ pritaikymo galimybi</w:t>
      </w:r>
      <w:r w:rsidR="00653B68" w:rsidRPr="006740E5">
        <w:rPr>
          <w:rFonts w:ascii="Times New Roman" w:hAnsi="Times New Roman"/>
          <w:iCs/>
          <w:sz w:val="24"/>
          <w:szCs w:val="24"/>
        </w:rPr>
        <w:t>ų analizė</w:t>
      </w:r>
      <w:r w:rsidR="00653B68" w:rsidRPr="006740E5">
        <w:rPr>
          <w:rFonts w:ascii="Times New Roman" w:hAnsi="Times New Roman"/>
          <w:iCs/>
          <w:sz w:val="24"/>
          <w:szCs w:val="24"/>
        </w:rPr>
        <w:tab/>
        <w:t>5</w:t>
      </w:r>
      <w:r w:rsidR="009F2D04" w:rsidRPr="006740E5">
        <w:rPr>
          <w:rFonts w:ascii="Times New Roman" w:hAnsi="Times New Roman"/>
          <w:iCs/>
          <w:sz w:val="24"/>
          <w:szCs w:val="24"/>
        </w:rPr>
        <w:t>8</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23 lentelė. E. prekybos AB ,,Lietuvos paštas’’</w:t>
      </w:r>
      <w:r w:rsidR="00653B68" w:rsidRPr="006740E5">
        <w:rPr>
          <w:rFonts w:ascii="Times New Roman" w:hAnsi="Times New Roman"/>
          <w:iCs/>
          <w:sz w:val="24"/>
          <w:szCs w:val="24"/>
        </w:rPr>
        <w:t xml:space="preserve"> pritaikymo galimybių analizė</w:t>
      </w:r>
      <w:r w:rsidR="00653B68" w:rsidRPr="006740E5">
        <w:rPr>
          <w:rFonts w:ascii="Times New Roman" w:hAnsi="Times New Roman"/>
          <w:iCs/>
          <w:sz w:val="24"/>
          <w:szCs w:val="24"/>
        </w:rPr>
        <w:tab/>
      </w:r>
      <w:r w:rsidR="009F2D04" w:rsidRPr="006740E5">
        <w:rPr>
          <w:rFonts w:ascii="Times New Roman" w:hAnsi="Times New Roman"/>
          <w:iCs/>
          <w:sz w:val="24"/>
          <w:szCs w:val="24"/>
        </w:rPr>
        <w:t>60</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lastRenderedPageBreak/>
        <w:t>24 lentelė. E. pranešimų AB ,,Lietuvos paštas’’</w:t>
      </w:r>
      <w:r w:rsidR="00653B68" w:rsidRPr="006740E5">
        <w:rPr>
          <w:rFonts w:ascii="Times New Roman" w:hAnsi="Times New Roman"/>
          <w:iCs/>
          <w:sz w:val="24"/>
          <w:szCs w:val="24"/>
        </w:rPr>
        <w:t xml:space="preserve"> pritaikymo galimybių analizė</w:t>
      </w:r>
      <w:r w:rsidR="00653B68" w:rsidRPr="006740E5">
        <w:rPr>
          <w:rFonts w:ascii="Times New Roman" w:hAnsi="Times New Roman"/>
          <w:iCs/>
          <w:sz w:val="24"/>
          <w:szCs w:val="24"/>
        </w:rPr>
        <w:tab/>
        <w:t>6</w:t>
      </w:r>
      <w:r w:rsidR="009F2D04" w:rsidRPr="006740E5">
        <w:rPr>
          <w:rFonts w:ascii="Times New Roman" w:hAnsi="Times New Roman"/>
          <w:iCs/>
          <w:sz w:val="24"/>
          <w:szCs w:val="24"/>
        </w:rPr>
        <w:t>1</w:t>
      </w:r>
    </w:p>
    <w:p w:rsidR="00C66C7D" w:rsidRPr="006740E5" w:rsidRDefault="00C66C7D" w:rsidP="008170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25 lentelė. E. atsiskaitymų AB ,,Lietuvos paštas’’</w:t>
      </w:r>
      <w:r w:rsidR="00653B68" w:rsidRPr="006740E5">
        <w:rPr>
          <w:rFonts w:ascii="Times New Roman" w:hAnsi="Times New Roman"/>
          <w:iCs/>
          <w:sz w:val="24"/>
          <w:szCs w:val="24"/>
        </w:rPr>
        <w:t xml:space="preserve"> pritaikymo galimybių analizė</w:t>
      </w:r>
      <w:r w:rsidR="00653B68" w:rsidRPr="006740E5">
        <w:rPr>
          <w:rFonts w:ascii="Times New Roman" w:hAnsi="Times New Roman"/>
          <w:iCs/>
          <w:sz w:val="24"/>
          <w:szCs w:val="24"/>
        </w:rPr>
        <w:tab/>
        <w:t>6</w:t>
      </w:r>
      <w:r w:rsidR="009F2D04" w:rsidRPr="006740E5">
        <w:rPr>
          <w:rFonts w:ascii="Times New Roman" w:hAnsi="Times New Roman"/>
          <w:iCs/>
          <w:sz w:val="24"/>
          <w:szCs w:val="24"/>
        </w:rPr>
        <w:t>2</w:t>
      </w:r>
    </w:p>
    <w:p w:rsidR="00C66C7D" w:rsidRPr="006740E5" w:rsidRDefault="00C66C7D" w:rsidP="003D1427">
      <w:pPr>
        <w:tabs>
          <w:tab w:val="left" w:pos="-6379"/>
        </w:tabs>
        <w:spacing w:after="0" w:line="360" w:lineRule="auto"/>
        <w:ind w:firstLine="567"/>
        <w:rPr>
          <w:rFonts w:ascii="Times New Roman" w:hAnsi="Times New Roman"/>
          <w:iCs/>
          <w:sz w:val="24"/>
          <w:szCs w:val="24"/>
        </w:rPr>
      </w:pPr>
    </w:p>
    <w:p w:rsidR="00C66C7D" w:rsidRPr="006740E5" w:rsidRDefault="00C66C7D" w:rsidP="003B6421">
      <w:pPr>
        <w:tabs>
          <w:tab w:val="left" w:pos="-6379"/>
        </w:tabs>
        <w:spacing w:line="360" w:lineRule="auto"/>
        <w:ind w:firstLine="567"/>
        <w:jc w:val="center"/>
        <w:rPr>
          <w:rFonts w:ascii="Times New Roman" w:hAnsi="Times New Roman"/>
          <w:b/>
          <w:sz w:val="24"/>
          <w:szCs w:val="24"/>
        </w:rPr>
      </w:pPr>
      <w:r w:rsidRPr="006740E5">
        <w:rPr>
          <w:rFonts w:ascii="Times New Roman" w:hAnsi="Times New Roman"/>
          <w:iCs/>
          <w:sz w:val="24"/>
          <w:szCs w:val="24"/>
        </w:rPr>
        <w:br w:type="page"/>
      </w:r>
      <w:bookmarkStart w:id="2" w:name="_Toc248397753"/>
      <w:r w:rsidRPr="006740E5">
        <w:rPr>
          <w:rFonts w:ascii="Times New Roman" w:hAnsi="Times New Roman"/>
          <w:b/>
          <w:sz w:val="24"/>
          <w:szCs w:val="24"/>
        </w:rPr>
        <w:lastRenderedPageBreak/>
        <w:t>PAVEIKSLAI</w:t>
      </w:r>
      <w:bookmarkEnd w:id="2"/>
    </w:p>
    <w:p w:rsidR="00C66C7D" w:rsidRPr="006740E5" w:rsidRDefault="00C66C7D" w:rsidP="003035BE">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 pav. Naujų žinių taikymo komercinei naudai gauti procesus nusakančių studijų ryšių analizė </w:t>
      </w:r>
      <w:r w:rsidRPr="006740E5">
        <w:rPr>
          <w:rFonts w:ascii="Times New Roman" w:hAnsi="Times New Roman"/>
          <w:iCs/>
          <w:sz w:val="24"/>
          <w:szCs w:val="24"/>
        </w:rPr>
        <w:tab/>
        <w:t>23</w:t>
      </w:r>
    </w:p>
    <w:p w:rsidR="00C66C7D" w:rsidRPr="006740E5" w:rsidRDefault="00C66C7D" w:rsidP="001D0E5D">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2 pav. Naujų žinių taikymo komercinei naudai gauti procesus nusakančių studijų ryšių ir tyrimo lygmenų analizė </w:t>
      </w:r>
      <w:r w:rsidRPr="006740E5">
        <w:rPr>
          <w:rFonts w:ascii="Times New Roman" w:hAnsi="Times New Roman"/>
          <w:iCs/>
          <w:sz w:val="24"/>
          <w:szCs w:val="24"/>
        </w:rPr>
        <w:tab/>
        <w:t>2</w:t>
      </w:r>
      <w:r w:rsidR="00B84894" w:rsidRPr="006740E5">
        <w:rPr>
          <w:rFonts w:ascii="Times New Roman" w:hAnsi="Times New Roman"/>
          <w:iCs/>
          <w:sz w:val="24"/>
          <w:szCs w:val="24"/>
        </w:rPr>
        <w:t>4</w:t>
      </w:r>
    </w:p>
    <w:p w:rsidR="00CA1A3B" w:rsidRPr="006740E5" w:rsidRDefault="00C66C7D" w:rsidP="001D0E5D">
      <w:pPr>
        <w:tabs>
          <w:tab w:val="left" w:pos="-6379"/>
          <w:tab w:val="left" w:leader="dot" w:pos="9639"/>
        </w:tabs>
        <w:spacing w:after="0" w:line="360" w:lineRule="auto"/>
        <w:ind w:right="-2"/>
        <w:jc w:val="both"/>
        <w:rPr>
          <w:rFonts w:ascii="Times New Roman" w:hAnsi="Times New Roman"/>
          <w:iCs/>
          <w:sz w:val="24"/>
          <w:szCs w:val="24"/>
        </w:rPr>
      </w:pPr>
      <w:r w:rsidRPr="006740E5">
        <w:rPr>
          <w:rFonts w:ascii="Times New Roman" w:hAnsi="Times New Roman"/>
          <w:iCs/>
          <w:sz w:val="24"/>
          <w:szCs w:val="24"/>
        </w:rPr>
        <w:t xml:space="preserve">3 pav. </w:t>
      </w:r>
      <w:r w:rsidR="00CA1A3B" w:rsidRPr="006740E5">
        <w:rPr>
          <w:rFonts w:ascii="Times New Roman" w:hAnsi="Times New Roman"/>
          <w:iCs/>
          <w:sz w:val="24"/>
          <w:szCs w:val="24"/>
        </w:rPr>
        <w:t xml:space="preserve">Atskirų tyrimų lygmenų, verslo veikimo aplinkos ir naujų žinių taikymo orientacijų sisteminė ryšių analizė </w:t>
      </w:r>
      <w:r w:rsidR="00CA1A3B" w:rsidRPr="006740E5">
        <w:rPr>
          <w:rFonts w:ascii="Times New Roman" w:hAnsi="Times New Roman"/>
          <w:iCs/>
          <w:sz w:val="24"/>
          <w:szCs w:val="24"/>
        </w:rPr>
        <w:tab/>
        <w:t>25</w:t>
      </w:r>
    </w:p>
    <w:p w:rsidR="00C66C7D" w:rsidRPr="006740E5" w:rsidRDefault="001D0E5D" w:rsidP="001D0E5D">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4 pav. </w:t>
      </w:r>
      <w:r w:rsidR="00C66C7D" w:rsidRPr="006740E5">
        <w:rPr>
          <w:rFonts w:ascii="Times New Roman" w:hAnsi="Times New Roman"/>
          <w:iCs/>
          <w:sz w:val="24"/>
          <w:szCs w:val="24"/>
        </w:rPr>
        <w:t xml:space="preserve">Pajamų pasiskirstymo pašto sektoriuje tarp valstybinio ir kitų pašto paslaugų teikėjų </w:t>
      </w:r>
      <w:r w:rsidRPr="006740E5">
        <w:rPr>
          <w:rFonts w:ascii="Times New Roman" w:hAnsi="Times New Roman"/>
          <w:iCs/>
          <w:sz w:val="24"/>
          <w:szCs w:val="24"/>
        </w:rPr>
        <w:br/>
      </w:r>
      <w:r w:rsidR="00C66C7D" w:rsidRPr="006740E5">
        <w:rPr>
          <w:rFonts w:ascii="Times New Roman" w:hAnsi="Times New Roman"/>
          <w:iCs/>
          <w:sz w:val="24"/>
          <w:szCs w:val="24"/>
        </w:rPr>
        <w:t>2002–20</w:t>
      </w:r>
      <w:r w:rsidRPr="006740E5">
        <w:rPr>
          <w:rFonts w:ascii="Times New Roman" w:hAnsi="Times New Roman"/>
          <w:iCs/>
          <w:sz w:val="24"/>
          <w:szCs w:val="24"/>
        </w:rPr>
        <w:t>10 m. III ketv. proc. analizė</w:t>
      </w:r>
      <w:r w:rsidRPr="006740E5">
        <w:rPr>
          <w:rFonts w:ascii="Times New Roman" w:hAnsi="Times New Roman"/>
          <w:iCs/>
          <w:sz w:val="24"/>
          <w:szCs w:val="24"/>
        </w:rPr>
        <w:tab/>
        <w:t>3</w:t>
      </w:r>
      <w:r w:rsidR="00B84894" w:rsidRPr="006740E5">
        <w:rPr>
          <w:rFonts w:ascii="Times New Roman" w:hAnsi="Times New Roman"/>
          <w:iCs/>
          <w:sz w:val="24"/>
          <w:szCs w:val="24"/>
        </w:rPr>
        <w:t>1</w:t>
      </w:r>
    </w:p>
    <w:p w:rsidR="00C66C7D" w:rsidRPr="006740E5" w:rsidRDefault="001D0E5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5</w:t>
      </w:r>
      <w:r w:rsidR="00C66C7D" w:rsidRPr="006740E5">
        <w:rPr>
          <w:rFonts w:ascii="Times New Roman" w:hAnsi="Times New Roman"/>
          <w:iCs/>
          <w:sz w:val="24"/>
          <w:szCs w:val="24"/>
        </w:rPr>
        <w:t xml:space="preserve"> pav. Pajamų pasiskirstymo pasiuntinių paslaugų teikimo rinkoje tarp valstybinio ir kitų pasiuntinių paslaugų teikėjų 2004−2010 m. III ketv. proc. analizė</w:t>
      </w:r>
      <w:r w:rsidR="00C66C7D" w:rsidRPr="006740E5">
        <w:rPr>
          <w:rFonts w:ascii="Times New Roman" w:hAnsi="Times New Roman"/>
          <w:iCs/>
          <w:sz w:val="24"/>
          <w:szCs w:val="24"/>
        </w:rPr>
        <w:tab/>
        <w:t>3</w:t>
      </w:r>
      <w:r w:rsidR="00B84894" w:rsidRPr="006740E5">
        <w:rPr>
          <w:rFonts w:ascii="Times New Roman" w:hAnsi="Times New Roman"/>
          <w:iCs/>
          <w:sz w:val="24"/>
          <w:szCs w:val="24"/>
        </w:rPr>
        <w:t>2</w:t>
      </w:r>
    </w:p>
    <w:p w:rsidR="00C66C7D" w:rsidRPr="006740E5" w:rsidRDefault="001D0E5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6</w:t>
      </w:r>
      <w:r w:rsidR="00C66C7D" w:rsidRPr="006740E5">
        <w:rPr>
          <w:rFonts w:ascii="Times New Roman" w:hAnsi="Times New Roman"/>
          <w:iCs/>
          <w:sz w:val="24"/>
          <w:szCs w:val="24"/>
        </w:rPr>
        <w:t xml:space="preserve"> pav. Pajamų pasiskirstymo pašto korespondencijos paslaugų teikimo rinkoje tarp valstybinio ir kitų pasiuntinių paslaugų teikėjų 2002−20</w:t>
      </w:r>
      <w:r w:rsidR="00B84894" w:rsidRPr="006740E5">
        <w:rPr>
          <w:rFonts w:ascii="Times New Roman" w:hAnsi="Times New Roman"/>
          <w:iCs/>
          <w:sz w:val="24"/>
          <w:szCs w:val="24"/>
        </w:rPr>
        <w:t>10 m. III ketv. proc. analizė</w:t>
      </w:r>
      <w:r w:rsidR="00B84894" w:rsidRPr="006740E5">
        <w:rPr>
          <w:rFonts w:ascii="Times New Roman" w:hAnsi="Times New Roman"/>
          <w:iCs/>
          <w:sz w:val="24"/>
          <w:szCs w:val="24"/>
        </w:rPr>
        <w:tab/>
        <w:t>33</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7 pav. Principinis ekonominės veiklos subjekto, valstybės ir vartojo santykių modelis </w:t>
      </w:r>
      <w:r w:rsidRPr="006740E5">
        <w:rPr>
          <w:rFonts w:ascii="Times New Roman" w:hAnsi="Times New Roman"/>
          <w:iCs/>
          <w:sz w:val="24"/>
          <w:szCs w:val="24"/>
        </w:rPr>
        <w:tab/>
        <w:t>3</w:t>
      </w:r>
      <w:r w:rsidR="00B84894" w:rsidRPr="006740E5">
        <w:rPr>
          <w:rFonts w:ascii="Times New Roman" w:hAnsi="Times New Roman"/>
          <w:iCs/>
          <w:sz w:val="24"/>
          <w:szCs w:val="24"/>
        </w:rPr>
        <w:t>4</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8 pav. Principinis pašto paslaugų teikėjų, valstybės ir pas</w:t>
      </w:r>
      <w:r w:rsidR="00B84894" w:rsidRPr="006740E5">
        <w:rPr>
          <w:rFonts w:ascii="Times New Roman" w:hAnsi="Times New Roman"/>
          <w:iCs/>
          <w:sz w:val="24"/>
          <w:szCs w:val="24"/>
        </w:rPr>
        <w:t>laugų gavėjo santykių modelis</w:t>
      </w:r>
      <w:r w:rsidR="00B84894" w:rsidRPr="006740E5">
        <w:rPr>
          <w:rFonts w:ascii="Times New Roman" w:hAnsi="Times New Roman"/>
          <w:iCs/>
          <w:sz w:val="24"/>
          <w:szCs w:val="24"/>
        </w:rPr>
        <w:tab/>
        <w:t>34</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9 pav. Detalizuotas pašto paslaugų teikėjų, valstybės ir paslaugų gavėjų santykių bei paslaugų teikimo modelis</w:t>
      </w:r>
      <w:r w:rsidRPr="006740E5">
        <w:rPr>
          <w:rFonts w:ascii="Times New Roman" w:hAnsi="Times New Roman"/>
          <w:iCs/>
          <w:sz w:val="24"/>
          <w:szCs w:val="24"/>
        </w:rPr>
        <w:tab/>
        <w:t>3</w:t>
      </w:r>
      <w:r w:rsidR="00B84894" w:rsidRPr="006740E5">
        <w:rPr>
          <w:rFonts w:ascii="Times New Roman" w:hAnsi="Times New Roman"/>
          <w:iCs/>
          <w:sz w:val="24"/>
          <w:szCs w:val="24"/>
        </w:rPr>
        <w:t>5</w:t>
      </w:r>
    </w:p>
    <w:p w:rsidR="00C66C7D" w:rsidRPr="006740E5" w:rsidRDefault="00C66C7D" w:rsidP="001A0D0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10 pav. Šiuo metu veikiantis AB ,,Lietuvos paštas’</w:t>
      </w:r>
      <w:r w:rsidR="00312F86" w:rsidRPr="006740E5">
        <w:rPr>
          <w:rFonts w:ascii="Times New Roman" w:hAnsi="Times New Roman"/>
          <w:iCs/>
          <w:sz w:val="24"/>
          <w:szCs w:val="24"/>
        </w:rPr>
        <w:t xml:space="preserve">’ </w:t>
      </w:r>
      <w:r w:rsidR="00B84894" w:rsidRPr="006740E5">
        <w:rPr>
          <w:rFonts w:ascii="Times New Roman" w:hAnsi="Times New Roman"/>
          <w:iCs/>
          <w:sz w:val="24"/>
          <w:szCs w:val="24"/>
        </w:rPr>
        <w:t>paslaugų teikimo modelis</w:t>
      </w:r>
      <w:r w:rsidR="00312F86" w:rsidRPr="006740E5">
        <w:rPr>
          <w:rFonts w:ascii="Times New Roman" w:hAnsi="Times New Roman"/>
          <w:iCs/>
          <w:sz w:val="24"/>
          <w:szCs w:val="24"/>
        </w:rPr>
        <w:t xml:space="preserve"> valstybės ir klientų kontekste</w:t>
      </w:r>
      <w:r w:rsidR="00B84894" w:rsidRPr="006740E5">
        <w:rPr>
          <w:rFonts w:ascii="Times New Roman" w:hAnsi="Times New Roman"/>
          <w:iCs/>
          <w:sz w:val="24"/>
          <w:szCs w:val="24"/>
        </w:rPr>
        <w:tab/>
        <w:t>35</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11 pav. Potencialių investuotojų požiūrio į AB ,,Lietuvos paštas’’ analizė (vnt.) </w:t>
      </w:r>
      <w:r w:rsidRPr="006740E5">
        <w:rPr>
          <w:rFonts w:ascii="Times New Roman" w:hAnsi="Times New Roman"/>
          <w:iCs/>
          <w:sz w:val="24"/>
          <w:szCs w:val="24"/>
        </w:rPr>
        <w:tab/>
        <w:t>4</w:t>
      </w:r>
      <w:r w:rsidR="00B84894" w:rsidRPr="006740E5">
        <w:rPr>
          <w:rFonts w:ascii="Times New Roman" w:hAnsi="Times New Roman"/>
          <w:iCs/>
          <w:sz w:val="24"/>
          <w:szCs w:val="24"/>
        </w:rPr>
        <w:t>7</w:t>
      </w:r>
    </w:p>
    <w:p w:rsidR="00C66C7D" w:rsidRPr="006740E5" w:rsidRDefault="00C66C7D" w:rsidP="0059782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12 pav. Nuotolinių veiklos organizavimo ir paslaugų teikimo būdų pasirinki</w:t>
      </w:r>
      <w:r w:rsidR="001D0E5D" w:rsidRPr="006740E5">
        <w:rPr>
          <w:rFonts w:ascii="Times New Roman" w:hAnsi="Times New Roman"/>
          <w:iCs/>
          <w:sz w:val="24"/>
          <w:szCs w:val="24"/>
        </w:rPr>
        <w:t xml:space="preserve">mo priežasčių analizė (vnt.) </w:t>
      </w:r>
      <w:r w:rsidR="001D0E5D" w:rsidRPr="006740E5">
        <w:rPr>
          <w:rFonts w:ascii="Times New Roman" w:hAnsi="Times New Roman"/>
          <w:iCs/>
          <w:sz w:val="24"/>
          <w:szCs w:val="24"/>
        </w:rPr>
        <w:tab/>
        <w:t>4</w:t>
      </w:r>
      <w:r w:rsidR="00133220" w:rsidRPr="006740E5">
        <w:rPr>
          <w:rFonts w:ascii="Times New Roman" w:hAnsi="Times New Roman"/>
          <w:iCs/>
          <w:sz w:val="24"/>
          <w:szCs w:val="24"/>
        </w:rPr>
        <w:t>9</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13 pav. Lietuvos pašto rinkoje teikiamų e. paslaugų analizė (vn</w:t>
      </w:r>
      <w:r w:rsidR="00133220" w:rsidRPr="006740E5">
        <w:rPr>
          <w:rFonts w:ascii="Times New Roman" w:hAnsi="Times New Roman"/>
          <w:iCs/>
          <w:sz w:val="24"/>
          <w:szCs w:val="24"/>
        </w:rPr>
        <w:t xml:space="preserve">t.) </w:t>
      </w:r>
      <w:r w:rsidR="00133220" w:rsidRPr="006740E5">
        <w:rPr>
          <w:rFonts w:ascii="Times New Roman" w:hAnsi="Times New Roman"/>
          <w:iCs/>
          <w:sz w:val="24"/>
          <w:szCs w:val="24"/>
        </w:rPr>
        <w:tab/>
        <w:t>50</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 xml:space="preserve">14 pav. Taikomų atsiskaitymo metodų Lietuvos </w:t>
      </w:r>
      <w:r w:rsidR="001D0E5D" w:rsidRPr="006740E5">
        <w:rPr>
          <w:rFonts w:ascii="Times New Roman" w:hAnsi="Times New Roman"/>
          <w:iCs/>
          <w:sz w:val="24"/>
          <w:szCs w:val="24"/>
        </w:rPr>
        <w:t xml:space="preserve">pašto rinkoje analizė (vnt.) </w:t>
      </w:r>
      <w:r w:rsidR="001D0E5D" w:rsidRPr="006740E5">
        <w:rPr>
          <w:rFonts w:ascii="Times New Roman" w:hAnsi="Times New Roman"/>
          <w:iCs/>
          <w:sz w:val="24"/>
          <w:szCs w:val="24"/>
        </w:rPr>
        <w:tab/>
        <w:t>5</w:t>
      </w:r>
      <w:r w:rsidR="009D6DD9" w:rsidRPr="006740E5">
        <w:rPr>
          <w:rFonts w:ascii="Times New Roman" w:hAnsi="Times New Roman"/>
          <w:iCs/>
          <w:sz w:val="24"/>
          <w:szCs w:val="24"/>
        </w:rPr>
        <w:t>0</w:t>
      </w:r>
    </w:p>
    <w:p w:rsidR="00C66C7D" w:rsidRPr="006740E5" w:rsidRDefault="00C66C7D" w:rsidP="0059782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15 pav. Valstybinės įmonės AB ,,Lietuvos paštas‘‘ ir kitų Lietuvos pašto rinkos dalyvių teikiamų</w:t>
      </w:r>
      <w:r w:rsidR="001D0E5D" w:rsidRPr="006740E5">
        <w:rPr>
          <w:rFonts w:ascii="Times New Roman" w:hAnsi="Times New Roman"/>
          <w:iCs/>
          <w:sz w:val="24"/>
          <w:szCs w:val="24"/>
        </w:rPr>
        <w:t xml:space="preserve"> </w:t>
      </w:r>
      <w:r w:rsidR="001D0E5D" w:rsidRPr="006740E5">
        <w:rPr>
          <w:rFonts w:ascii="Times New Roman" w:hAnsi="Times New Roman"/>
          <w:iCs/>
          <w:sz w:val="24"/>
          <w:szCs w:val="24"/>
        </w:rPr>
        <w:br/>
        <w:t xml:space="preserve">e. paslaugų analizė (vnt.) </w:t>
      </w:r>
      <w:r w:rsidR="001D0E5D" w:rsidRPr="006740E5">
        <w:rPr>
          <w:rFonts w:ascii="Times New Roman" w:hAnsi="Times New Roman"/>
          <w:iCs/>
          <w:sz w:val="24"/>
          <w:szCs w:val="24"/>
        </w:rPr>
        <w:tab/>
        <w:t>5</w:t>
      </w:r>
      <w:r w:rsidR="00133220" w:rsidRPr="006740E5">
        <w:rPr>
          <w:rFonts w:ascii="Times New Roman" w:hAnsi="Times New Roman"/>
          <w:iCs/>
          <w:sz w:val="24"/>
          <w:szCs w:val="24"/>
        </w:rPr>
        <w:t>1</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16 pav. AB ,,Lietuvos paštas’’ darbo orga</w:t>
      </w:r>
      <w:r w:rsidR="001D0E5D" w:rsidRPr="006740E5">
        <w:rPr>
          <w:rFonts w:ascii="Times New Roman" w:hAnsi="Times New Roman"/>
          <w:iCs/>
          <w:sz w:val="24"/>
          <w:szCs w:val="24"/>
        </w:rPr>
        <w:t xml:space="preserve">nizavimo metodų vertinimas </w:t>
      </w:r>
      <w:r w:rsidR="001D0E5D" w:rsidRPr="006740E5">
        <w:rPr>
          <w:rFonts w:ascii="Times New Roman" w:hAnsi="Times New Roman"/>
          <w:iCs/>
          <w:sz w:val="24"/>
          <w:szCs w:val="24"/>
        </w:rPr>
        <w:tab/>
        <w:t>5</w:t>
      </w:r>
      <w:r w:rsidR="00133220" w:rsidRPr="006740E5">
        <w:rPr>
          <w:rFonts w:ascii="Times New Roman" w:hAnsi="Times New Roman"/>
          <w:iCs/>
          <w:sz w:val="24"/>
          <w:szCs w:val="24"/>
        </w:rPr>
        <w:t>2</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17 pav. AB ,,Lietuvos paštas’’ rinkodaro</w:t>
      </w:r>
      <w:r w:rsidR="001D0E5D" w:rsidRPr="006740E5">
        <w:rPr>
          <w:rFonts w:ascii="Times New Roman" w:hAnsi="Times New Roman"/>
          <w:iCs/>
          <w:sz w:val="24"/>
          <w:szCs w:val="24"/>
        </w:rPr>
        <w:t xml:space="preserve">s sistemos vertinimas (vnt.) </w:t>
      </w:r>
      <w:r w:rsidR="001D0E5D" w:rsidRPr="006740E5">
        <w:rPr>
          <w:rFonts w:ascii="Times New Roman" w:hAnsi="Times New Roman"/>
          <w:iCs/>
          <w:sz w:val="24"/>
          <w:szCs w:val="24"/>
        </w:rPr>
        <w:tab/>
        <w:t>5</w:t>
      </w:r>
      <w:r w:rsidR="00133220" w:rsidRPr="006740E5">
        <w:rPr>
          <w:rFonts w:ascii="Times New Roman" w:hAnsi="Times New Roman"/>
          <w:iCs/>
          <w:sz w:val="24"/>
          <w:szCs w:val="24"/>
        </w:rPr>
        <w:t>3</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18 pav. AB ,,Lietuvos paštas’’ teikiamų paslaugų Lietuvos paš</w:t>
      </w:r>
      <w:r w:rsidR="00653B68" w:rsidRPr="006740E5">
        <w:rPr>
          <w:rFonts w:ascii="Times New Roman" w:hAnsi="Times New Roman"/>
          <w:iCs/>
          <w:sz w:val="24"/>
          <w:szCs w:val="24"/>
        </w:rPr>
        <w:t xml:space="preserve">to rinkoje vertinimas (vnt.) </w:t>
      </w:r>
      <w:r w:rsidR="00653B68" w:rsidRPr="006740E5">
        <w:rPr>
          <w:rFonts w:ascii="Times New Roman" w:hAnsi="Times New Roman"/>
          <w:iCs/>
          <w:sz w:val="24"/>
          <w:szCs w:val="24"/>
        </w:rPr>
        <w:tab/>
        <w:t>5</w:t>
      </w:r>
      <w:r w:rsidR="00133220" w:rsidRPr="006740E5">
        <w:rPr>
          <w:rFonts w:ascii="Times New Roman" w:hAnsi="Times New Roman"/>
          <w:iCs/>
          <w:sz w:val="24"/>
          <w:szCs w:val="24"/>
        </w:rPr>
        <w:t>4</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19 pav. Klientų, pagal juridinį statusą, reikšmingumo Lietuvos paš</w:t>
      </w:r>
      <w:r w:rsidR="00653B68" w:rsidRPr="006740E5">
        <w:rPr>
          <w:rFonts w:ascii="Times New Roman" w:hAnsi="Times New Roman"/>
          <w:iCs/>
          <w:sz w:val="24"/>
          <w:szCs w:val="24"/>
        </w:rPr>
        <w:t xml:space="preserve">to rinkoje vertinimas (vnt.) </w:t>
      </w:r>
      <w:r w:rsidR="00653B68" w:rsidRPr="006740E5">
        <w:rPr>
          <w:rFonts w:ascii="Times New Roman" w:hAnsi="Times New Roman"/>
          <w:iCs/>
          <w:sz w:val="24"/>
          <w:szCs w:val="24"/>
        </w:rPr>
        <w:tab/>
        <w:t>5</w:t>
      </w:r>
      <w:r w:rsidR="009D6DD9" w:rsidRPr="006740E5">
        <w:rPr>
          <w:rFonts w:ascii="Times New Roman" w:hAnsi="Times New Roman"/>
          <w:iCs/>
          <w:sz w:val="24"/>
          <w:szCs w:val="24"/>
        </w:rPr>
        <w:t>4</w:t>
      </w:r>
    </w:p>
    <w:p w:rsidR="00C66C7D" w:rsidRPr="006740E5" w:rsidRDefault="00C66C7D" w:rsidP="00597826">
      <w:pPr>
        <w:tabs>
          <w:tab w:val="left" w:pos="-6379"/>
          <w:tab w:val="left" w:leader="dot" w:pos="9639"/>
        </w:tabs>
        <w:spacing w:after="0" w:line="360" w:lineRule="auto"/>
        <w:rPr>
          <w:rFonts w:ascii="Times New Roman" w:hAnsi="Times New Roman"/>
          <w:iCs/>
          <w:sz w:val="24"/>
          <w:szCs w:val="24"/>
        </w:rPr>
      </w:pPr>
      <w:r w:rsidRPr="006740E5">
        <w:rPr>
          <w:rFonts w:ascii="Times New Roman" w:hAnsi="Times New Roman"/>
          <w:iCs/>
          <w:sz w:val="24"/>
          <w:szCs w:val="24"/>
        </w:rPr>
        <w:t>20 pav. Klientų (pagal juridinį statusą) ir e. paslaugų tei</w:t>
      </w:r>
      <w:r w:rsidR="00653B68" w:rsidRPr="006740E5">
        <w:rPr>
          <w:rFonts w:ascii="Times New Roman" w:hAnsi="Times New Roman"/>
          <w:iCs/>
          <w:sz w:val="24"/>
          <w:szCs w:val="24"/>
        </w:rPr>
        <w:t xml:space="preserve">kimo sąveikos analizė (vnt.) </w:t>
      </w:r>
      <w:r w:rsidR="00653B68" w:rsidRPr="006740E5">
        <w:rPr>
          <w:rFonts w:ascii="Times New Roman" w:hAnsi="Times New Roman"/>
          <w:iCs/>
          <w:sz w:val="24"/>
          <w:szCs w:val="24"/>
        </w:rPr>
        <w:tab/>
        <w:t>5</w:t>
      </w:r>
      <w:r w:rsidR="00133220" w:rsidRPr="006740E5">
        <w:rPr>
          <w:rFonts w:ascii="Times New Roman" w:hAnsi="Times New Roman"/>
          <w:iCs/>
          <w:sz w:val="24"/>
          <w:szCs w:val="24"/>
        </w:rPr>
        <w:t>5</w:t>
      </w:r>
    </w:p>
    <w:p w:rsidR="00C66C7D" w:rsidRPr="006740E5" w:rsidRDefault="00A5295E" w:rsidP="00597826">
      <w:pPr>
        <w:tabs>
          <w:tab w:val="left" w:pos="-6379"/>
          <w:tab w:val="left" w:leader="dot" w:pos="9639"/>
        </w:tabs>
        <w:spacing w:after="0" w:line="360" w:lineRule="auto"/>
        <w:jc w:val="both"/>
        <w:rPr>
          <w:rFonts w:ascii="Times New Roman" w:hAnsi="Times New Roman"/>
          <w:iCs/>
          <w:sz w:val="24"/>
          <w:szCs w:val="24"/>
        </w:rPr>
      </w:pPr>
      <w:r w:rsidRPr="006740E5">
        <w:rPr>
          <w:rFonts w:ascii="Times New Roman" w:hAnsi="Times New Roman"/>
          <w:iCs/>
          <w:sz w:val="24"/>
          <w:szCs w:val="24"/>
        </w:rPr>
        <w:t xml:space="preserve">21 pav. Rekomenduojamas </w:t>
      </w:r>
      <w:r w:rsidR="00312F86" w:rsidRPr="006740E5">
        <w:rPr>
          <w:rFonts w:ascii="Times New Roman" w:hAnsi="Times New Roman"/>
          <w:iCs/>
          <w:sz w:val="24"/>
          <w:szCs w:val="24"/>
        </w:rPr>
        <w:t xml:space="preserve">teorinis </w:t>
      </w:r>
      <w:r w:rsidRPr="006740E5">
        <w:rPr>
          <w:rFonts w:ascii="Times New Roman" w:hAnsi="Times New Roman"/>
          <w:iCs/>
          <w:sz w:val="24"/>
          <w:szCs w:val="24"/>
        </w:rPr>
        <w:t>l</w:t>
      </w:r>
      <w:r w:rsidR="00C66C7D" w:rsidRPr="006740E5">
        <w:rPr>
          <w:rFonts w:ascii="Times New Roman" w:hAnsi="Times New Roman"/>
          <w:iCs/>
          <w:sz w:val="24"/>
          <w:szCs w:val="24"/>
        </w:rPr>
        <w:t>iberalizuotai pašto rinkai pritaikytas AB ,,</w:t>
      </w:r>
      <w:r w:rsidR="00312F86" w:rsidRPr="006740E5">
        <w:rPr>
          <w:rFonts w:ascii="Times New Roman" w:hAnsi="Times New Roman"/>
          <w:iCs/>
          <w:sz w:val="24"/>
          <w:szCs w:val="24"/>
        </w:rPr>
        <w:t xml:space="preserve">Lietuvos paštas’’ </w:t>
      </w:r>
      <w:r w:rsidR="00653B68" w:rsidRPr="006740E5">
        <w:rPr>
          <w:rFonts w:ascii="Times New Roman" w:hAnsi="Times New Roman"/>
          <w:iCs/>
          <w:sz w:val="24"/>
          <w:szCs w:val="24"/>
        </w:rPr>
        <w:t xml:space="preserve">paslaugų teikimo modelis </w:t>
      </w:r>
      <w:r w:rsidR="00312F86" w:rsidRPr="006740E5">
        <w:rPr>
          <w:rFonts w:ascii="Times New Roman" w:hAnsi="Times New Roman"/>
          <w:iCs/>
          <w:sz w:val="24"/>
          <w:szCs w:val="24"/>
        </w:rPr>
        <w:t>valstybės ir klientų kontekste</w:t>
      </w:r>
      <w:r w:rsidR="00653B68" w:rsidRPr="006740E5">
        <w:rPr>
          <w:rFonts w:ascii="Times New Roman" w:hAnsi="Times New Roman"/>
          <w:iCs/>
          <w:sz w:val="24"/>
          <w:szCs w:val="24"/>
        </w:rPr>
        <w:tab/>
        <w:t>5</w:t>
      </w:r>
      <w:r w:rsidR="00133220" w:rsidRPr="006740E5">
        <w:rPr>
          <w:rFonts w:ascii="Times New Roman" w:hAnsi="Times New Roman"/>
          <w:iCs/>
          <w:sz w:val="24"/>
          <w:szCs w:val="24"/>
        </w:rPr>
        <w:t>7</w:t>
      </w:r>
    </w:p>
    <w:p w:rsidR="00597826" w:rsidRPr="006740E5" w:rsidRDefault="00C66C7D" w:rsidP="00597826">
      <w:pPr>
        <w:tabs>
          <w:tab w:val="left" w:pos="-6379"/>
          <w:tab w:val="left" w:leader="dot" w:pos="9639"/>
        </w:tabs>
        <w:spacing w:after="0" w:line="360" w:lineRule="auto"/>
        <w:jc w:val="both"/>
        <w:rPr>
          <w:rFonts w:ascii="Times New Roman" w:hAnsi="Times New Roman"/>
          <w:iCs/>
          <w:sz w:val="2"/>
          <w:szCs w:val="2"/>
        </w:rPr>
      </w:pPr>
      <w:r w:rsidRPr="006740E5">
        <w:rPr>
          <w:rFonts w:ascii="Times New Roman" w:hAnsi="Times New Roman"/>
          <w:iCs/>
          <w:sz w:val="24"/>
          <w:szCs w:val="24"/>
        </w:rPr>
        <w:t>22 pav. ES valstybinių (ir jau privatizuotų) pašto paslaugų teikėjų teikiam</w:t>
      </w:r>
      <w:r w:rsidR="00653B68" w:rsidRPr="006740E5">
        <w:rPr>
          <w:rFonts w:ascii="Times New Roman" w:hAnsi="Times New Roman"/>
          <w:iCs/>
          <w:sz w:val="24"/>
          <w:szCs w:val="24"/>
        </w:rPr>
        <w:t xml:space="preserve">ų e. paslaugų analizė (vnt.) </w:t>
      </w:r>
      <w:r w:rsidR="00653B68" w:rsidRPr="006740E5">
        <w:rPr>
          <w:rFonts w:ascii="Times New Roman" w:hAnsi="Times New Roman"/>
          <w:iCs/>
          <w:sz w:val="24"/>
          <w:szCs w:val="24"/>
        </w:rPr>
        <w:tab/>
        <w:t>6</w:t>
      </w:r>
      <w:r w:rsidR="00133220" w:rsidRPr="006740E5">
        <w:rPr>
          <w:rFonts w:ascii="Times New Roman" w:hAnsi="Times New Roman"/>
          <w:iCs/>
          <w:sz w:val="24"/>
          <w:szCs w:val="24"/>
        </w:rPr>
        <w:t>5</w:t>
      </w:r>
      <w:r w:rsidRPr="006740E5">
        <w:rPr>
          <w:rFonts w:ascii="Times New Roman" w:hAnsi="Times New Roman"/>
          <w:iCs/>
          <w:sz w:val="24"/>
          <w:szCs w:val="24"/>
        </w:rPr>
        <w:br w:type="page"/>
      </w:r>
      <w:bookmarkStart w:id="3" w:name="_Toc248397754"/>
    </w:p>
    <w:p w:rsidR="00C66C7D" w:rsidRPr="006740E5" w:rsidRDefault="00C66C7D" w:rsidP="00597826">
      <w:pPr>
        <w:tabs>
          <w:tab w:val="left" w:pos="-6379"/>
          <w:tab w:val="left" w:leader="dot" w:pos="9639"/>
        </w:tabs>
        <w:spacing w:after="0" w:line="360" w:lineRule="auto"/>
        <w:jc w:val="center"/>
        <w:rPr>
          <w:rFonts w:ascii="Times New Roman" w:hAnsi="Times New Roman"/>
          <w:b/>
          <w:sz w:val="28"/>
          <w:szCs w:val="28"/>
        </w:rPr>
      </w:pPr>
      <w:r w:rsidRPr="006740E5">
        <w:rPr>
          <w:rFonts w:ascii="Times New Roman" w:hAnsi="Times New Roman"/>
          <w:b/>
          <w:sz w:val="24"/>
          <w:szCs w:val="24"/>
        </w:rPr>
        <w:lastRenderedPageBreak/>
        <w:t>SANTRUMPOS</w:t>
      </w:r>
      <w:bookmarkEnd w:id="3"/>
    </w:p>
    <w:p w:rsidR="00C66C7D" w:rsidRPr="006740E5" w:rsidRDefault="00C66C7D" w:rsidP="0022425B">
      <w:pPr>
        <w:tabs>
          <w:tab w:val="left" w:pos="-6379"/>
        </w:tabs>
        <w:spacing w:after="0" w:line="360" w:lineRule="auto"/>
        <w:ind w:firstLine="567"/>
        <w:rPr>
          <w:rFonts w:ascii="Times New Roman" w:hAnsi="Times New Roman"/>
          <w:iCs/>
          <w:sz w:val="24"/>
          <w:szCs w:val="24"/>
        </w:rPr>
      </w:pP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AB</w:t>
      </w:r>
      <w:r w:rsidRPr="006740E5">
        <w:rPr>
          <w:rFonts w:ascii="Times New Roman" w:hAnsi="Times New Roman"/>
          <w:iCs/>
          <w:sz w:val="24"/>
          <w:szCs w:val="24"/>
        </w:rPr>
        <w:t xml:space="preserve"> – akcinė bendrovė</w:t>
      </w:r>
    </w:p>
    <w:p w:rsidR="00C66C7D" w:rsidRPr="006740E5" w:rsidRDefault="00C66C7D" w:rsidP="0022425B">
      <w:pPr>
        <w:tabs>
          <w:tab w:val="left" w:pos="-6379"/>
        </w:tabs>
        <w:spacing w:after="0" w:line="360" w:lineRule="auto"/>
        <w:ind w:firstLine="567"/>
        <w:rPr>
          <w:rFonts w:ascii="Times New Roman" w:hAnsi="Times New Roman"/>
          <w:sz w:val="24"/>
          <w:szCs w:val="24"/>
        </w:rPr>
      </w:pPr>
      <w:r w:rsidRPr="006740E5">
        <w:rPr>
          <w:rFonts w:ascii="Times New Roman" w:hAnsi="Times New Roman"/>
          <w:b/>
          <w:sz w:val="24"/>
          <w:szCs w:val="24"/>
        </w:rPr>
        <w:t>CVVS</w:t>
      </w:r>
      <w:r w:rsidRPr="006740E5">
        <w:rPr>
          <w:rFonts w:ascii="Times New Roman" w:hAnsi="Times New Roman"/>
          <w:sz w:val="24"/>
          <w:szCs w:val="24"/>
        </w:rPr>
        <w:t xml:space="preserve"> – centralizuotoji paštų veiklos valdymo sistema</w:t>
      </w:r>
    </w:p>
    <w:p w:rsidR="00C66C7D" w:rsidRPr="006740E5" w:rsidRDefault="00C66C7D" w:rsidP="0022425B">
      <w:pPr>
        <w:tabs>
          <w:tab w:val="left" w:pos="-6379"/>
        </w:tabs>
        <w:spacing w:after="0" w:line="360" w:lineRule="auto"/>
        <w:ind w:firstLine="567"/>
        <w:rPr>
          <w:rFonts w:ascii="Times New Roman" w:hAnsi="Times New Roman"/>
          <w:iCs/>
          <w:sz w:val="24"/>
          <w:szCs w:val="24"/>
        </w:rPr>
      </w:pPr>
      <w:r w:rsidRPr="006740E5">
        <w:rPr>
          <w:rFonts w:ascii="Times New Roman" w:hAnsi="Times New Roman"/>
          <w:b/>
          <w:iCs/>
          <w:sz w:val="24"/>
          <w:szCs w:val="24"/>
        </w:rPr>
        <w:t>CRM</w:t>
      </w:r>
      <w:r w:rsidRPr="006740E5">
        <w:rPr>
          <w:rFonts w:ascii="Times New Roman" w:hAnsi="Times New Roman"/>
          <w:iCs/>
          <w:sz w:val="24"/>
          <w:szCs w:val="24"/>
        </w:rPr>
        <w:t xml:space="preserve"> </w:t>
      </w:r>
      <w:r w:rsidRPr="006740E5">
        <w:rPr>
          <w:rFonts w:ascii="Times New Roman" w:hAnsi="Times New Roman"/>
          <w:i/>
          <w:sz w:val="24"/>
          <w:szCs w:val="24"/>
        </w:rPr>
        <w:t xml:space="preserve">(angl. client relationship management) – </w:t>
      </w:r>
      <w:r w:rsidRPr="006740E5">
        <w:rPr>
          <w:rFonts w:ascii="Times New Roman" w:hAnsi="Times New Roman"/>
          <w:sz w:val="24"/>
          <w:szCs w:val="24"/>
        </w:rPr>
        <w:t>santykių su klientais valdymas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ES</w:t>
      </w:r>
      <w:r w:rsidRPr="006740E5">
        <w:rPr>
          <w:rFonts w:ascii="Times New Roman" w:hAnsi="Times New Roman"/>
          <w:iCs/>
          <w:sz w:val="24"/>
          <w:szCs w:val="24"/>
        </w:rPr>
        <w:t xml:space="preserve"> – Europos sąjunga</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EVK </w:t>
      </w:r>
      <w:r w:rsidRPr="006740E5">
        <w:rPr>
          <w:rFonts w:ascii="Times New Roman" w:hAnsi="Times New Roman"/>
          <w:iCs/>
          <w:sz w:val="24"/>
          <w:szCs w:val="24"/>
        </w:rPr>
        <w:t>– ekonominės veiklos kodas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EVRK</w:t>
      </w:r>
      <w:r w:rsidRPr="006740E5">
        <w:rPr>
          <w:rFonts w:ascii="Times New Roman" w:hAnsi="Times New Roman"/>
          <w:iCs/>
          <w:sz w:val="24"/>
          <w:szCs w:val="24"/>
        </w:rPr>
        <w:t xml:space="preserve"> – ekonominės veiklos rūšių klasifikatorius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IKT</w:t>
      </w:r>
      <w:r w:rsidRPr="006740E5">
        <w:rPr>
          <w:rFonts w:ascii="Times New Roman" w:hAnsi="Times New Roman"/>
          <w:iCs/>
          <w:sz w:val="24"/>
          <w:szCs w:val="24"/>
        </w:rPr>
        <w:t xml:space="preserve"> – informacinės komunikacinės technologijos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IPP</w:t>
      </w:r>
      <w:r w:rsidRPr="006740E5">
        <w:rPr>
          <w:rFonts w:ascii="Times New Roman" w:hAnsi="Times New Roman"/>
          <w:iCs/>
          <w:sz w:val="24"/>
          <w:szCs w:val="24"/>
        </w:rPr>
        <w:t xml:space="preserve"> – informacijos paruošimo paslauga</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LR</w:t>
      </w:r>
      <w:r w:rsidRPr="006740E5">
        <w:rPr>
          <w:rFonts w:ascii="Times New Roman" w:hAnsi="Times New Roman"/>
          <w:iCs/>
          <w:sz w:val="24"/>
          <w:szCs w:val="24"/>
        </w:rPr>
        <w:t xml:space="preserve"> – Lietuvos Respublika</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RRT</w:t>
      </w:r>
      <w:r w:rsidRPr="006740E5">
        <w:rPr>
          <w:rFonts w:ascii="Times New Roman" w:hAnsi="Times New Roman"/>
          <w:iCs/>
          <w:sz w:val="24"/>
          <w:szCs w:val="24"/>
        </w:rPr>
        <w:t xml:space="preserve"> – Lietuvos Respublikos Ryšių reguliavimo tarnyba</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SVV</w:t>
      </w:r>
      <w:r w:rsidRPr="006740E5">
        <w:rPr>
          <w:rFonts w:ascii="Times New Roman" w:hAnsi="Times New Roman"/>
          <w:iCs/>
          <w:sz w:val="24"/>
          <w:szCs w:val="24"/>
        </w:rPr>
        <w:t xml:space="preserve"> – smulkus ir vidutinis verslas</w:t>
      </w:r>
    </w:p>
    <w:p w:rsidR="00C66C7D" w:rsidRPr="006740E5" w:rsidRDefault="00C66C7D" w:rsidP="0022425B">
      <w:pPr>
        <w:tabs>
          <w:tab w:val="left" w:pos="-6379"/>
        </w:tabs>
        <w:spacing w:after="0" w:line="360" w:lineRule="auto"/>
        <w:ind w:firstLine="567"/>
        <w:rPr>
          <w:rFonts w:ascii="Times New Roman" w:hAnsi="Times New Roman"/>
          <w:iCs/>
          <w:sz w:val="24"/>
          <w:szCs w:val="24"/>
        </w:rPr>
      </w:pPr>
      <w:r w:rsidRPr="006740E5">
        <w:rPr>
          <w:rFonts w:ascii="Times New Roman" w:hAnsi="Times New Roman"/>
          <w:b/>
          <w:iCs/>
          <w:sz w:val="24"/>
          <w:szCs w:val="24"/>
        </w:rPr>
        <w:t>UPP</w:t>
      </w:r>
      <w:r w:rsidRPr="006740E5">
        <w:rPr>
          <w:rFonts w:ascii="Times New Roman" w:hAnsi="Times New Roman"/>
          <w:iCs/>
          <w:sz w:val="24"/>
          <w:szCs w:val="24"/>
        </w:rPr>
        <w:t xml:space="preserve"> – universaliosios pašto paslaugos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VĮ</w:t>
      </w:r>
      <w:r w:rsidRPr="006740E5">
        <w:rPr>
          <w:rFonts w:ascii="Times New Roman" w:hAnsi="Times New Roman"/>
          <w:iCs/>
          <w:sz w:val="24"/>
          <w:szCs w:val="24"/>
        </w:rPr>
        <w:t xml:space="preserve"> – viešoji įstaiga</w:t>
      </w:r>
    </w:p>
    <w:p w:rsidR="00C66C7D" w:rsidRPr="006740E5" w:rsidRDefault="00C66C7D" w:rsidP="0022425B">
      <w:pPr>
        <w:tabs>
          <w:tab w:val="left" w:pos="-6379"/>
        </w:tabs>
        <w:spacing w:after="0" w:line="360" w:lineRule="auto"/>
        <w:ind w:firstLine="567"/>
        <w:rPr>
          <w:rFonts w:ascii="Times New Roman" w:hAnsi="Times New Roman"/>
          <w:iCs/>
          <w:sz w:val="24"/>
          <w:szCs w:val="24"/>
        </w:rPr>
      </w:pPr>
    </w:p>
    <w:p w:rsidR="00C66C7D" w:rsidRPr="006740E5" w:rsidRDefault="00C66C7D" w:rsidP="008F1E61">
      <w:pPr>
        <w:tabs>
          <w:tab w:val="left" w:pos="-6379"/>
        </w:tabs>
        <w:ind w:firstLine="567"/>
        <w:jc w:val="center"/>
        <w:rPr>
          <w:rFonts w:ascii="Times New Roman" w:hAnsi="Times New Roman"/>
          <w:b/>
          <w:sz w:val="24"/>
          <w:szCs w:val="24"/>
        </w:rPr>
      </w:pPr>
      <w:r w:rsidRPr="006740E5">
        <w:rPr>
          <w:rFonts w:ascii="Times New Roman" w:hAnsi="Times New Roman"/>
          <w:iCs/>
          <w:sz w:val="24"/>
          <w:szCs w:val="24"/>
        </w:rPr>
        <w:br w:type="page"/>
      </w:r>
      <w:r w:rsidRPr="006740E5">
        <w:rPr>
          <w:rFonts w:ascii="Times New Roman" w:hAnsi="Times New Roman"/>
          <w:b/>
          <w:sz w:val="24"/>
          <w:szCs w:val="24"/>
        </w:rPr>
        <w:lastRenderedPageBreak/>
        <w:t>SĄVOKOS</w:t>
      </w:r>
    </w:p>
    <w:p w:rsidR="008F1E61" w:rsidRPr="006740E5" w:rsidRDefault="008F1E61" w:rsidP="0052019C">
      <w:pPr>
        <w:tabs>
          <w:tab w:val="left" w:pos="-6379"/>
        </w:tabs>
        <w:spacing w:after="0" w:line="360" w:lineRule="auto"/>
        <w:ind w:firstLine="567"/>
        <w:jc w:val="both"/>
        <w:rPr>
          <w:rFonts w:ascii="Times New Roman" w:hAnsi="Times New Roman"/>
          <w:b/>
          <w:iCs/>
          <w:sz w:val="24"/>
          <w:szCs w:val="24"/>
        </w:rPr>
      </w:pP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atsiskaitymas (elektroninis atsiskaitymas) </w:t>
      </w:r>
      <w:r w:rsidRPr="006740E5">
        <w:rPr>
          <w:rFonts w:ascii="Times New Roman" w:hAnsi="Times New Roman"/>
          <w:iCs/>
          <w:sz w:val="24"/>
          <w:szCs w:val="24"/>
        </w:rPr>
        <w:t xml:space="preserve">– tai atsiskaitymas, kuomet mokėjimo pavedimas atliekamas panaudojant </w:t>
      </w:r>
      <w:r w:rsidR="00076CBB" w:rsidRPr="006740E5">
        <w:rPr>
          <w:rFonts w:ascii="Times New Roman" w:hAnsi="Times New Roman"/>
          <w:iCs/>
          <w:sz w:val="24"/>
          <w:szCs w:val="24"/>
        </w:rPr>
        <w:t xml:space="preserve">informacinių </w:t>
      </w:r>
      <w:r w:rsidR="006740E5" w:rsidRPr="006740E5">
        <w:rPr>
          <w:rFonts w:ascii="Times New Roman" w:hAnsi="Times New Roman"/>
          <w:iCs/>
          <w:sz w:val="24"/>
          <w:szCs w:val="24"/>
        </w:rPr>
        <w:t>komunikacinių</w:t>
      </w:r>
      <w:r w:rsidR="00076CBB" w:rsidRPr="006740E5">
        <w:rPr>
          <w:rFonts w:ascii="Times New Roman" w:hAnsi="Times New Roman"/>
          <w:iCs/>
          <w:sz w:val="24"/>
          <w:szCs w:val="24"/>
        </w:rPr>
        <w:t xml:space="preserve"> technologijų</w:t>
      </w:r>
      <w:r w:rsidRPr="006740E5">
        <w:rPr>
          <w:rFonts w:ascii="Times New Roman" w:hAnsi="Times New Roman"/>
          <w:iCs/>
          <w:sz w:val="24"/>
          <w:szCs w:val="24"/>
        </w:rPr>
        <w:t xml:space="preserve"> pagrindu sukurtas mokėjimų sistemas.</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bankininkystė (elektroninė bankininkystė) </w:t>
      </w:r>
      <w:r w:rsidRPr="006740E5">
        <w:rPr>
          <w:rFonts w:ascii="Times New Roman" w:hAnsi="Times New Roman"/>
          <w:iCs/>
          <w:sz w:val="24"/>
          <w:szCs w:val="24"/>
        </w:rPr>
        <w:t xml:space="preserve">– tai bankų paslaugos </w:t>
      </w:r>
      <w:r w:rsidR="00076CBB" w:rsidRPr="006740E5">
        <w:rPr>
          <w:rFonts w:ascii="Times New Roman" w:hAnsi="Times New Roman"/>
          <w:iCs/>
          <w:sz w:val="24"/>
          <w:szCs w:val="24"/>
        </w:rPr>
        <w:t xml:space="preserve">teikiamos </w:t>
      </w:r>
      <w:r w:rsidRPr="006740E5">
        <w:rPr>
          <w:rFonts w:ascii="Times New Roman" w:hAnsi="Times New Roman"/>
          <w:iCs/>
          <w:sz w:val="24"/>
          <w:szCs w:val="24"/>
        </w:rPr>
        <w:t>e. būdu.</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būdas (elektroninis būdas) </w:t>
      </w:r>
      <w:r w:rsidRPr="006740E5">
        <w:rPr>
          <w:rFonts w:ascii="Times New Roman" w:hAnsi="Times New Roman"/>
          <w:iCs/>
          <w:sz w:val="24"/>
          <w:szCs w:val="24"/>
        </w:rPr>
        <w:t>–</w:t>
      </w:r>
      <w:r w:rsidR="00E57176" w:rsidRPr="006740E5">
        <w:rPr>
          <w:rFonts w:ascii="Times New Roman" w:hAnsi="Times New Roman"/>
          <w:iCs/>
          <w:sz w:val="24"/>
          <w:szCs w:val="24"/>
        </w:rPr>
        <w:t xml:space="preserve"> tai veikimo būda</w:t>
      </w:r>
      <w:r w:rsidR="00076CBB" w:rsidRPr="006740E5">
        <w:rPr>
          <w:rFonts w:ascii="Times New Roman" w:hAnsi="Times New Roman"/>
          <w:iCs/>
          <w:sz w:val="24"/>
          <w:szCs w:val="24"/>
        </w:rPr>
        <w:t xml:space="preserve">s naudojant informacines </w:t>
      </w:r>
      <w:r w:rsidR="006740E5" w:rsidRPr="006740E5">
        <w:rPr>
          <w:rFonts w:ascii="Times New Roman" w:hAnsi="Times New Roman"/>
          <w:iCs/>
          <w:sz w:val="24"/>
          <w:szCs w:val="24"/>
        </w:rPr>
        <w:t>komunikacines</w:t>
      </w:r>
      <w:r w:rsidR="00E57176" w:rsidRPr="006740E5">
        <w:rPr>
          <w:rFonts w:ascii="Times New Roman" w:hAnsi="Times New Roman"/>
          <w:iCs/>
          <w:sz w:val="24"/>
          <w:szCs w:val="24"/>
        </w:rPr>
        <w:t xml:space="preserve"> technologijas</w:t>
      </w:r>
      <w:r w:rsidRPr="006740E5">
        <w:rPr>
          <w:rFonts w:ascii="Times New Roman" w:hAnsi="Times New Roman"/>
          <w:iCs/>
          <w:sz w:val="24"/>
          <w:szCs w:val="24"/>
        </w:rPr>
        <w:t>.</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erdvė (elektroninė erdvė) </w:t>
      </w:r>
      <w:r w:rsidRPr="006740E5">
        <w:rPr>
          <w:rFonts w:ascii="Times New Roman" w:hAnsi="Times New Roman"/>
          <w:iCs/>
          <w:sz w:val="24"/>
          <w:szCs w:val="24"/>
        </w:rPr>
        <w:t xml:space="preserve">– tai veiklos vykdymo erdvė, kuri yra sukuriama panaudojant </w:t>
      </w:r>
      <w:r w:rsidR="00076CBB" w:rsidRPr="006740E5">
        <w:rPr>
          <w:rFonts w:ascii="Times New Roman" w:hAnsi="Times New Roman"/>
          <w:iCs/>
          <w:sz w:val="24"/>
          <w:szCs w:val="24"/>
        </w:rPr>
        <w:t xml:space="preserve">informacines </w:t>
      </w:r>
      <w:r w:rsidR="006740E5" w:rsidRPr="006740E5">
        <w:rPr>
          <w:rFonts w:ascii="Times New Roman" w:hAnsi="Times New Roman"/>
          <w:iCs/>
          <w:sz w:val="24"/>
          <w:szCs w:val="24"/>
        </w:rPr>
        <w:t>komunikacines</w:t>
      </w:r>
      <w:r w:rsidR="00E57176" w:rsidRPr="006740E5">
        <w:rPr>
          <w:rFonts w:ascii="Times New Roman" w:hAnsi="Times New Roman"/>
          <w:iCs/>
          <w:sz w:val="24"/>
          <w:szCs w:val="24"/>
        </w:rPr>
        <w:t xml:space="preserve"> technologijas.</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parduotuvė (elektroninė parduotuvė) </w:t>
      </w:r>
      <w:r w:rsidRPr="006740E5">
        <w:rPr>
          <w:rFonts w:ascii="Times New Roman" w:hAnsi="Times New Roman"/>
          <w:iCs/>
          <w:sz w:val="24"/>
          <w:szCs w:val="24"/>
        </w:rPr>
        <w:t>– tai e.</w:t>
      </w:r>
      <w:r w:rsidR="00076CBB" w:rsidRPr="006740E5">
        <w:rPr>
          <w:rFonts w:ascii="Times New Roman" w:hAnsi="Times New Roman"/>
          <w:iCs/>
          <w:sz w:val="24"/>
          <w:szCs w:val="24"/>
        </w:rPr>
        <w:t xml:space="preserve"> </w:t>
      </w:r>
      <w:r w:rsidRPr="006740E5">
        <w:rPr>
          <w:rFonts w:ascii="Times New Roman" w:hAnsi="Times New Roman"/>
          <w:iCs/>
          <w:sz w:val="24"/>
          <w:szCs w:val="24"/>
        </w:rPr>
        <w:t>prekybos vykdymo platforma.</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E. paslaugos (elektroninės paslaugos)</w:t>
      </w:r>
      <w:r w:rsidRPr="006740E5">
        <w:rPr>
          <w:rFonts w:ascii="Times New Roman" w:hAnsi="Times New Roman"/>
          <w:iCs/>
          <w:sz w:val="24"/>
          <w:szCs w:val="24"/>
        </w:rPr>
        <w:t xml:space="preserve"> – tai e. verslo subjektų teikiamos paslaugos, kurios dėl savo formos yra teikiamos tik e. erdvėje.</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paštas (elektroninis paštas) </w:t>
      </w:r>
      <w:r w:rsidRPr="006740E5">
        <w:rPr>
          <w:rFonts w:ascii="Times New Roman" w:hAnsi="Times New Roman"/>
          <w:iCs/>
          <w:sz w:val="24"/>
          <w:szCs w:val="24"/>
        </w:rPr>
        <w:t>– tai yra informacinių pranešimų, vadinamų laiškais, siuntimas ir gavimas e. erdvėje.</w:t>
      </w:r>
    </w:p>
    <w:p w:rsidR="00C66C7D" w:rsidRPr="006740E5" w:rsidRDefault="00076CBB"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E. pranešimas</w:t>
      </w:r>
      <w:r w:rsidR="00C66C7D" w:rsidRPr="006740E5">
        <w:rPr>
          <w:rFonts w:ascii="Times New Roman" w:hAnsi="Times New Roman"/>
          <w:b/>
          <w:iCs/>
          <w:sz w:val="24"/>
          <w:szCs w:val="24"/>
        </w:rPr>
        <w:t xml:space="preserve"> (elektroninis pranešimas) </w:t>
      </w:r>
      <w:r w:rsidR="00C66C7D" w:rsidRPr="006740E5">
        <w:rPr>
          <w:rFonts w:ascii="Times New Roman" w:hAnsi="Times New Roman"/>
          <w:iCs/>
          <w:sz w:val="24"/>
          <w:szCs w:val="24"/>
        </w:rPr>
        <w:t>– tai informacinis pranešimas pristatytas e. būdu.</w:t>
      </w:r>
    </w:p>
    <w:p w:rsidR="00C66C7D"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E. prekyba (elektroninė prekyba) – </w:t>
      </w:r>
      <w:r w:rsidRPr="006740E5">
        <w:rPr>
          <w:rFonts w:ascii="Times New Roman" w:hAnsi="Times New Roman"/>
          <w:iCs/>
          <w:sz w:val="24"/>
          <w:szCs w:val="24"/>
        </w:rPr>
        <w:t xml:space="preserve">tai prekyba verslo subjekto sukuriamais produktais </w:t>
      </w:r>
      <w:r w:rsidRPr="006740E5">
        <w:rPr>
          <w:rFonts w:ascii="Times New Roman" w:hAnsi="Times New Roman"/>
          <w:iCs/>
          <w:sz w:val="24"/>
          <w:szCs w:val="24"/>
        </w:rPr>
        <w:br/>
        <w:t>e. erdvėje.</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prenumerata (elektroninė prenumerata) </w:t>
      </w:r>
      <w:r w:rsidRPr="006740E5">
        <w:rPr>
          <w:rFonts w:ascii="Times New Roman" w:hAnsi="Times New Roman"/>
          <w:iCs/>
          <w:sz w:val="24"/>
          <w:szCs w:val="24"/>
        </w:rPr>
        <w:t>– tai paslauga, suteikianti galimybę prenumeruoti elektroninius ir tradicinius leidinius e. būdu.</w:t>
      </w:r>
    </w:p>
    <w:p w:rsidR="00E57176"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E. priemonės (elektroninės priemonės) –</w:t>
      </w:r>
      <w:r w:rsidRPr="006740E5">
        <w:rPr>
          <w:rFonts w:ascii="Times New Roman" w:hAnsi="Times New Roman"/>
          <w:iCs/>
          <w:sz w:val="24"/>
          <w:szCs w:val="24"/>
        </w:rPr>
        <w:t xml:space="preserve"> tai</w:t>
      </w:r>
      <w:r w:rsidRPr="006740E5">
        <w:rPr>
          <w:rFonts w:ascii="Times New Roman" w:hAnsi="Times New Roman"/>
          <w:b/>
          <w:iCs/>
          <w:sz w:val="24"/>
          <w:szCs w:val="24"/>
        </w:rPr>
        <w:t xml:space="preserve"> </w:t>
      </w:r>
      <w:r w:rsidRPr="006740E5">
        <w:rPr>
          <w:rFonts w:ascii="Times New Roman" w:hAnsi="Times New Roman"/>
          <w:iCs/>
          <w:sz w:val="24"/>
          <w:szCs w:val="24"/>
        </w:rPr>
        <w:t xml:space="preserve">verslo subjekto veiklos organizavime ir paslaugų teikime naudojamos priemonės paremtos </w:t>
      </w:r>
      <w:r w:rsidR="00E57176" w:rsidRPr="006740E5">
        <w:rPr>
          <w:rFonts w:ascii="Times New Roman" w:hAnsi="Times New Roman"/>
          <w:iCs/>
          <w:sz w:val="24"/>
          <w:szCs w:val="24"/>
        </w:rPr>
        <w:t xml:space="preserve">informacines </w:t>
      </w:r>
      <w:r w:rsidR="006740E5" w:rsidRPr="006740E5">
        <w:rPr>
          <w:rFonts w:ascii="Times New Roman" w:hAnsi="Times New Roman"/>
          <w:iCs/>
          <w:sz w:val="24"/>
          <w:szCs w:val="24"/>
        </w:rPr>
        <w:t>komunikacines</w:t>
      </w:r>
      <w:r w:rsidR="00E57176" w:rsidRPr="006740E5">
        <w:rPr>
          <w:rFonts w:ascii="Times New Roman" w:hAnsi="Times New Roman"/>
          <w:iCs/>
          <w:sz w:val="24"/>
          <w:szCs w:val="24"/>
        </w:rPr>
        <w:t xml:space="preserve"> technologijas.</w:t>
      </w:r>
    </w:p>
    <w:p w:rsidR="00E57176"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E. rinkodara (elektroninė rinkodara)</w:t>
      </w:r>
      <w:r w:rsidRPr="006740E5">
        <w:rPr>
          <w:rFonts w:ascii="Times New Roman" w:hAnsi="Times New Roman"/>
          <w:iCs/>
          <w:sz w:val="24"/>
          <w:szCs w:val="24"/>
        </w:rPr>
        <w:t xml:space="preserve"> –</w:t>
      </w:r>
      <w:r w:rsidRPr="006740E5">
        <w:rPr>
          <w:rFonts w:ascii="Times New Roman" w:hAnsi="Times New Roman"/>
          <w:b/>
          <w:iCs/>
          <w:sz w:val="24"/>
          <w:szCs w:val="24"/>
        </w:rPr>
        <w:t xml:space="preserve"> </w:t>
      </w:r>
      <w:r w:rsidRPr="006740E5">
        <w:rPr>
          <w:rFonts w:ascii="Times New Roman" w:hAnsi="Times New Roman"/>
          <w:iCs/>
          <w:sz w:val="24"/>
          <w:szCs w:val="24"/>
        </w:rPr>
        <w:t xml:space="preserve">tai e. verslui pritaikyta rinkodaros forma paremta </w:t>
      </w:r>
      <w:r w:rsidR="00E57176" w:rsidRPr="006740E5">
        <w:rPr>
          <w:rFonts w:ascii="Times New Roman" w:hAnsi="Times New Roman"/>
          <w:iCs/>
          <w:sz w:val="24"/>
          <w:szCs w:val="24"/>
        </w:rPr>
        <w:t xml:space="preserve">informacines </w:t>
      </w:r>
      <w:r w:rsidR="006740E5" w:rsidRPr="006740E5">
        <w:rPr>
          <w:rFonts w:ascii="Times New Roman" w:hAnsi="Times New Roman"/>
          <w:iCs/>
          <w:sz w:val="24"/>
          <w:szCs w:val="24"/>
        </w:rPr>
        <w:t>komunikacines</w:t>
      </w:r>
      <w:r w:rsidR="00E57176" w:rsidRPr="006740E5">
        <w:rPr>
          <w:rFonts w:ascii="Times New Roman" w:hAnsi="Times New Roman"/>
          <w:iCs/>
          <w:sz w:val="24"/>
          <w:szCs w:val="24"/>
        </w:rPr>
        <w:t xml:space="preserve"> technologijas.</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sąskaita (elektroninė sąskaita) </w:t>
      </w:r>
      <w:r w:rsidRPr="006740E5">
        <w:rPr>
          <w:rFonts w:ascii="Times New Roman" w:hAnsi="Times New Roman"/>
          <w:iCs/>
          <w:sz w:val="24"/>
          <w:szCs w:val="24"/>
        </w:rPr>
        <w:t>– tai produktų teikimo sąskaita pateikta e. būdu.</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sutartis (elektroninė sutartis) </w:t>
      </w:r>
      <w:r w:rsidRPr="006740E5">
        <w:rPr>
          <w:rFonts w:ascii="Times New Roman" w:hAnsi="Times New Roman"/>
          <w:iCs/>
          <w:sz w:val="24"/>
          <w:szCs w:val="24"/>
        </w:rPr>
        <w:t>– tai pilną juridinę galią turinti produktų teikimo-gavimo sutartis sudaryta e. būdu.</w:t>
      </w:r>
    </w:p>
    <w:p w:rsidR="00C66C7D" w:rsidRPr="006740E5" w:rsidRDefault="00C66C7D" w:rsidP="0052019C">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 xml:space="preserve">E. užsakymas (elektroninis užsakymas) </w:t>
      </w:r>
      <w:r w:rsidRPr="006740E5">
        <w:rPr>
          <w:rFonts w:ascii="Times New Roman" w:hAnsi="Times New Roman"/>
          <w:iCs/>
          <w:sz w:val="24"/>
          <w:szCs w:val="24"/>
        </w:rPr>
        <w:t xml:space="preserve">– tai produkto gavimo užsakymo forma pateikta </w:t>
      </w:r>
      <w:r w:rsidR="006740E5" w:rsidRPr="006740E5">
        <w:rPr>
          <w:rFonts w:ascii="Times New Roman" w:hAnsi="Times New Roman"/>
          <w:iCs/>
          <w:sz w:val="24"/>
          <w:szCs w:val="24"/>
        </w:rPr>
        <w:t>e. būdu</w:t>
      </w:r>
      <w:r w:rsidRPr="006740E5">
        <w:rPr>
          <w:rFonts w:ascii="Times New Roman" w:hAnsi="Times New Roman"/>
          <w:iCs/>
          <w:sz w:val="24"/>
          <w:szCs w:val="24"/>
        </w:rPr>
        <w:t>.</w:t>
      </w:r>
    </w:p>
    <w:p w:rsidR="00C66C7D"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E. verslas (elektroninis verslas) – </w:t>
      </w:r>
      <w:r w:rsidRPr="006740E5">
        <w:rPr>
          <w:rFonts w:ascii="Times New Roman" w:hAnsi="Times New Roman"/>
          <w:iCs/>
          <w:sz w:val="24"/>
          <w:szCs w:val="24"/>
        </w:rPr>
        <w:t>tai verslas vykdomas e. erdvėje.</w:t>
      </w:r>
    </w:p>
    <w:p w:rsidR="00C66C7D"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E. ženkliukas (elektroninis pašto ženkliukas) – </w:t>
      </w:r>
      <w:r w:rsidRPr="006740E5">
        <w:rPr>
          <w:rFonts w:ascii="Times New Roman" w:hAnsi="Times New Roman"/>
          <w:iCs/>
          <w:sz w:val="24"/>
          <w:szCs w:val="24"/>
        </w:rPr>
        <w:t>tai pašto ženkliukas, kurį klientas įsigijęs ar susikūręs pats ir apmokėjęs e. būdu, atsispausdina pats.</w:t>
      </w:r>
    </w:p>
    <w:p w:rsidR="00C66C7D"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Elektroninė ataskaita – </w:t>
      </w:r>
      <w:r w:rsidRPr="006740E5">
        <w:rPr>
          <w:rFonts w:ascii="Times New Roman" w:hAnsi="Times New Roman"/>
          <w:iCs/>
          <w:sz w:val="24"/>
          <w:szCs w:val="24"/>
        </w:rPr>
        <w:t>tai ataskaita sudaryta ir pristatyta e. būdu.</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Korespondencijos siunta</w:t>
      </w:r>
      <w:r w:rsidRPr="006740E5">
        <w:rPr>
          <w:rFonts w:ascii="Times New Roman" w:hAnsi="Times New Roman"/>
          <w:iCs/>
          <w:sz w:val="24"/>
          <w:szCs w:val="24"/>
        </w:rPr>
        <w:t xml:space="preserve"> – rašytinės formos pranešimai ant bet kokios fizinės medžiagos, kuriuos reikia perduoti ir pristatyti adresu, siuntėjo užrašytu ant siuntos ar medžiagos, į kurią ji </w:t>
      </w:r>
      <w:r w:rsidRPr="006740E5">
        <w:rPr>
          <w:rFonts w:ascii="Times New Roman" w:hAnsi="Times New Roman"/>
          <w:iCs/>
          <w:sz w:val="24"/>
          <w:szCs w:val="24"/>
        </w:rPr>
        <w:lastRenderedPageBreak/>
        <w:t xml:space="preserve">įvyniota. Knygos, katalogai, laikraščiai ir periodiniai leidiniai nėra korespondencijos siuntos. </w:t>
      </w:r>
      <w:r w:rsidRPr="006740E5">
        <w:rPr>
          <w:rFonts w:ascii="Times New Roman" w:hAnsi="Times New Roman"/>
          <w:iCs/>
          <w:sz w:val="24"/>
          <w:szCs w:val="24"/>
        </w:rPr>
        <w:br/>
        <w:t>(Europos Parlamento ir Tarybos direktyva 97/67/EB, 2 straipsnis 7 dalis)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Lietuvos pašto rinka – </w:t>
      </w:r>
      <w:r w:rsidRPr="006740E5">
        <w:rPr>
          <w:rFonts w:ascii="Times New Roman" w:hAnsi="Times New Roman"/>
          <w:iCs/>
          <w:sz w:val="24"/>
          <w:szCs w:val="24"/>
        </w:rPr>
        <w:t>šiame darbe, tai įmonių, teikiančių ir pašto korespondencijos ir pasiuntinių pašto paslaugas, konkurencinė aplinka.</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 xml:space="preserve">Pasiuntinių paslaugos </w:t>
      </w:r>
      <w:r w:rsidRPr="006740E5">
        <w:rPr>
          <w:rFonts w:ascii="Times New Roman" w:hAnsi="Times New Roman"/>
          <w:iCs/>
          <w:sz w:val="24"/>
          <w:szCs w:val="24"/>
        </w:rPr>
        <w:t>– pašto siuntų surinkimas, rūšiavimas, gabenimas ir pristatymas.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Pašto korespondencijos paslaugos</w:t>
      </w:r>
      <w:r w:rsidRPr="006740E5">
        <w:rPr>
          <w:rFonts w:ascii="Times New Roman" w:hAnsi="Times New Roman"/>
          <w:iCs/>
          <w:sz w:val="24"/>
          <w:szCs w:val="24"/>
        </w:rPr>
        <w:t xml:space="preserve"> – korespondencijos siuntų surinkimas, rūšiavimas, gabenimas ir pristatymas.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Pašto paslaugos</w:t>
      </w:r>
      <w:r w:rsidRPr="006740E5">
        <w:rPr>
          <w:rFonts w:ascii="Times New Roman" w:hAnsi="Times New Roman"/>
          <w:iCs/>
          <w:sz w:val="24"/>
          <w:szCs w:val="24"/>
        </w:rPr>
        <w:t xml:space="preserve"> – siunčiamų objektų rinkimas, rūšiavimas, gabenimas ir pristatymas. </w:t>
      </w:r>
      <w:r w:rsidRPr="006740E5">
        <w:rPr>
          <w:rFonts w:ascii="Times New Roman" w:hAnsi="Times New Roman"/>
          <w:iCs/>
          <w:sz w:val="24"/>
          <w:szCs w:val="24"/>
        </w:rPr>
        <w:br/>
        <w:t>(Europos Parlamento ir Tarybos direktyva 97/67/EB, 2 straipsnis 1 dalis). Pašto paslaugų sąvoka apima pašto korespondencijos ir pasiuntinių paslaugų sąvokas.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Pašto siunta</w:t>
      </w:r>
      <w:r w:rsidRPr="006740E5">
        <w:rPr>
          <w:rFonts w:ascii="Times New Roman" w:hAnsi="Times New Roman"/>
          <w:iCs/>
          <w:sz w:val="24"/>
          <w:szCs w:val="24"/>
        </w:rPr>
        <w:t xml:space="preserve"> – adresuota siunta galutinai parengtos formos, kurią veža universaliųjų pašto paslaugų teikėjas. Be korespondencijos siuntų, pašto siuntas sudaro, pavyzdžiui, knygos, katalogai, laikraščiai, periodiniai leidiniai ir pašto siuntiniai su prekėmis arba neturintys jokios komercinės vertės. (Europos Parlamento ir Tarybos direktyva 97/67/EB, 2 straipsnis 6 dalis)</w:t>
      </w:r>
    </w:p>
    <w:p w:rsidR="00C66C7D" w:rsidRPr="006740E5" w:rsidRDefault="00C66C7D" w:rsidP="0052019C">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Produktas</w:t>
      </w:r>
      <w:r w:rsidRPr="006740E5">
        <w:rPr>
          <w:rFonts w:ascii="Times New Roman" w:hAnsi="Times New Roman"/>
          <w:iCs/>
          <w:sz w:val="24"/>
          <w:szCs w:val="24"/>
        </w:rPr>
        <w:t xml:space="preserve"> – ekonominės veiklos subjekto siūlomos prekės ir/ar paslaugos.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Universaliosios pašto paslaugos</w:t>
      </w:r>
      <w:r w:rsidRPr="006740E5">
        <w:rPr>
          <w:rFonts w:ascii="Times New Roman" w:hAnsi="Times New Roman"/>
          <w:iCs/>
          <w:sz w:val="24"/>
          <w:szCs w:val="24"/>
        </w:rPr>
        <w:t xml:space="preserve"> – tai visoje šalies teritorijoje visiems naudotojams prieinamomis kainomis nenutrūkstamai teikiamos pašto paslaugos. (Europos Parlamento ir Tarybos direktyva 97/67/EB 3 straipsnis 1 dalis)</w:t>
      </w:r>
    </w:p>
    <w:p w:rsidR="00C66C7D" w:rsidRPr="006740E5" w:rsidRDefault="00C66C7D" w:rsidP="008F1E61">
      <w:pPr>
        <w:tabs>
          <w:tab w:val="left" w:pos="-6379"/>
        </w:tabs>
        <w:ind w:firstLine="567"/>
        <w:jc w:val="center"/>
        <w:rPr>
          <w:rFonts w:ascii="Times New Roman" w:hAnsi="Times New Roman"/>
          <w:b/>
          <w:sz w:val="24"/>
          <w:szCs w:val="24"/>
        </w:rPr>
      </w:pPr>
      <w:r w:rsidRPr="006740E5">
        <w:rPr>
          <w:rFonts w:ascii="Times New Roman" w:hAnsi="Times New Roman"/>
          <w:iCs/>
          <w:sz w:val="24"/>
          <w:szCs w:val="24"/>
        </w:rPr>
        <w:br w:type="page"/>
      </w:r>
      <w:bookmarkStart w:id="4" w:name="_Toc248397755"/>
      <w:r w:rsidRPr="006740E5">
        <w:rPr>
          <w:rFonts w:ascii="Times New Roman" w:hAnsi="Times New Roman"/>
          <w:b/>
          <w:sz w:val="24"/>
          <w:szCs w:val="24"/>
        </w:rPr>
        <w:lastRenderedPageBreak/>
        <w:t>ĮVADAS</w:t>
      </w:r>
      <w:bookmarkEnd w:id="4"/>
    </w:p>
    <w:p w:rsidR="00C66C7D" w:rsidRPr="006740E5" w:rsidRDefault="00C66C7D" w:rsidP="0022425B">
      <w:pPr>
        <w:tabs>
          <w:tab w:val="left" w:pos="-6379"/>
        </w:tabs>
        <w:spacing w:after="0" w:line="360" w:lineRule="auto"/>
        <w:ind w:firstLine="567"/>
        <w:jc w:val="center"/>
        <w:rPr>
          <w:rFonts w:ascii="Times New Roman" w:hAnsi="Times New Roman"/>
          <w:sz w:val="28"/>
          <w:szCs w:val="28"/>
        </w:rPr>
      </w:pP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bCs/>
          <w:sz w:val="24"/>
          <w:szCs w:val="24"/>
        </w:rPr>
      </w:pPr>
      <w:r w:rsidRPr="006740E5">
        <w:rPr>
          <w:rFonts w:ascii="Times New Roman" w:eastAsia="EUAlbertina-Regular-Identity-H" w:hAnsi="Times New Roman"/>
          <w:sz w:val="24"/>
          <w:szCs w:val="24"/>
        </w:rPr>
        <w:t xml:space="preserve">Ryšių kūrimas ir palaikymas visais laikais buvo svarbu tiek socialiniam, tiek ekonominiam žmonių bendravimui ir ši svarba nemažėja, o priešingai – nuolat ieškoma naujų būdų kaip sudaryti sąlygas kuo efektyvesnėms susisiekimo galimybėms kuriant naujas technologijas. Šiuolaikinėje visuomenėje informacinės komunikacinės technologijos jau užvaldė socialinę žmonių gyvenimo sferą ir pamažu veržiasi i ekonominę veiklą, tačiau šioje srityje tradicinio pašto svarba nei kiek nemažėja – nors ir elektroninė prekyba plinta sparčiai, pašto paslaugų teikėjai, užtikrinantys prekių gabenimą, išlieka neišvengiama verslo dalimi. Kuriant Europos Sąjungą, Bendrijos sutartyje numatyta kurti bendrą vidaus rinką, o vidaus rinkos kūrimas pašto sektoriuje įvertintas svarbiu ekonominei ir socialinei Bendrijos sanglaudai. Siekiant pašto sektoriuje teikiamų paslaugų vienodos kokybės užtikrinamo Bendrijos lygmeniu, buvo priimta 1997 m. gruodžio 15 d. Europos Parlamento ir Tarybos direktyva 97/67/EB dėl Bendrijos pašto paslaugų vidaus rinkos plėtros bendrų taisyklių ir paslaugų kokybės gerinimo nustatė pašto sektoriaus reguliavimo mechanizmą (2002 m. birželio 10 d. Iš dalies pakeista direktyva 2002/39/EB) apimantį priemones universaliosioms paslaugoms garantuoti bei nustatantį maksimalias pašto paslaugų ribas, kurias valstybės narės gali rezervuoti savo universaliųjų paslaugų teikėjui, siekdamos išlaikyti universaliąsias paslaugas, ir sprendimų priėmimo dėl tolesnio rinkos atvėrimo konkurencijai tvarkaraštį, siekiant sukurti bendrąją pašto paslaugų rinką. 2002−ųjų direktyva nuostatų galiojimą pratęsė iki 2008 m. gruodžio 31 d. paliekant valstybiniam pašto paslaugų teikėjui teisę rezervuoti tam tikras paslaugas, kad šis galėtų sėkmingai prisitaikyti didesnės konkurencijos sąlygų. Rezervuoti direktyvoje numatytos paslaugos: </w:t>
      </w:r>
      <w:r w:rsidRPr="006740E5">
        <w:rPr>
          <w:rFonts w:ascii="Times New Roman" w:eastAsia="EUAlbertina-Regular-Identity-H" w:hAnsi="Times New Roman"/>
          <w:bCs/>
          <w:sz w:val="24"/>
          <w:szCs w:val="24"/>
        </w:rPr>
        <w:t>vidaus korespondencijos siunt</w:t>
      </w:r>
      <w:r w:rsidRPr="006740E5">
        <w:rPr>
          <w:rFonts w:ascii="Times New Roman" w:eastAsia="EUAlbertina-Regular-Identity-H" w:hAnsi="Times New Roman"/>
          <w:sz w:val="24"/>
          <w:szCs w:val="24"/>
        </w:rPr>
        <w:t>ų</w:t>
      </w:r>
      <w:r w:rsidRPr="006740E5">
        <w:rPr>
          <w:rFonts w:ascii="Times New Roman" w:eastAsia="EUAlbertina-Regular-Identity-H" w:hAnsi="Times New Roman"/>
          <w:bCs/>
          <w:sz w:val="24"/>
          <w:szCs w:val="24"/>
        </w:rPr>
        <w:t>, reklaminio pašto, gaunam</w:t>
      </w:r>
      <w:r w:rsidRPr="006740E5">
        <w:rPr>
          <w:rFonts w:ascii="Times New Roman" w:eastAsia="EUAlbertina-Regular-Identity-H" w:hAnsi="Times New Roman"/>
          <w:sz w:val="24"/>
          <w:szCs w:val="24"/>
        </w:rPr>
        <w:t xml:space="preserve">ų </w:t>
      </w:r>
      <w:r w:rsidRPr="006740E5">
        <w:rPr>
          <w:rFonts w:ascii="Times New Roman" w:eastAsia="EUAlbertina-Regular-Identity-H" w:hAnsi="Times New Roman"/>
          <w:bCs/>
          <w:sz w:val="24"/>
          <w:szCs w:val="24"/>
        </w:rPr>
        <w:t>tarptautini</w:t>
      </w:r>
      <w:r w:rsidRPr="006740E5">
        <w:rPr>
          <w:rFonts w:ascii="Times New Roman" w:eastAsia="EUAlbertina-Regular-Identity-H" w:hAnsi="Times New Roman"/>
          <w:sz w:val="24"/>
          <w:szCs w:val="24"/>
        </w:rPr>
        <w:t xml:space="preserve">ų </w:t>
      </w:r>
      <w:r w:rsidRPr="006740E5">
        <w:rPr>
          <w:rFonts w:ascii="Times New Roman" w:eastAsia="EUAlbertina-Regular-Identity-H" w:hAnsi="Times New Roman"/>
          <w:bCs/>
          <w:sz w:val="24"/>
          <w:szCs w:val="24"/>
        </w:rPr>
        <w:t>korespondencijos siunt</w:t>
      </w:r>
      <w:r w:rsidRPr="006740E5">
        <w:rPr>
          <w:rFonts w:ascii="Times New Roman" w:eastAsia="EUAlbertina-Regular-Identity-H" w:hAnsi="Times New Roman"/>
          <w:sz w:val="24"/>
          <w:szCs w:val="24"/>
        </w:rPr>
        <w:t xml:space="preserve">ų </w:t>
      </w:r>
      <w:r w:rsidRPr="006740E5">
        <w:rPr>
          <w:rFonts w:ascii="Times New Roman" w:eastAsia="EUAlbertina-Regular-Identity-H" w:hAnsi="Times New Roman"/>
          <w:bCs/>
          <w:sz w:val="24"/>
          <w:szCs w:val="24"/>
        </w:rPr>
        <w:t>surinkimo,</w:t>
      </w:r>
      <w:r w:rsidRPr="006740E5">
        <w:rPr>
          <w:rFonts w:ascii="Times New Roman" w:eastAsia="EUAlbertina-Regular-Identity-H" w:hAnsi="Times New Roman"/>
          <w:sz w:val="24"/>
          <w:szCs w:val="24"/>
        </w:rPr>
        <w:t xml:space="preserve"> </w:t>
      </w:r>
      <w:r w:rsidRPr="006740E5">
        <w:rPr>
          <w:rFonts w:ascii="Times New Roman" w:eastAsia="EUAlbertina-Regular-Identity-H" w:hAnsi="Times New Roman"/>
          <w:bCs/>
          <w:sz w:val="24"/>
          <w:szCs w:val="24"/>
        </w:rPr>
        <w:t xml:space="preserve">paskirstymo, vežimo, pristatymo bei </w:t>
      </w:r>
      <w:r w:rsidRPr="006740E5">
        <w:rPr>
          <w:rFonts w:ascii="Times New Roman" w:eastAsia="EUAlbertina-Regular-Identity-H" w:hAnsi="Times New Roman"/>
          <w:sz w:val="24"/>
          <w:szCs w:val="24"/>
        </w:rPr>
        <w:t>į</w:t>
      </w:r>
      <w:r w:rsidRPr="006740E5">
        <w:rPr>
          <w:rFonts w:ascii="Times New Roman" w:eastAsia="EUAlbertina-Regular-Identity-H" w:hAnsi="Times New Roman"/>
          <w:bCs/>
          <w:sz w:val="24"/>
          <w:szCs w:val="24"/>
        </w:rPr>
        <w:t xml:space="preserve">teikimo paslaugos. </w:t>
      </w:r>
      <w:r w:rsidR="00CB7B6C" w:rsidRPr="006740E5">
        <w:rPr>
          <w:rFonts w:ascii="Times New Roman" w:eastAsia="EUAlbertina-Regular-Identity-H" w:hAnsi="Times New Roman"/>
          <w:bCs/>
          <w:sz w:val="24"/>
          <w:szCs w:val="24"/>
        </w:rPr>
        <w:t xml:space="preserve">2008 m. </w:t>
      </w:r>
      <w:r w:rsidR="00CB7B6C" w:rsidRPr="006740E5">
        <w:rPr>
          <w:rFonts w:ascii="Times New Roman" w:eastAsia="EUAlbertina-Regular-Identity-H" w:hAnsi="Times New Roman"/>
          <w:sz w:val="24"/>
          <w:szCs w:val="24"/>
        </w:rPr>
        <w:t>2002/39/EB</w:t>
      </w:r>
      <w:r w:rsidR="00CB7B6C" w:rsidRPr="006740E5">
        <w:rPr>
          <w:rFonts w:ascii="Times New Roman" w:eastAsia="EUAlbertina-Regular-Identity-H" w:hAnsi="Times New Roman"/>
          <w:bCs/>
          <w:sz w:val="24"/>
          <w:szCs w:val="24"/>
        </w:rPr>
        <w:t xml:space="preserve"> direktyva iš dalies pakeista direktyva 2008/6/EB siekiant visiško Bendrijos pašto paslaugų vidaus rinkos suformavimo. </w:t>
      </w:r>
      <w:r w:rsidRPr="006740E5">
        <w:rPr>
          <w:rFonts w:ascii="Times New Roman" w:eastAsia="EUAlbertina-Regular-Identity-H" w:hAnsi="Times New Roman"/>
          <w:bCs/>
          <w:sz w:val="24"/>
          <w:szCs w:val="24"/>
        </w:rPr>
        <w:t xml:space="preserve">Nuo 2009 m. sausio 1 d. turėjo baigti galioti paslaugų rezervavimo nuostatos, tačiau Lietuvos valstybinis pašto paslaugų teikėjas AB ,,Lietuvos paštas’’ nebuvo pilnai pasirengęs konkuruoti atviroje rinkoje. </w:t>
      </w:r>
      <w:r w:rsidRPr="006740E5">
        <w:rPr>
          <w:rFonts w:ascii="Times New Roman" w:eastAsia="EUAlbertina-Regular-Identity-H" w:hAnsi="Times New Roman"/>
          <w:sz w:val="24"/>
          <w:szCs w:val="24"/>
        </w:rPr>
        <w:t xml:space="preserve">Europos Parlamentas 2008 m. sausio 31 d. pritarė Europos Tarybos pateiktam kompromisiniam siūlymui liberalizuoti pašto sektorių dviem etapais: 1) nuo 2011 m. sausio 1 d.; 2) nuo 2013 m. sausio 1 d. Vėlesnę datą pasirinko 11 valstybių – Lietuva viena iš jų. </w:t>
      </w:r>
      <w:r w:rsidRPr="006740E5">
        <w:rPr>
          <w:rFonts w:ascii="Times New Roman" w:eastAsia="EUAlbertina-Regular-Identity-H" w:hAnsi="Times New Roman"/>
          <w:bCs/>
          <w:sz w:val="24"/>
          <w:szCs w:val="24"/>
        </w:rPr>
        <w:t xml:space="preserve">Turėdamas didžiausias galimybes (būdamas valstybinis paslaugų teikėjas, turi garantuotą rinką, taip pat iki šių metų sausio pirmosios turėjo rezervuotą populiariausių paslaugų teikimą) AB ,,Lietuvos paštas’’ nesugebėjo, pagal gautas pajamas, užimti nors ketvirtį rinkos ir vis dar atsilieka pašto paslaugų teikėjų kontekste. Versle vis daugėjant teikiamų elektroninių paslaugų ir elektroninių veiklos organizavimo metodų kiekiui. Valstybinis pašto paslaugų teikėjas dėl savo teikiamų paslaugų spektro nelankstumo vis dar nepakankamai naudoja elektronines priemones, kurios ženkliai padidintų įmonės konkurencingumą pašto paslaugų tiekime </w:t>
      </w:r>
      <w:r w:rsidR="00D9662F" w:rsidRPr="006740E5">
        <w:rPr>
          <w:rFonts w:ascii="Times New Roman" w:eastAsia="EUAlbertina-Regular-Identity-H" w:hAnsi="Times New Roman"/>
          <w:bCs/>
          <w:sz w:val="24"/>
          <w:szCs w:val="24"/>
        </w:rPr>
        <w:br/>
      </w:r>
      <w:r w:rsidRPr="006740E5">
        <w:rPr>
          <w:rFonts w:ascii="Times New Roman" w:eastAsia="EUAlbertina-Regular-Identity-H" w:hAnsi="Times New Roman"/>
          <w:bCs/>
          <w:sz w:val="24"/>
          <w:szCs w:val="24"/>
        </w:rPr>
        <w:lastRenderedPageBreak/>
        <w:t>po pašto rinkos liberalizavimo. Valstybinių pašto paslaugų teikėjų problemas prieš ir po liberalizavimo aktualios visai Europos Sąjungai, tad jas tyrė įvairių šalių (švedų, prancūzų ir kt.) autoriai: Jaag (2005), Cohen (2001), Brant (2007), Grimaud (2004) ir kt. Liberalizuojant pašto rinką Lietuvoje valstybinio pašto paslaugų teikėjo patiriamoms problemoms spręsti elektroninių priemonių taikymu mokslinių tyrimu aptikti nepavyko.</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b/>
          <w:bCs/>
          <w:sz w:val="24"/>
          <w:szCs w:val="24"/>
        </w:rPr>
        <w:t>Problema</w:t>
      </w:r>
      <w:r w:rsidRPr="006740E5">
        <w:rPr>
          <w:rFonts w:ascii="Times New Roman" w:eastAsia="EUAlbertina-Regular-Identity-H" w:hAnsi="Times New Roman"/>
          <w:bCs/>
          <w:sz w:val="24"/>
          <w:szCs w:val="24"/>
        </w:rPr>
        <w:t xml:space="preserve"> – kaip sustiprinti įmonės konkurencingumą </w:t>
      </w:r>
      <w:r w:rsidR="00371816" w:rsidRPr="006740E5">
        <w:rPr>
          <w:rFonts w:ascii="Times New Roman" w:eastAsia="EUAlbertina-Regular-Identity-H" w:hAnsi="Times New Roman"/>
          <w:bCs/>
          <w:sz w:val="24"/>
          <w:szCs w:val="24"/>
        </w:rPr>
        <w:t xml:space="preserve">taikant naujas žinias </w:t>
      </w:r>
      <w:r w:rsidRPr="006740E5">
        <w:rPr>
          <w:rFonts w:ascii="Times New Roman" w:eastAsia="EUAlbertina-Regular-Identity-H" w:hAnsi="Times New Roman"/>
          <w:bCs/>
          <w:sz w:val="24"/>
          <w:szCs w:val="24"/>
        </w:rPr>
        <w:t>pašto sektoriuje liberal</w:t>
      </w:r>
      <w:r w:rsidR="00E9515C" w:rsidRPr="006740E5">
        <w:rPr>
          <w:rFonts w:ascii="Times New Roman" w:eastAsia="EUAlbertina-Regular-Identity-H" w:hAnsi="Times New Roman"/>
          <w:bCs/>
          <w:sz w:val="24"/>
          <w:szCs w:val="24"/>
        </w:rPr>
        <w:t>ėjanči</w:t>
      </w:r>
      <w:r w:rsidRPr="006740E5">
        <w:rPr>
          <w:rFonts w:ascii="Times New Roman" w:eastAsia="EUAlbertina-Regular-Identity-H" w:hAnsi="Times New Roman"/>
          <w:bCs/>
          <w:sz w:val="24"/>
          <w:szCs w:val="24"/>
        </w:rPr>
        <w:t>oje rinkoje?</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b/>
          <w:sz w:val="24"/>
          <w:szCs w:val="24"/>
        </w:rPr>
        <w:t>Tyrimo objektas</w:t>
      </w:r>
      <w:r w:rsidRPr="006740E5">
        <w:rPr>
          <w:rFonts w:ascii="Times New Roman" w:eastAsia="EUAlbertina-Regular-Identity-H" w:hAnsi="Times New Roman"/>
          <w:sz w:val="24"/>
          <w:szCs w:val="24"/>
        </w:rPr>
        <w:t xml:space="preserve"> – </w:t>
      </w:r>
      <w:r w:rsidR="00371816" w:rsidRPr="006740E5">
        <w:rPr>
          <w:rFonts w:ascii="Times New Roman" w:eastAsia="EUAlbertina-Regular-Identity-H" w:hAnsi="Times New Roman"/>
          <w:sz w:val="24"/>
          <w:szCs w:val="24"/>
        </w:rPr>
        <w:t>naujų žinių taikymas</w:t>
      </w:r>
      <w:r w:rsidRPr="006740E5">
        <w:rPr>
          <w:rFonts w:ascii="Times New Roman" w:eastAsia="EUAlbertina-Regular-Identity-H" w:hAnsi="Times New Roman"/>
          <w:sz w:val="24"/>
          <w:szCs w:val="24"/>
        </w:rPr>
        <w:t xml:space="preserve"> valstybinio pašto paslaugų teikėjui, valstybine</w:t>
      </w:r>
      <w:r w:rsidR="00E9515C" w:rsidRPr="006740E5">
        <w:rPr>
          <w:rFonts w:ascii="Times New Roman" w:eastAsia="EUAlbertina-Regular-Identity-H" w:hAnsi="Times New Roman"/>
          <w:sz w:val="24"/>
          <w:szCs w:val="24"/>
        </w:rPr>
        <w:t>i įmonei AB ,,Lietuvos paštas’’ liberalėjanči</w:t>
      </w:r>
      <w:r w:rsidRPr="006740E5">
        <w:rPr>
          <w:rFonts w:ascii="Times New Roman" w:eastAsia="EUAlbertina-Regular-Identity-H" w:hAnsi="Times New Roman"/>
          <w:sz w:val="24"/>
          <w:szCs w:val="24"/>
        </w:rPr>
        <w:t>oje rinkoje.</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b/>
          <w:sz w:val="24"/>
          <w:szCs w:val="24"/>
        </w:rPr>
        <w:t>Tyrimo tikslas</w:t>
      </w:r>
      <w:r w:rsidRPr="006740E5">
        <w:rPr>
          <w:rFonts w:ascii="Times New Roman" w:eastAsia="EUAlbertina-Regular-Identity-H" w:hAnsi="Times New Roman"/>
          <w:sz w:val="24"/>
          <w:szCs w:val="24"/>
        </w:rPr>
        <w:t xml:space="preserve"> – p</w:t>
      </w:r>
      <w:r w:rsidR="00E9515C" w:rsidRPr="006740E5">
        <w:rPr>
          <w:rFonts w:ascii="Times New Roman" w:eastAsia="EUAlbertina-Regular-Identity-H" w:hAnsi="Times New Roman"/>
          <w:sz w:val="24"/>
          <w:szCs w:val="24"/>
        </w:rPr>
        <w:t xml:space="preserve">ritaikius naujas žinias </w:t>
      </w:r>
      <w:r w:rsidR="00371816" w:rsidRPr="006740E5">
        <w:rPr>
          <w:rFonts w:ascii="Times New Roman" w:eastAsia="EUAlbertina-Regular-Identity-H" w:hAnsi="Times New Roman"/>
          <w:sz w:val="24"/>
          <w:szCs w:val="24"/>
        </w:rPr>
        <w:t>sukurti</w:t>
      </w:r>
      <w:r w:rsidRPr="006740E5">
        <w:rPr>
          <w:rFonts w:ascii="Times New Roman" w:eastAsia="EUAlbertina-Regular-Identity-H" w:hAnsi="Times New Roman"/>
          <w:sz w:val="24"/>
          <w:szCs w:val="24"/>
        </w:rPr>
        <w:t xml:space="preserve"> valstybinio pašto paslaugų teikėjo, valstybinės įmonės AB ,,Lietuvos paštas’’, teorinį paslaugų teikimo modelį, </w:t>
      </w:r>
      <w:r w:rsidR="00E9515C" w:rsidRPr="006740E5">
        <w:rPr>
          <w:rFonts w:ascii="Times New Roman" w:eastAsia="EUAlbertina-Regular-Identity-H" w:hAnsi="Times New Roman"/>
          <w:sz w:val="24"/>
          <w:szCs w:val="24"/>
        </w:rPr>
        <w:t>didinantį</w:t>
      </w:r>
      <w:r w:rsidRPr="006740E5">
        <w:rPr>
          <w:rFonts w:ascii="Times New Roman" w:eastAsia="EUAlbertina-Regular-Identity-H" w:hAnsi="Times New Roman"/>
          <w:sz w:val="24"/>
          <w:szCs w:val="24"/>
        </w:rPr>
        <w:t xml:space="preserve"> </w:t>
      </w:r>
      <w:r w:rsidR="00E9515C" w:rsidRPr="006740E5">
        <w:rPr>
          <w:rFonts w:ascii="Times New Roman" w:eastAsia="EUAlbertina-Regular-Identity-H" w:hAnsi="Times New Roman"/>
          <w:sz w:val="24"/>
          <w:szCs w:val="24"/>
        </w:rPr>
        <w:t>įmonės konkurencingumą liberalėjančioje</w:t>
      </w:r>
      <w:r w:rsidRPr="006740E5">
        <w:rPr>
          <w:rFonts w:ascii="Times New Roman" w:eastAsia="EUAlbertina-Regular-Identity-H" w:hAnsi="Times New Roman"/>
          <w:sz w:val="24"/>
          <w:szCs w:val="24"/>
        </w:rPr>
        <w:t xml:space="preserve"> rinkoje.</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b/>
          <w:sz w:val="24"/>
          <w:szCs w:val="24"/>
        </w:rPr>
        <w:t>Tyrimo uždaviniai</w:t>
      </w:r>
      <w:r w:rsidRPr="006740E5">
        <w:rPr>
          <w:rFonts w:ascii="Times New Roman" w:eastAsia="EUAlbertina-Regular-Identity-H" w:hAnsi="Times New Roman"/>
          <w:sz w:val="24"/>
          <w:szCs w:val="24"/>
        </w:rPr>
        <w:t>:</w:t>
      </w:r>
    </w:p>
    <w:p w:rsidR="00C66C7D" w:rsidRPr="006740E5" w:rsidRDefault="00C66C7D" w:rsidP="00E9515C">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1. Išanalizuoti </w:t>
      </w:r>
      <w:r w:rsidR="00E9515C" w:rsidRPr="006740E5">
        <w:rPr>
          <w:rFonts w:ascii="Times New Roman" w:eastAsia="EUAlbertina-Regular-Identity-H" w:hAnsi="Times New Roman"/>
          <w:sz w:val="24"/>
          <w:szCs w:val="24"/>
        </w:rPr>
        <w:t>naujų žinių kūrimą ir taikymą didinantį įmonių konkurencingumą liberalėjančioje rinkoje</w:t>
      </w:r>
      <w:r w:rsidRPr="006740E5">
        <w:rPr>
          <w:rFonts w:ascii="Times New Roman" w:eastAsia="EUAlbertina-Regular-Identity-H" w:hAnsi="Times New Roman"/>
          <w:sz w:val="24"/>
          <w:szCs w:val="24"/>
        </w:rPr>
        <w:t>.</w:t>
      </w:r>
    </w:p>
    <w:p w:rsidR="00C66C7D" w:rsidRPr="006740E5" w:rsidRDefault="00C66C7D" w:rsidP="00D445E3">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2</w:t>
      </w:r>
      <w:r w:rsidR="00E9515C" w:rsidRPr="006740E5">
        <w:rPr>
          <w:rFonts w:ascii="Times New Roman" w:eastAsia="EUAlbertina-Regular-Identity-H" w:hAnsi="Times New Roman"/>
          <w:sz w:val="24"/>
          <w:szCs w:val="24"/>
        </w:rPr>
        <w:t>. Įvertinti Lietuvos pašto sektoriau</w:t>
      </w:r>
      <w:r w:rsidRPr="006740E5">
        <w:rPr>
          <w:rFonts w:ascii="Times New Roman" w:eastAsia="EUAlbertina-Regular-Identity-H" w:hAnsi="Times New Roman"/>
          <w:sz w:val="24"/>
          <w:szCs w:val="24"/>
        </w:rPr>
        <w:t xml:space="preserve">s raidą </w:t>
      </w:r>
      <w:r w:rsidR="00E9515C" w:rsidRPr="006740E5">
        <w:rPr>
          <w:rFonts w:ascii="Times New Roman" w:hAnsi="Times New Roman"/>
          <w:sz w:val="24"/>
          <w:szCs w:val="24"/>
          <w:lang w:eastAsia="lt-LT"/>
        </w:rPr>
        <w:t>Europos Sąjungos pašto rinkos kontekste.</w:t>
      </w:r>
    </w:p>
    <w:p w:rsidR="00C66C7D" w:rsidRPr="006740E5" w:rsidRDefault="00C66C7D" w:rsidP="00E9515C">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3. Išanalizuoti AB ,,Lietuvos paštas’’ padėtį liber</w:t>
      </w:r>
      <w:r w:rsidR="00E9515C" w:rsidRPr="006740E5">
        <w:rPr>
          <w:rFonts w:ascii="Times New Roman" w:eastAsia="EUAlbertina-Regular-Identity-H" w:hAnsi="Times New Roman"/>
          <w:sz w:val="24"/>
          <w:szCs w:val="24"/>
        </w:rPr>
        <w:t>alėjančioje</w:t>
      </w:r>
      <w:r w:rsidRPr="006740E5">
        <w:rPr>
          <w:rFonts w:ascii="Times New Roman" w:eastAsia="EUAlbertina-Regular-Identity-H" w:hAnsi="Times New Roman"/>
          <w:sz w:val="24"/>
          <w:szCs w:val="24"/>
        </w:rPr>
        <w:t xml:space="preserve"> rinkoje, išskirti </w:t>
      </w:r>
      <w:r w:rsidRPr="006740E5">
        <w:rPr>
          <w:rFonts w:ascii="Times New Roman" w:hAnsi="Times New Roman"/>
          <w:sz w:val="24"/>
          <w:szCs w:val="24"/>
          <w:lang w:eastAsia="lt-LT"/>
        </w:rPr>
        <w:t>problemines subjekto v</w:t>
      </w:r>
      <w:r w:rsidR="00FB731B" w:rsidRPr="006740E5">
        <w:rPr>
          <w:rFonts w:ascii="Times New Roman" w:hAnsi="Times New Roman"/>
          <w:sz w:val="24"/>
          <w:szCs w:val="24"/>
          <w:lang w:eastAsia="lt-LT"/>
        </w:rPr>
        <w:t>eiklos sritis ir jų pagrindu at</w:t>
      </w:r>
      <w:r w:rsidRPr="006740E5">
        <w:rPr>
          <w:rFonts w:ascii="Times New Roman" w:hAnsi="Times New Roman"/>
          <w:sz w:val="24"/>
          <w:szCs w:val="24"/>
          <w:lang w:eastAsia="lt-LT"/>
        </w:rPr>
        <w:t>l</w:t>
      </w:r>
      <w:r w:rsidR="00FB731B" w:rsidRPr="006740E5">
        <w:rPr>
          <w:rFonts w:ascii="Times New Roman" w:hAnsi="Times New Roman"/>
          <w:sz w:val="24"/>
          <w:szCs w:val="24"/>
          <w:lang w:eastAsia="lt-LT"/>
        </w:rPr>
        <w:t>i</w:t>
      </w:r>
      <w:r w:rsidRPr="006740E5">
        <w:rPr>
          <w:rFonts w:ascii="Times New Roman" w:hAnsi="Times New Roman"/>
          <w:sz w:val="24"/>
          <w:szCs w:val="24"/>
          <w:lang w:eastAsia="lt-LT"/>
        </w:rPr>
        <w:t>kti empirinį tyrimą.</w:t>
      </w:r>
    </w:p>
    <w:p w:rsidR="00C66C7D" w:rsidRPr="006740E5" w:rsidRDefault="00FB731B" w:rsidP="00E9515C">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4. Remiantis emp</w:t>
      </w:r>
      <w:r w:rsidR="00C66C7D" w:rsidRPr="006740E5">
        <w:rPr>
          <w:rFonts w:ascii="Times New Roman" w:eastAsia="EUAlbertina-Regular-Identity-H" w:hAnsi="Times New Roman"/>
          <w:sz w:val="24"/>
          <w:szCs w:val="24"/>
        </w:rPr>
        <w:t xml:space="preserve">irinio tyrimo metu gautais duomenimis </w:t>
      </w:r>
      <w:r w:rsidR="00E9515C" w:rsidRPr="006740E5">
        <w:rPr>
          <w:rFonts w:ascii="Times New Roman" w:eastAsia="EUAlbertina-Regular-Identity-H" w:hAnsi="Times New Roman"/>
          <w:sz w:val="24"/>
          <w:szCs w:val="24"/>
        </w:rPr>
        <w:t xml:space="preserve">palyginti </w:t>
      </w:r>
      <w:r w:rsidR="006740E5" w:rsidRPr="006740E5">
        <w:rPr>
          <w:rFonts w:ascii="Times New Roman" w:eastAsia="EUAlbertina-Regular-Identity-H" w:hAnsi="Times New Roman"/>
          <w:sz w:val="24"/>
          <w:szCs w:val="24"/>
        </w:rPr>
        <w:t>d</w:t>
      </w:r>
      <w:r w:rsidR="006740E5" w:rsidRPr="006740E5">
        <w:rPr>
          <w:rFonts w:ascii="Times New Roman" w:hAnsi="Times New Roman"/>
          <w:sz w:val="24"/>
          <w:szCs w:val="24"/>
        </w:rPr>
        <w:t>abartinėje</w:t>
      </w:r>
      <w:r w:rsidR="00E9515C" w:rsidRPr="006740E5">
        <w:rPr>
          <w:rFonts w:ascii="Times New Roman" w:hAnsi="Times New Roman"/>
          <w:sz w:val="24"/>
          <w:szCs w:val="24"/>
        </w:rPr>
        <w:t xml:space="preserve"> Lietuvos pašto rinkoje siūlomas paslaugas tarp viešojo ir privataus se</w:t>
      </w:r>
      <w:r w:rsidRPr="006740E5">
        <w:rPr>
          <w:rFonts w:ascii="Times New Roman" w:hAnsi="Times New Roman"/>
          <w:sz w:val="24"/>
          <w:szCs w:val="24"/>
        </w:rPr>
        <w:t>ktoriaus pašto paslaugų teikėjų</w:t>
      </w:r>
      <w:r w:rsidR="00C66C7D" w:rsidRPr="006740E5">
        <w:rPr>
          <w:rFonts w:ascii="Times New Roman" w:hAnsi="Times New Roman"/>
          <w:sz w:val="24"/>
          <w:szCs w:val="24"/>
        </w:rPr>
        <w:t xml:space="preserve"> ir įvertinti </w:t>
      </w:r>
      <w:r w:rsidR="00E9515C" w:rsidRPr="006740E5">
        <w:rPr>
          <w:rFonts w:ascii="Times New Roman" w:hAnsi="Times New Roman"/>
          <w:sz w:val="24"/>
          <w:szCs w:val="24"/>
        </w:rPr>
        <w:br/>
      </w:r>
      <w:r w:rsidR="00C66C7D" w:rsidRPr="006740E5">
        <w:rPr>
          <w:rFonts w:ascii="Times New Roman" w:hAnsi="Times New Roman"/>
          <w:sz w:val="24"/>
          <w:szCs w:val="24"/>
        </w:rPr>
        <w:t xml:space="preserve">AB ,,Lietuvos paštas’’ </w:t>
      </w:r>
      <w:r w:rsidR="00E9515C" w:rsidRPr="006740E5">
        <w:rPr>
          <w:rFonts w:ascii="Times New Roman" w:hAnsi="Times New Roman"/>
          <w:sz w:val="24"/>
          <w:szCs w:val="24"/>
        </w:rPr>
        <w:t xml:space="preserve">konkurencingumo galimybes dalyvaujant </w:t>
      </w:r>
      <w:r w:rsidR="00C66C7D" w:rsidRPr="006740E5">
        <w:rPr>
          <w:rFonts w:ascii="Times New Roman" w:hAnsi="Times New Roman"/>
          <w:sz w:val="24"/>
          <w:szCs w:val="24"/>
        </w:rPr>
        <w:t>Lietuvos pašto rinkoje</w:t>
      </w:r>
      <w:r w:rsidR="00C66C7D" w:rsidRPr="006740E5">
        <w:rPr>
          <w:rFonts w:ascii="Times New Roman" w:eastAsia="EUAlbertina-Regular-Identity-H" w:hAnsi="Times New Roman"/>
          <w:sz w:val="24"/>
          <w:szCs w:val="24"/>
        </w:rPr>
        <w:t>.</w:t>
      </w:r>
    </w:p>
    <w:p w:rsidR="00C66C7D" w:rsidRPr="006740E5" w:rsidRDefault="00C66C7D" w:rsidP="00E9515C">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5. Sukurti</w:t>
      </w:r>
      <w:r w:rsidR="00FB731B" w:rsidRPr="006740E5">
        <w:rPr>
          <w:rFonts w:ascii="Times New Roman" w:eastAsia="EUAlbertina-Regular-Identity-H" w:hAnsi="Times New Roman"/>
          <w:sz w:val="24"/>
          <w:szCs w:val="24"/>
        </w:rPr>
        <w:t>,</w:t>
      </w:r>
      <w:r w:rsidRPr="006740E5">
        <w:rPr>
          <w:rFonts w:ascii="Times New Roman" w:eastAsia="EUAlbertina-Regular-Identity-H" w:hAnsi="Times New Roman"/>
          <w:sz w:val="24"/>
          <w:szCs w:val="24"/>
        </w:rPr>
        <w:t xml:space="preserve"> </w:t>
      </w:r>
      <w:r w:rsidR="00E9515C" w:rsidRPr="006740E5">
        <w:rPr>
          <w:rFonts w:ascii="Times New Roman" w:eastAsia="EUAlbertina-Regular-Identity-H" w:hAnsi="Times New Roman"/>
          <w:sz w:val="24"/>
          <w:szCs w:val="24"/>
        </w:rPr>
        <w:t>pritaikius naujas žinias</w:t>
      </w:r>
      <w:r w:rsidR="00FB731B" w:rsidRPr="006740E5">
        <w:rPr>
          <w:rFonts w:ascii="Times New Roman" w:eastAsia="EUAlbertina-Regular-Identity-H" w:hAnsi="Times New Roman"/>
          <w:sz w:val="24"/>
          <w:szCs w:val="24"/>
        </w:rPr>
        <w:t>,</w:t>
      </w:r>
      <w:r w:rsidR="00E9515C" w:rsidRPr="006740E5">
        <w:rPr>
          <w:rFonts w:ascii="Times New Roman" w:eastAsia="EUAlbertina-Regular-Identity-H" w:hAnsi="Times New Roman"/>
          <w:sz w:val="24"/>
          <w:szCs w:val="24"/>
        </w:rPr>
        <w:t xml:space="preserve"> įmonės konkurencingumą didinantį </w:t>
      </w:r>
      <w:r w:rsidRPr="006740E5">
        <w:rPr>
          <w:rFonts w:ascii="Times New Roman" w:eastAsia="EUAlbertina-Regular-Identity-H" w:hAnsi="Times New Roman"/>
          <w:sz w:val="24"/>
          <w:szCs w:val="24"/>
        </w:rPr>
        <w:t>teorinį paslaugų teikimo modelį valstybinei įmonei AB ,,Lietuvos paštas’’ ir išanalizuoti jo aktualumą praktikoje lyginant su Europos Sąjungos analogiškų paslaugų teikėjais</w:t>
      </w:r>
      <w:r w:rsidR="00E9515C" w:rsidRPr="006740E5">
        <w:rPr>
          <w:rFonts w:ascii="Times New Roman" w:eastAsia="EUAlbertina-Regular-Identity-H" w:hAnsi="Times New Roman"/>
          <w:sz w:val="24"/>
          <w:szCs w:val="24"/>
        </w:rPr>
        <w:t xml:space="preserve"> liberalėjančioje rinkoje</w:t>
      </w:r>
      <w:r w:rsidRPr="006740E5">
        <w:rPr>
          <w:rFonts w:ascii="Times New Roman" w:eastAsia="EUAlbertina-Regular-Identity-H" w:hAnsi="Times New Roman"/>
          <w:sz w:val="24"/>
          <w:szCs w:val="24"/>
        </w:rPr>
        <w:t>.</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iCs/>
          <w:sz w:val="24"/>
          <w:szCs w:val="24"/>
        </w:rPr>
      </w:pPr>
      <w:r w:rsidRPr="006740E5">
        <w:rPr>
          <w:rFonts w:ascii="Times New Roman" w:eastAsia="EUAlbertina-Regular-Identity-H" w:hAnsi="Times New Roman"/>
          <w:b/>
          <w:iCs/>
          <w:sz w:val="24"/>
          <w:szCs w:val="24"/>
        </w:rPr>
        <w:t xml:space="preserve">Tyrimo metodai. </w:t>
      </w:r>
      <w:r w:rsidRPr="006740E5">
        <w:rPr>
          <w:rFonts w:ascii="Times New Roman" w:eastAsia="EUAlbertina-Regular-Identity-H" w:hAnsi="Times New Roman"/>
          <w:sz w:val="24"/>
          <w:szCs w:val="24"/>
        </w:rPr>
        <w:t xml:space="preserve">Teoriniai duomenų tyrimo metodai: analizė, sintezė, dedukcija </w:t>
      </w:r>
      <w:r w:rsidRPr="006740E5">
        <w:rPr>
          <w:rFonts w:ascii="Times New Roman" w:eastAsia="EUAlbertina-Regular-Identity-H" w:hAnsi="Times New Roman"/>
          <w:sz w:val="24"/>
          <w:szCs w:val="24"/>
        </w:rPr>
        <w:br/>
        <w:t xml:space="preserve">ir apibendrinimo metodas. Empiriniam prielaidų tikrinimui: </w:t>
      </w:r>
      <w:r w:rsidR="007868A0" w:rsidRPr="006740E5">
        <w:rPr>
          <w:rFonts w:ascii="Times New Roman" w:eastAsia="EUAlbertina-Regular-Identity-H" w:hAnsi="Times New Roman"/>
          <w:sz w:val="24"/>
          <w:szCs w:val="24"/>
        </w:rPr>
        <w:t>ekspertinio vertinimo kiekybinė ana</w:t>
      </w:r>
      <w:r w:rsidRPr="006740E5">
        <w:rPr>
          <w:rFonts w:ascii="Times New Roman" w:eastAsia="EUAlbertina-Regular-Identity-H" w:hAnsi="Times New Roman"/>
          <w:sz w:val="24"/>
          <w:szCs w:val="24"/>
        </w:rPr>
        <w:t>lizė</w:t>
      </w:r>
      <w:r w:rsidRPr="006740E5">
        <w:rPr>
          <w:rFonts w:ascii="Times New Roman" w:eastAsia="EUAlbertina-Regular-Identity-H" w:hAnsi="Times New Roman"/>
          <w:iCs/>
          <w:sz w:val="24"/>
          <w:szCs w:val="24"/>
        </w:rPr>
        <w:t xml:space="preserve">. </w:t>
      </w:r>
      <w:r w:rsidR="007868A0" w:rsidRPr="006740E5">
        <w:rPr>
          <w:rFonts w:ascii="Times New Roman" w:eastAsia="EUAlbertina-Regular-Identity-H" w:hAnsi="Times New Roman"/>
          <w:iCs/>
          <w:sz w:val="24"/>
          <w:szCs w:val="24"/>
        </w:rPr>
        <w:t>Ekspertų nuomonė tirta klausimynu, kuris pateiktas</w:t>
      </w:r>
      <w:r w:rsidRPr="006740E5">
        <w:rPr>
          <w:rFonts w:ascii="Times New Roman" w:eastAsia="EUAlbertina-Regular-Identity-H" w:hAnsi="Times New Roman"/>
          <w:iCs/>
          <w:sz w:val="24"/>
          <w:szCs w:val="24"/>
        </w:rPr>
        <w:t xml:space="preserve"> analogiškas AB ,,Lietuvos paštas’’ paslaugas teikiantiems Lietuvos pašto sektoriaus atstovams (</w:t>
      </w:r>
      <w:r w:rsidR="007868A0" w:rsidRPr="006740E5">
        <w:rPr>
          <w:rFonts w:ascii="Times New Roman" w:eastAsia="EUAlbertina-Regular-Identity-H" w:hAnsi="Times New Roman"/>
          <w:iCs/>
          <w:sz w:val="24"/>
          <w:szCs w:val="24"/>
        </w:rPr>
        <w:t>verslo plėtros vadybininkams</w:t>
      </w:r>
      <w:r w:rsidRPr="006740E5">
        <w:rPr>
          <w:rFonts w:ascii="Times New Roman" w:eastAsia="EUAlbertina-Regular-Identity-H" w:hAnsi="Times New Roman"/>
          <w:iCs/>
          <w:sz w:val="24"/>
          <w:szCs w:val="24"/>
        </w:rPr>
        <w:t>)</w:t>
      </w:r>
      <w:r w:rsidR="007868A0" w:rsidRPr="006740E5">
        <w:rPr>
          <w:rFonts w:ascii="Times New Roman" w:eastAsia="EUAlbertina-Regular-Identity-H" w:hAnsi="Times New Roman"/>
          <w:iCs/>
          <w:sz w:val="24"/>
          <w:szCs w:val="24"/>
        </w:rPr>
        <w:t xml:space="preserve"> – subjektams, veikiantiems analogiškoje socio-teisinėje </w:t>
      </w:r>
      <w:r w:rsidR="006740E5" w:rsidRPr="006740E5">
        <w:rPr>
          <w:rFonts w:ascii="Times New Roman" w:eastAsia="EUAlbertina-Regular-Identity-H" w:hAnsi="Times New Roman"/>
          <w:iCs/>
          <w:sz w:val="24"/>
          <w:szCs w:val="24"/>
        </w:rPr>
        <w:t>aplinkoje</w:t>
      </w:r>
      <w:r w:rsidR="007868A0" w:rsidRPr="006740E5">
        <w:rPr>
          <w:rFonts w:ascii="Times New Roman" w:eastAsia="EUAlbertina-Regular-Identity-H" w:hAnsi="Times New Roman"/>
          <w:iCs/>
          <w:sz w:val="24"/>
          <w:szCs w:val="24"/>
        </w:rPr>
        <w:t xml:space="preserve"> (liberalizuojamoje pašto rinkoje)</w:t>
      </w:r>
      <w:r w:rsidRPr="006740E5">
        <w:rPr>
          <w:rFonts w:ascii="Times New Roman" w:eastAsia="EUAlbertina-Regular-Identity-H" w:hAnsi="Times New Roman"/>
          <w:iCs/>
          <w:sz w:val="24"/>
          <w:szCs w:val="24"/>
        </w:rPr>
        <w:t>. Tyrimo metu gauti rezultatai apdoroti MS Excel programa ir pavaizduoti diagramomis bei schemomis.</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b/>
          <w:iCs/>
          <w:sz w:val="24"/>
          <w:szCs w:val="24"/>
        </w:rPr>
      </w:pPr>
      <w:r w:rsidRPr="006740E5">
        <w:rPr>
          <w:rFonts w:ascii="Times New Roman" w:eastAsia="EUAlbertina-Regular-Identity-H" w:hAnsi="Times New Roman"/>
          <w:b/>
          <w:iCs/>
          <w:sz w:val="24"/>
          <w:szCs w:val="24"/>
        </w:rPr>
        <w:t>Tyrimo šaltiniai:</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iCs/>
          <w:sz w:val="24"/>
          <w:szCs w:val="24"/>
        </w:rPr>
      </w:pPr>
      <w:r w:rsidRPr="006740E5">
        <w:rPr>
          <w:rFonts w:ascii="Times New Roman" w:eastAsia="EUAlbertina-Regular-Identity-H" w:hAnsi="Times New Roman"/>
          <w:iCs/>
          <w:sz w:val="24"/>
          <w:szCs w:val="24"/>
        </w:rPr>
        <w:t xml:space="preserve">− Europos </w:t>
      </w:r>
      <w:r w:rsidRPr="006740E5">
        <w:rPr>
          <w:rFonts w:ascii="Times New Roman" w:eastAsia="EUAlbertina-Regular-Identity-H" w:hAnsi="Times New Roman"/>
          <w:sz w:val="24"/>
          <w:szCs w:val="24"/>
        </w:rPr>
        <w:t>Parlamento ir Tarybos direktyvos</w:t>
      </w:r>
      <w:r w:rsidRPr="006740E5">
        <w:rPr>
          <w:rFonts w:ascii="Times New Roman" w:eastAsia="EUAlbertina-Regular-Identity-H" w:hAnsi="Times New Roman"/>
          <w:iCs/>
          <w:sz w:val="24"/>
          <w:szCs w:val="24"/>
        </w:rPr>
        <w:t>:</w:t>
      </w:r>
      <w:r w:rsidRPr="006740E5">
        <w:rPr>
          <w:rFonts w:ascii="Times New Roman" w:eastAsia="EUAlbertina-Regular-Identity-H" w:hAnsi="Times New Roman"/>
          <w:b/>
          <w:iCs/>
          <w:sz w:val="24"/>
          <w:szCs w:val="24"/>
        </w:rPr>
        <w:t xml:space="preserve"> </w:t>
      </w:r>
      <w:r w:rsidRPr="006740E5">
        <w:rPr>
          <w:rFonts w:ascii="Times New Roman" w:eastAsia="EUAlbertina-Regular-Identity-H" w:hAnsi="Times New Roman"/>
          <w:sz w:val="24"/>
          <w:szCs w:val="24"/>
        </w:rPr>
        <w:t xml:space="preserve">97/67/EB dėl Bendrijos pašto paslaugų vidaus rinkos plėtros bendrųjų taisyklių ir paslaugų kokybės gerinimo; 2002/39/EB iš dalies keičianti Direktyvą 97/67/EB dėl Bendrijos pašto paslaugų rinkos tolesnio atvėrimo konkurencijai; 2008/6/EB </w:t>
      </w:r>
      <w:r w:rsidRPr="006740E5">
        <w:rPr>
          <w:rFonts w:ascii="Times New Roman" w:eastAsia="EUAlbertina-Regular-Identity-H" w:hAnsi="Times New Roman"/>
          <w:sz w:val="24"/>
          <w:szCs w:val="24"/>
        </w:rPr>
        <w:lastRenderedPageBreak/>
        <w:t xml:space="preserve">iš dalies keičianti direktyvą 97/67/EB </w:t>
      </w:r>
      <w:r w:rsidRPr="006740E5">
        <w:rPr>
          <w:rFonts w:ascii="Times New Roman" w:eastAsia="EUAlbertina-Regular-Identity-H" w:hAnsi="Times New Roman"/>
          <w:bCs/>
          <w:sz w:val="24"/>
          <w:szCs w:val="24"/>
        </w:rPr>
        <w:t>siekiant visiško Bendrijos pašto paslaugų vidaus rinkos suformavimo</w:t>
      </w:r>
      <w:r w:rsidRPr="006740E5">
        <w:rPr>
          <w:rFonts w:ascii="Times New Roman" w:eastAsia="EUAlbertina-Regular-Identity-H" w:hAnsi="Times New Roman"/>
          <w:sz w:val="24"/>
          <w:szCs w:val="24"/>
        </w:rPr>
        <w:t>.</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iCs/>
          <w:sz w:val="24"/>
          <w:szCs w:val="24"/>
        </w:rPr>
        <w:t>− Lietuvos Respublikos įstatymai:</w:t>
      </w:r>
      <w:r w:rsidRPr="006740E5">
        <w:rPr>
          <w:rFonts w:ascii="Times New Roman" w:eastAsia="EUAlbertina-Regular-Identity-H" w:hAnsi="Times New Roman"/>
          <w:b/>
          <w:iCs/>
          <w:sz w:val="24"/>
          <w:szCs w:val="24"/>
        </w:rPr>
        <w:t xml:space="preserve"> </w:t>
      </w:r>
      <w:r w:rsidRPr="006740E5">
        <w:rPr>
          <w:rFonts w:ascii="Times New Roman" w:eastAsia="EUAlbertina-Regular-Identity-H" w:hAnsi="Times New Roman"/>
          <w:sz w:val="24"/>
          <w:szCs w:val="24"/>
        </w:rPr>
        <w:t xml:space="preserve">Lietuvos Respublikos Ryšių įstatymas </w:t>
      </w:r>
      <w:r w:rsidRPr="006740E5">
        <w:rPr>
          <w:rFonts w:ascii="Times New Roman" w:eastAsia="EUAlbertina-Regular-Identity-H" w:hAnsi="Times New Roman"/>
          <w:sz w:val="24"/>
          <w:szCs w:val="24"/>
        </w:rPr>
        <w:br/>
        <w:t xml:space="preserve">(Žin., 1995, 102−220); Lietuvos Respublikos Pašto įstatymas (Žin., 1999, 36−1070), </w:t>
      </w:r>
      <w:r w:rsidRPr="006740E5">
        <w:rPr>
          <w:rFonts w:ascii="Times New Roman" w:eastAsia="EUAlbertina-Regular-Identity-H" w:hAnsi="Times New Roman"/>
          <w:sz w:val="24"/>
          <w:szCs w:val="24"/>
        </w:rPr>
        <w:br/>
        <w:t xml:space="preserve">(Žin., 2001, 94−3306), (Žin., 2004, 60−2125), (Žin., 2010, 1−33); </w:t>
      </w:r>
      <w:r w:rsidR="00D94878" w:rsidRPr="006740E5">
        <w:rPr>
          <w:rFonts w:ascii="Times New Roman" w:eastAsia="EUAlbertina-Regular-Identity-H" w:hAnsi="Times New Roman"/>
          <w:sz w:val="24"/>
          <w:szCs w:val="24"/>
        </w:rPr>
        <w:t xml:space="preserve">Lietuvos Respublikos Pašto įstatymo projektas (2010-09-28, Nr. 10-3059-04); </w:t>
      </w:r>
      <w:r w:rsidRPr="006740E5">
        <w:rPr>
          <w:rFonts w:ascii="Times New Roman" w:eastAsia="EUAlbertina-Regular-Identity-H" w:hAnsi="Times New Roman"/>
          <w:sz w:val="24"/>
          <w:szCs w:val="24"/>
        </w:rPr>
        <w:t xml:space="preserve">Lietuvos Respublikos Smulkiojo ir vidutinio verslo plėtros įstatymas (Žin., </w:t>
      </w:r>
      <w:r w:rsidRPr="006740E5">
        <w:rPr>
          <w:rFonts w:ascii="Times New Roman" w:eastAsia="EUAlbertina-Regular-Identity-H" w:hAnsi="Times New Roman"/>
          <w:iCs/>
          <w:sz w:val="24"/>
          <w:szCs w:val="24"/>
        </w:rPr>
        <w:t>2007, 132−5354</w:t>
      </w:r>
      <w:r w:rsidRPr="006740E5">
        <w:rPr>
          <w:rFonts w:ascii="Times New Roman" w:eastAsia="EUAlbertina-Regular-Identity-H" w:hAnsi="Times New Roman"/>
          <w:sz w:val="24"/>
          <w:szCs w:val="24"/>
        </w:rPr>
        <w:t xml:space="preserve">); </w:t>
      </w:r>
      <w:r w:rsidRPr="006740E5">
        <w:rPr>
          <w:rFonts w:ascii="Times New Roman" w:hAnsi="Times New Roman"/>
          <w:sz w:val="24"/>
          <w:szCs w:val="24"/>
        </w:rPr>
        <w:t>Lietuvos Respublikos Akcinių bendrovių įstatymas (Žin.,</w:t>
      </w:r>
      <w:r w:rsidRPr="006740E5">
        <w:rPr>
          <w:rFonts w:ascii="Times New Roman" w:hAnsi="Times New Roman"/>
          <w:caps/>
          <w:sz w:val="24"/>
          <w:szCs w:val="24"/>
        </w:rPr>
        <w:t xml:space="preserve"> 2010, 1−22</w:t>
      </w:r>
      <w:r w:rsidRPr="006740E5">
        <w:rPr>
          <w:rFonts w:ascii="Times New Roman" w:hAnsi="Times New Roman"/>
          <w:sz w:val="24"/>
          <w:szCs w:val="24"/>
        </w:rPr>
        <w:t>)</w:t>
      </w:r>
      <w:r w:rsidRPr="006740E5">
        <w:rPr>
          <w:rFonts w:ascii="Times New Roman" w:eastAsia="EUAlbertina-Regular-Identity-H" w:hAnsi="Times New Roman"/>
          <w:sz w:val="24"/>
          <w:szCs w:val="24"/>
        </w:rPr>
        <w:t>.</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b/>
          <w:iCs/>
          <w:sz w:val="24"/>
          <w:szCs w:val="24"/>
        </w:rPr>
      </w:pPr>
      <w:r w:rsidRPr="006740E5">
        <w:rPr>
          <w:rFonts w:ascii="Times New Roman" w:eastAsia="EUAlbertina-Regular-Identity-H" w:hAnsi="Times New Roman"/>
          <w:iCs/>
          <w:sz w:val="24"/>
          <w:szCs w:val="24"/>
        </w:rPr>
        <w:t xml:space="preserve">− Kiti Lietuvos Respublikos teisės aktai: Lietuvos Respublikos Ryšių reguliavimo tarnybos direktoriaus įsakymas </w:t>
      </w:r>
      <w:r w:rsidRPr="006740E5">
        <w:rPr>
          <w:rFonts w:ascii="Times New Roman" w:hAnsi="Times New Roman"/>
          <w:sz w:val="24"/>
          <w:szCs w:val="24"/>
        </w:rPr>
        <w:t xml:space="preserve">Dėl pašto ir pasiuntinių paslaugų teikimo taisyklių patvirtinimo </w:t>
      </w:r>
      <w:r w:rsidRPr="006740E5">
        <w:rPr>
          <w:rFonts w:ascii="Times New Roman" w:hAnsi="Times New Roman"/>
          <w:sz w:val="24"/>
          <w:szCs w:val="24"/>
        </w:rPr>
        <w:br/>
        <w:t xml:space="preserve">(Žin., 2010, </w:t>
      </w:r>
      <w:r w:rsidRPr="006740E5">
        <w:rPr>
          <w:rFonts w:ascii="Times New Roman" w:hAnsi="Times New Roman"/>
          <w:bCs/>
          <w:sz w:val="24"/>
          <w:szCs w:val="24"/>
        </w:rPr>
        <w:t>3−149</w:t>
      </w:r>
      <w:r w:rsidRPr="006740E5">
        <w:rPr>
          <w:rFonts w:ascii="Times New Roman" w:hAnsi="Times New Roman"/>
          <w:sz w:val="24"/>
          <w:szCs w:val="24"/>
        </w:rPr>
        <w:t>).</w:t>
      </w:r>
    </w:p>
    <w:p w:rsidR="00C66C7D" w:rsidRPr="006740E5" w:rsidRDefault="00C66C7D" w:rsidP="0022425B">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iCs/>
          <w:sz w:val="24"/>
          <w:szCs w:val="24"/>
        </w:rPr>
        <w:t xml:space="preserve">Naudotasi Lietuvos Respublikos Ryšių reguliavimo tarnybos pateikiamomis pašto sektoriaus ataskaitomis ir kita informacija pateikiama tarnybos interneto tinklalapyje; AB ,,Lietuvos paštas’’ metiniai pranešimai ir kita įmonės interneto tinklalapyje pateikiama informacija; Europos bendrijų komisijos ataskaitos Tarybai ir Europos parlamentui dėl pašto direktyvos </w:t>
      </w:r>
      <w:r w:rsidRPr="006740E5">
        <w:rPr>
          <w:rFonts w:ascii="Times New Roman" w:eastAsia="EUAlbertina-Regular-Identity-H" w:hAnsi="Times New Roman"/>
          <w:sz w:val="24"/>
          <w:szCs w:val="24"/>
        </w:rPr>
        <w:t>97/67/EB su pakeitimais, padarytais Direktyva 2002/39/EB, taikymo; Europos Komisijos interneto tinklalapyje pateikiama informacija apie vidaus rinkų kūrimą ir pašto paslaugas; AB ,,Lietuvos paštas’’ įstatais; Europos Sąjungos Universaliųjų pašto paslaugų teikėjų tinklalapiuose pateikta informacija</w:t>
      </w:r>
      <w:r w:rsidR="00D7657C" w:rsidRPr="006740E5">
        <w:rPr>
          <w:rFonts w:ascii="Times New Roman" w:eastAsia="EUAlbertina-Regular-Identity-H" w:hAnsi="Times New Roman"/>
          <w:sz w:val="24"/>
          <w:szCs w:val="24"/>
        </w:rPr>
        <w:t>, 2007 m. Jungtinių tautų leidinys ,,Innovations in Governance and Public Administration: Replicating what works‘‘</w:t>
      </w:r>
      <w:r w:rsidRPr="006740E5">
        <w:rPr>
          <w:rFonts w:ascii="Times New Roman" w:eastAsia="EUAlbertina-Regular-Identity-H" w:hAnsi="Times New Roman"/>
          <w:sz w:val="24"/>
          <w:szCs w:val="24"/>
        </w:rPr>
        <w:t>.</w:t>
      </w:r>
    </w:p>
    <w:p w:rsidR="00C66C7D" w:rsidRPr="006740E5" w:rsidRDefault="00C66C7D" w:rsidP="00F86E7E">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t>Magistrinio darbo rezultatai.</w:t>
      </w:r>
    </w:p>
    <w:p w:rsidR="00C66C7D" w:rsidRPr="006740E5" w:rsidRDefault="00C66C7D" w:rsidP="00F86E7E">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Atlikta mokslinės literatūros analizė atskleidė dimensijas kuriose analizuojamas naujų žinių kūrimas ir taikymas bei leido šias dimensijas susieti į sistemą, kurioje išryškėjo dvilypis organizacinio lygmens vaidmuo ir būtinos organizacinės vadybos sąlygos leidžiančios veikti</w:t>
      </w:r>
      <w:r w:rsidRPr="006740E5">
        <w:rPr>
          <w:rFonts w:ascii="Times New Roman" w:hAnsi="Times New Roman"/>
          <w:sz w:val="24"/>
          <w:szCs w:val="24"/>
        </w:rPr>
        <w:t xml:space="preserve"> tiek visą visuomenę, tiek atskirus individus kuriant ir taikant naujas žinias visuose verslo subjekto veiklos procesuose.</w:t>
      </w:r>
      <w:r w:rsidRPr="006740E5">
        <w:rPr>
          <w:rFonts w:ascii="Times New Roman" w:hAnsi="Times New Roman"/>
          <w:iCs/>
          <w:sz w:val="24"/>
          <w:szCs w:val="24"/>
        </w:rPr>
        <w:t xml:space="preserve"> </w:t>
      </w:r>
      <w:r w:rsidRPr="006740E5">
        <w:rPr>
          <w:rFonts w:ascii="Times New Roman" w:hAnsi="Times New Roman"/>
          <w:iCs/>
          <w:sz w:val="24"/>
          <w:szCs w:val="24"/>
        </w:rPr>
        <w:br/>
        <w:t xml:space="preserve">Taip pat </w:t>
      </w:r>
      <w:r w:rsidRPr="006740E5">
        <w:rPr>
          <w:rFonts w:ascii="Times New Roman" w:hAnsi="Times New Roman"/>
          <w:sz w:val="24"/>
          <w:szCs w:val="24"/>
        </w:rPr>
        <w:t xml:space="preserve">buvo nustatyta, kad naujų žinių taikymo pašto sektoriuje sritis dar labai silpnai tiriama – </w:t>
      </w:r>
      <w:r w:rsidRPr="006740E5">
        <w:rPr>
          <w:rFonts w:ascii="Times New Roman" w:hAnsi="Times New Roman"/>
          <w:sz w:val="24"/>
          <w:szCs w:val="24"/>
        </w:rPr>
        <w:br/>
        <w:t>per pastaruosius 25-erius metus atliktų tyrimų nėra daug, nors praktikoje susidariusios aplinkybės, kurios buvo ištirtos analizuojant teisės aktus ir sektoriaus ataskaitas, rodo didelį šių tyrimų aktualumą.</w:t>
      </w:r>
    </w:p>
    <w:p w:rsidR="00C66C7D" w:rsidRPr="006740E5" w:rsidRDefault="00C66C7D" w:rsidP="00F86E7E">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 xml:space="preserve">Empirinio tyrimo metu buvo atlikta Lietuvos pašto rinkos padėties analizė ir įvertintas valstybinio pašto paslaugų teikėjo dalyvavimas joje. Lietuvos pašto rinkos padėties analizė atskleidė Lietuvos pašto rinkoje šiuo metu sėkmingai veikiančių subjektų veiklos specifiką, </w:t>
      </w:r>
      <w:r w:rsidR="00D9662F" w:rsidRPr="006740E5">
        <w:rPr>
          <w:rFonts w:ascii="Times New Roman" w:hAnsi="Times New Roman"/>
          <w:iCs/>
          <w:sz w:val="24"/>
          <w:szCs w:val="24"/>
        </w:rPr>
        <w:br/>
      </w:r>
      <w:r w:rsidRPr="006740E5">
        <w:rPr>
          <w:rFonts w:ascii="Times New Roman" w:hAnsi="Times New Roman"/>
          <w:iCs/>
          <w:sz w:val="24"/>
          <w:szCs w:val="24"/>
        </w:rPr>
        <w:t xml:space="preserve">į kurią </w:t>
      </w:r>
      <w:r w:rsidR="00AC6EF7" w:rsidRPr="006740E5">
        <w:rPr>
          <w:rFonts w:ascii="Times New Roman" w:hAnsi="Times New Roman"/>
          <w:iCs/>
          <w:sz w:val="24"/>
          <w:szCs w:val="24"/>
        </w:rPr>
        <w:t>rekomenduojama</w:t>
      </w:r>
      <w:r w:rsidRPr="006740E5">
        <w:rPr>
          <w:rFonts w:ascii="Times New Roman" w:hAnsi="Times New Roman"/>
          <w:iCs/>
          <w:sz w:val="24"/>
          <w:szCs w:val="24"/>
        </w:rPr>
        <w:t xml:space="preserve"> orientuo</w:t>
      </w:r>
      <w:r w:rsidR="00AC6EF7" w:rsidRPr="006740E5">
        <w:rPr>
          <w:rFonts w:ascii="Times New Roman" w:hAnsi="Times New Roman"/>
          <w:iCs/>
          <w:sz w:val="24"/>
          <w:szCs w:val="24"/>
        </w:rPr>
        <w:t>t</w:t>
      </w:r>
      <w:r w:rsidRPr="006740E5">
        <w:rPr>
          <w:rFonts w:ascii="Times New Roman" w:hAnsi="Times New Roman"/>
          <w:iCs/>
          <w:sz w:val="24"/>
          <w:szCs w:val="24"/>
        </w:rPr>
        <w:t>i AB ,,Lietuvos paštas‘‘ veiklą. Bendrovės dalyvavimo Lietuvos pašto rinkoje vertinimas atskleidė įmonės išteklių organizavimo ir požiūrio i klientą problemas, k</w:t>
      </w:r>
      <w:r w:rsidR="00AC6EF7" w:rsidRPr="006740E5">
        <w:rPr>
          <w:rFonts w:ascii="Times New Roman" w:hAnsi="Times New Roman"/>
          <w:iCs/>
          <w:sz w:val="24"/>
          <w:szCs w:val="24"/>
        </w:rPr>
        <w:t xml:space="preserve">urioms spręsti buvo pasiūlytas </w:t>
      </w:r>
      <w:r w:rsidR="008F1031" w:rsidRPr="006740E5">
        <w:rPr>
          <w:rFonts w:ascii="Times New Roman" w:hAnsi="Times New Roman"/>
          <w:iCs/>
          <w:sz w:val="24"/>
          <w:szCs w:val="24"/>
        </w:rPr>
        <w:t>R</w:t>
      </w:r>
      <w:r w:rsidR="008F1031" w:rsidRPr="006740E5">
        <w:rPr>
          <w:rFonts w:ascii="Times New Roman" w:hAnsi="Times New Roman"/>
          <w:sz w:val="24"/>
          <w:szCs w:val="24"/>
        </w:rPr>
        <w:t>ekomendacinis teorinis konkurencingų paslaugų teikimo modelis. Modelio aktualumas išanalizuotas Europos Sąjungos universaliųjų pašto paslaugų teikėjų veiklos kontekste.</w:t>
      </w:r>
    </w:p>
    <w:p w:rsidR="00C66C7D" w:rsidRPr="006740E5" w:rsidRDefault="00C66C7D" w:rsidP="0022425B">
      <w:pPr>
        <w:tabs>
          <w:tab w:val="left" w:pos="-6379"/>
        </w:tabs>
        <w:spacing w:after="0" w:line="360" w:lineRule="auto"/>
        <w:ind w:firstLine="567"/>
        <w:jc w:val="both"/>
        <w:rPr>
          <w:rFonts w:ascii="Times New Roman" w:hAnsi="Times New Roman"/>
          <w:b/>
          <w:iCs/>
          <w:sz w:val="24"/>
          <w:szCs w:val="24"/>
        </w:rPr>
      </w:pPr>
      <w:r w:rsidRPr="006740E5">
        <w:rPr>
          <w:rFonts w:ascii="Times New Roman" w:hAnsi="Times New Roman"/>
          <w:b/>
          <w:iCs/>
          <w:sz w:val="24"/>
          <w:szCs w:val="24"/>
        </w:rPr>
        <w:lastRenderedPageBreak/>
        <w:t>Mokslinio darbo rezultatų skelbimas</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sz w:val="24"/>
          <w:szCs w:val="24"/>
          <w:lang w:eastAsia="lt-LT"/>
        </w:rPr>
        <w:t xml:space="preserve">− </w:t>
      </w:r>
      <w:r w:rsidRPr="006740E5">
        <w:rPr>
          <w:rFonts w:ascii="Times New Roman" w:hAnsi="Times New Roman"/>
          <w:iCs/>
          <w:sz w:val="24"/>
          <w:szCs w:val="24"/>
        </w:rPr>
        <w:t xml:space="preserve">R. Tamošiūnaitė. Elektroninių paslaugų veiksnys Lietuvos pašto rinkai. Vilniaus universiteto mokslinė konferencija ,,Informacijos ir komunikacijos vadybos aprėptys šiuolaikinėje organizacijoje: teorija ir praktika‘‘, 2009−11−20 Vilnius. VU KF SMD Konferencijos rinktiniai darbai, 2010, Nr. 1, </w:t>
      </w:r>
      <w:r w:rsidRPr="006740E5">
        <w:rPr>
          <w:rFonts w:ascii="Times New Roman" w:hAnsi="Times New Roman"/>
          <w:iCs/>
          <w:sz w:val="24"/>
          <w:szCs w:val="24"/>
        </w:rPr>
        <w:br/>
        <w:t>p. 82−92. – ISSN: 2029-3267.</w:t>
      </w:r>
    </w:p>
    <w:p w:rsidR="00C66C7D" w:rsidRPr="006740E5" w:rsidRDefault="00C66C7D" w:rsidP="0022425B">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 xml:space="preserve">R. Tamošiūnaitė. E. verslo plėtros galimybės Lietuvos pašto sektoriuje. Mykolo Romerio universiteto </w:t>
      </w:r>
      <w:r w:rsidR="009165DC" w:rsidRPr="006740E5">
        <w:rPr>
          <w:rFonts w:ascii="Times New Roman" w:hAnsi="Times New Roman"/>
          <w:iCs/>
          <w:sz w:val="24"/>
          <w:szCs w:val="24"/>
          <w:lang w:eastAsia="lt-LT"/>
        </w:rPr>
        <w:t xml:space="preserve">studentų </w:t>
      </w:r>
      <w:r w:rsidRPr="006740E5">
        <w:rPr>
          <w:rFonts w:ascii="Times New Roman" w:hAnsi="Times New Roman"/>
          <w:iCs/>
          <w:sz w:val="24"/>
          <w:szCs w:val="24"/>
          <w:lang w:eastAsia="lt-LT"/>
        </w:rPr>
        <w:t>mokslinė konferencija ,,Mokslinės minties šventė 2010’’, Kovo 30-31 d., 2010, Vilnius. (pranešimas be straipsnio)</w:t>
      </w:r>
      <w:r w:rsidR="00702495" w:rsidRPr="006740E5">
        <w:rPr>
          <w:rFonts w:ascii="Times New Roman" w:hAnsi="Times New Roman"/>
          <w:iCs/>
          <w:sz w:val="24"/>
          <w:szCs w:val="24"/>
          <w:lang w:eastAsia="lt-LT"/>
        </w:rPr>
        <w:t>.</w:t>
      </w:r>
    </w:p>
    <w:p w:rsidR="00702495" w:rsidRPr="006740E5" w:rsidRDefault="00702495" w:rsidP="00702495">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R. Tamošiūnaitė. Europos Sąjungos pašto paslaugų sektoriaus liberalizavimo procesas ir jo rezultatai. Mykolo Romerio universitetas, tarptautinė mokslinė konferencija ,,Socialinės technologijos’10: iššūkiai</w:t>
      </w:r>
      <w:r w:rsidRPr="006740E5">
        <w:rPr>
          <w:rFonts w:ascii="Times New Roman" w:hAnsi="Times New Roman"/>
          <w:bCs/>
          <w:iCs/>
          <w:sz w:val="24"/>
          <w:szCs w:val="24"/>
          <w:lang w:eastAsia="lt-LT"/>
        </w:rPr>
        <w:t>, galimybės, sprendimai</w:t>
      </w:r>
      <w:r w:rsidRPr="006740E5">
        <w:rPr>
          <w:rFonts w:ascii="Times New Roman" w:hAnsi="Times New Roman"/>
          <w:iCs/>
          <w:sz w:val="24"/>
          <w:szCs w:val="24"/>
          <w:lang w:eastAsia="lt-LT"/>
        </w:rPr>
        <w:t>’’, Lapkričio 25-26</w:t>
      </w:r>
      <w:r w:rsidR="007A7368" w:rsidRPr="006740E5">
        <w:rPr>
          <w:rFonts w:ascii="Times New Roman" w:hAnsi="Times New Roman"/>
          <w:iCs/>
          <w:sz w:val="24"/>
          <w:szCs w:val="24"/>
          <w:lang w:eastAsia="lt-LT"/>
        </w:rPr>
        <w:t xml:space="preserve"> d., 2010, Vilnius, p </w:t>
      </w:r>
      <w:r w:rsidR="00FF63D7" w:rsidRPr="006740E5">
        <w:rPr>
          <w:rFonts w:ascii="Times New Roman" w:hAnsi="Times New Roman"/>
          <w:iCs/>
          <w:sz w:val="24"/>
          <w:szCs w:val="24"/>
          <w:lang w:eastAsia="lt-LT"/>
        </w:rPr>
        <w:t>317</w:t>
      </w:r>
      <w:r w:rsidR="007A7368" w:rsidRPr="006740E5">
        <w:rPr>
          <w:rFonts w:ascii="Times New Roman" w:hAnsi="Times New Roman"/>
          <w:iCs/>
          <w:sz w:val="24"/>
          <w:szCs w:val="24"/>
          <w:lang w:eastAsia="lt-LT"/>
        </w:rPr>
        <w:t>-</w:t>
      </w:r>
      <w:r w:rsidR="00FF63D7" w:rsidRPr="006740E5">
        <w:rPr>
          <w:rFonts w:ascii="Times New Roman" w:hAnsi="Times New Roman"/>
          <w:iCs/>
          <w:sz w:val="24"/>
          <w:szCs w:val="24"/>
          <w:lang w:eastAsia="lt-LT"/>
        </w:rPr>
        <w:t>324</w:t>
      </w:r>
      <w:r w:rsidR="007A7368" w:rsidRPr="006740E5">
        <w:rPr>
          <w:rFonts w:ascii="Times New Roman" w:hAnsi="Times New Roman"/>
          <w:iCs/>
          <w:sz w:val="24"/>
          <w:szCs w:val="24"/>
          <w:lang w:eastAsia="lt-LT"/>
        </w:rPr>
        <w:t>.</w:t>
      </w:r>
      <w:r w:rsidRPr="006740E5">
        <w:rPr>
          <w:rFonts w:ascii="Times New Roman" w:hAnsi="Times New Roman"/>
          <w:iCs/>
          <w:sz w:val="24"/>
          <w:szCs w:val="24"/>
          <w:lang w:eastAsia="lt-LT"/>
        </w:rPr>
        <w:t xml:space="preserve"> – ISBN: </w:t>
      </w:r>
      <w:r w:rsidR="00FF63D7" w:rsidRPr="006740E5">
        <w:rPr>
          <w:rFonts w:ascii="Times New Roman" w:hAnsi="Times New Roman"/>
          <w:iCs/>
          <w:sz w:val="24"/>
          <w:szCs w:val="24"/>
          <w:lang w:eastAsia="lt-LT"/>
        </w:rPr>
        <w:t>978-9955-19-208-4</w:t>
      </w:r>
      <w:r w:rsidRPr="006740E5">
        <w:rPr>
          <w:rFonts w:ascii="Times New Roman" w:hAnsi="Times New Roman"/>
          <w:iCs/>
          <w:sz w:val="24"/>
          <w:szCs w:val="24"/>
          <w:lang w:eastAsia="lt-LT"/>
        </w:rPr>
        <w:t>.</w:t>
      </w:r>
    </w:p>
    <w:p w:rsidR="007A7368" w:rsidRPr="006740E5" w:rsidRDefault="007A7368" w:rsidP="007A7368">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 xml:space="preserve">R. Tamošiūnaitė. E. verslo plėtros galimybės Lietuvos pašto sektoriuje. Tarptautinė teisės ir verslo aukštoji mokyklos studentų ir jaunųjų mokslininkų konferencija ,,Verslas studentų akimis’’, Gruodžio 3 d., 2010, Vilnius, p </w:t>
      </w:r>
      <w:r w:rsidR="008A409B" w:rsidRPr="006740E5">
        <w:rPr>
          <w:rFonts w:ascii="Times New Roman" w:hAnsi="Times New Roman"/>
          <w:iCs/>
          <w:sz w:val="24"/>
          <w:szCs w:val="24"/>
          <w:lang w:eastAsia="lt-LT"/>
        </w:rPr>
        <w:t>148</w:t>
      </w:r>
      <w:r w:rsidRPr="006740E5">
        <w:rPr>
          <w:rFonts w:ascii="Times New Roman" w:hAnsi="Times New Roman"/>
          <w:iCs/>
          <w:sz w:val="24"/>
          <w:szCs w:val="24"/>
          <w:lang w:eastAsia="lt-LT"/>
        </w:rPr>
        <w:t>-</w:t>
      </w:r>
      <w:r w:rsidR="008A409B" w:rsidRPr="006740E5">
        <w:rPr>
          <w:rFonts w:ascii="Times New Roman" w:hAnsi="Times New Roman"/>
          <w:iCs/>
          <w:sz w:val="24"/>
          <w:szCs w:val="24"/>
          <w:lang w:eastAsia="lt-LT"/>
        </w:rPr>
        <w:t>153</w:t>
      </w:r>
      <w:r w:rsidRPr="006740E5">
        <w:rPr>
          <w:rFonts w:ascii="Times New Roman" w:hAnsi="Times New Roman"/>
          <w:iCs/>
          <w:sz w:val="24"/>
          <w:szCs w:val="24"/>
          <w:lang w:eastAsia="lt-LT"/>
        </w:rPr>
        <w:t xml:space="preserve">. – ISBN: </w:t>
      </w:r>
      <w:r w:rsidR="008A409B" w:rsidRPr="006740E5">
        <w:rPr>
          <w:rFonts w:ascii="Times New Roman" w:hAnsi="Times New Roman"/>
          <w:iCs/>
          <w:sz w:val="24"/>
          <w:szCs w:val="24"/>
          <w:lang w:eastAsia="lt-LT"/>
        </w:rPr>
        <w:t>978-9955-869-14-6</w:t>
      </w:r>
      <w:r w:rsidRPr="006740E5">
        <w:rPr>
          <w:rFonts w:ascii="Times New Roman" w:hAnsi="Times New Roman"/>
          <w:iCs/>
          <w:sz w:val="24"/>
          <w:szCs w:val="24"/>
          <w:lang w:eastAsia="lt-LT"/>
        </w:rPr>
        <w:t>.</w:t>
      </w:r>
    </w:p>
    <w:p w:rsidR="001163EF" w:rsidRPr="006740E5" w:rsidRDefault="001163EF" w:rsidP="001163EF">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A. Skaržauskienė, </w:t>
      </w:r>
      <w:r w:rsidRPr="006740E5">
        <w:rPr>
          <w:rFonts w:ascii="Times New Roman" w:hAnsi="Times New Roman"/>
          <w:iCs/>
          <w:sz w:val="24"/>
          <w:szCs w:val="24"/>
          <w:lang w:eastAsia="lt-LT"/>
        </w:rPr>
        <w:t>R. Tamošiūnaitė. Valstybinių įmonių konkurencingumo didinimas taikant naujas žinias. Lietuvos pašto rinkos galimybės. ,,Organizacij</w:t>
      </w:r>
      <w:r w:rsidR="00C670C1" w:rsidRPr="006740E5">
        <w:rPr>
          <w:rFonts w:ascii="Times New Roman" w:hAnsi="Times New Roman"/>
          <w:iCs/>
          <w:sz w:val="24"/>
          <w:szCs w:val="24"/>
          <w:lang w:eastAsia="lt-LT"/>
        </w:rPr>
        <w:t>ų vadyba: sisteminiai tyrimai“,</w:t>
      </w:r>
      <w:r w:rsidRPr="006740E5">
        <w:rPr>
          <w:rFonts w:ascii="Times New Roman" w:hAnsi="Times New Roman"/>
          <w:iCs/>
          <w:sz w:val="24"/>
          <w:szCs w:val="24"/>
          <w:lang w:eastAsia="lt-LT"/>
        </w:rPr>
        <w:t xml:space="preserve"> </w:t>
      </w:r>
      <w:r w:rsidR="00D9662F" w:rsidRPr="006740E5">
        <w:rPr>
          <w:rFonts w:ascii="Times New Roman" w:hAnsi="Times New Roman"/>
          <w:iCs/>
          <w:sz w:val="24"/>
          <w:szCs w:val="24"/>
          <w:lang w:eastAsia="lt-LT"/>
        </w:rPr>
        <w:br/>
      </w:r>
      <w:r w:rsidRPr="006740E5">
        <w:rPr>
          <w:rFonts w:ascii="Times New Roman" w:hAnsi="Times New Roman"/>
          <w:sz w:val="24"/>
          <w:szCs w:val="24"/>
          <w:lang w:eastAsia="lt-LT"/>
        </w:rPr>
        <w:t xml:space="preserve">− </w:t>
      </w:r>
      <w:r w:rsidR="008A409B" w:rsidRPr="006740E5">
        <w:rPr>
          <w:rFonts w:ascii="Times New Roman" w:hAnsi="Times New Roman"/>
          <w:iCs/>
          <w:sz w:val="24"/>
          <w:szCs w:val="24"/>
          <w:lang w:eastAsia="lt-LT"/>
        </w:rPr>
        <w:t>ISSN 1392-1142. (priimtas</w:t>
      </w:r>
      <w:r w:rsidRPr="006740E5">
        <w:rPr>
          <w:rFonts w:ascii="Times New Roman" w:hAnsi="Times New Roman"/>
          <w:iCs/>
          <w:sz w:val="24"/>
          <w:szCs w:val="24"/>
          <w:lang w:eastAsia="lt-LT"/>
        </w:rPr>
        <w:t xml:space="preserve"> spausdinimui)</w:t>
      </w:r>
    </w:p>
    <w:p w:rsidR="00C66C7D" w:rsidRPr="006740E5" w:rsidRDefault="00C66C7D" w:rsidP="00E63514">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iCs/>
          <w:sz w:val="24"/>
          <w:szCs w:val="24"/>
        </w:rPr>
        <w:t>Magistrinio darbo apimtis ir struktūra</w:t>
      </w:r>
      <w:r w:rsidRPr="006740E5">
        <w:rPr>
          <w:rFonts w:ascii="Times New Roman" w:hAnsi="Times New Roman"/>
          <w:iCs/>
          <w:sz w:val="24"/>
          <w:szCs w:val="24"/>
        </w:rPr>
        <w:t xml:space="preserve">. Šį darbą sudaro: įvadas; 3 dalys: teorinė, empirinė, modeliavimo; išvados. Tyrimas išdėstytas </w:t>
      </w:r>
      <w:r w:rsidR="003E7EDB" w:rsidRPr="006740E5">
        <w:rPr>
          <w:rFonts w:ascii="Times New Roman" w:hAnsi="Times New Roman"/>
          <w:iCs/>
          <w:sz w:val="24"/>
          <w:szCs w:val="24"/>
        </w:rPr>
        <w:t>87</w:t>
      </w:r>
      <w:r w:rsidRPr="006740E5">
        <w:rPr>
          <w:rFonts w:ascii="Times New Roman" w:hAnsi="Times New Roman"/>
          <w:iCs/>
          <w:sz w:val="24"/>
          <w:szCs w:val="24"/>
        </w:rPr>
        <w:t xml:space="preserve"> puslapiuose dalį informacijos pateikiant ją susisteminus </w:t>
      </w:r>
      <w:r w:rsidR="00D9662F" w:rsidRPr="006740E5">
        <w:rPr>
          <w:rFonts w:ascii="Times New Roman" w:hAnsi="Times New Roman"/>
          <w:iCs/>
          <w:sz w:val="24"/>
          <w:szCs w:val="24"/>
        </w:rPr>
        <w:br/>
      </w:r>
      <w:r w:rsidRPr="006740E5">
        <w:rPr>
          <w:rFonts w:ascii="Times New Roman" w:hAnsi="Times New Roman"/>
          <w:iCs/>
          <w:sz w:val="24"/>
          <w:szCs w:val="24"/>
        </w:rPr>
        <w:t>į lenteles (25) ir į diagramas bei schemas pateikiamas 22 paveiksluose. Pateikta 1 priedas. Naudotos mokslin</w:t>
      </w:r>
      <w:r w:rsidR="00AA73F1" w:rsidRPr="006740E5">
        <w:rPr>
          <w:rFonts w:ascii="Times New Roman" w:hAnsi="Times New Roman"/>
          <w:iCs/>
          <w:sz w:val="24"/>
          <w:szCs w:val="24"/>
        </w:rPr>
        <w:t xml:space="preserve">ės literatūros sąrašą sudaro </w:t>
      </w:r>
      <w:r w:rsidR="001C138E" w:rsidRPr="006740E5">
        <w:rPr>
          <w:rFonts w:ascii="Times New Roman" w:hAnsi="Times New Roman"/>
          <w:iCs/>
          <w:sz w:val="24"/>
          <w:szCs w:val="24"/>
        </w:rPr>
        <w:t>13</w:t>
      </w:r>
      <w:r w:rsidR="008F1031" w:rsidRPr="006740E5">
        <w:rPr>
          <w:rFonts w:ascii="Times New Roman" w:hAnsi="Times New Roman"/>
          <w:iCs/>
          <w:sz w:val="24"/>
          <w:szCs w:val="24"/>
        </w:rPr>
        <w:t>2</w:t>
      </w:r>
      <w:r w:rsidRPr="006740E5">
        <w:rPr>
          <w:rFonts w:ascii="Times New Roman" w:hAnsi="Times New Roman"/>
          <w:iCs/>
          <w:sz w:val="24"/>
          <w:szCs w:val="24"/>
        </w:rPr>
        <w:t xml:space="preserve"> šaltiniai.</w:t>
      </w:r>
    </w:p>
    <w:p w:rsidR="00C66C7D" w:rsidRPr="006740E5" w:rsidRDefault="00C66C7D" w:rsidP="0022425B">
      <w:pPr>
        <w:tabs>
          <w:tab w:val="left" w:pos="-6379"/>
        </w:tabs>
        <w:spacing w:after="0" w:line="360" w:lineRule="auto"/>
        <w:ind w:firstLine="567"/>
        <w:rPr>
          <w:rFonts w:ascii="Times New Roman" w:hAnsi="Times New Roman"/>
          <w:iCs/>
          <w:sz w:val="24"/>
          <w:szCs w:val="24"/>
        </w:rPr>
      </w:pPr>
    </w:p>
    <w:p w:rsidR="00C66C7D" w:rsidRPr="006740E5" w:rsidRDefault="00C66C7D" w:rsidP="007E25E9">
      <w:pPr>
        <w:numPr>
          <w:ilvl w:val="0"/>
          <w:numId w:val="6"/>
        </w:numPr>
        <w:tabs>
          <w:tab w:val="left" w:pos="-6379"/>
        </w:tabs>
        <w:spacing w:line="360" w:lineRule="auto"/>
        <w:ind w:left="0" w:firstLine="0"/>
        <w:jc w:val="center"/>
        <w:rPr>
          <w:rFonts w:ascii="Times New Roman" w:hAnsi="Times New Roman"/>
          <w:b/>
          <w:sz w:val="24"/>
          <w:szCs w:val="24"/>
        </w:rPr>
      </w:pPr>
      <w:r w:rsidRPr="006740E5">
        <w:rPr>
          <w:rFonts w:ascii="Times New Roman" w:hAnsi="Times New Roman"/>
          <w:iCs/>
          <w:sz w:val="24"/>
          <w:szCs w:val="24"/>
        </w:rPr>
        <w:br w:type="page"/>
      </w:r>
      <w:r w:rsidR="007E25E9" w:rsidRPr="006740E5">
        <w:rPr>
          <w:rFonts w:ascii="Times New Roman" w:hAnsi="Times New Roman"/>
          <w:b/>
          <w:iCs/>
          <w:sz w:val="24"/>
          <w:szCs w:val="24"/>
        </w:rPr>
        <w:lastRenderedPageBreak/>
        <w:t xml:space="preserve">NAUJŲ ŽINIŲ KŪRIMAS IR TAIKYMAS DIDINANT ĮMONIŲ </w:t>
      </w:r>
      <w:r w:rsidR="007E25E9" w:rsidRPr="006740E5">
        <w:rPr>
          <w:rFonts w:ascii="Times New Roman" w:hAnsi="Times New Roman"/>
          <w:b/>
          <w:iCs/>
          <w:sz w:val="24"/>
          <w:szCs w:val="24"/>
        </w:rPr>
        <w:br/>
        <w:t xml:space="preserve">KONKURENCINGUMĄ LIBERALĖJANČIOJE RINKOJE </w:t>
      </w:r>
    </w:p>
    <w:p w:rsidR="00C66C7D" w:rsidRPr="006740E5" w:rsidRDefault="00C66C7D" w:rsidP="0022425B">
      <w:pPr>
        <w:pStyle w:val="ListParagraph"/>
        <w:tabs>
          <w:tab w:val="left" w:pos="-6379"/>
        </w:tabs>
        <w:ind w:left="1170" w:firstLine="567"/>
        <w:rPr>
          <w:rFonts w:ascii="Times New Roman" w:hAnsi="Times New Roman"/>
          <w:b/>
          <w:sz w:val="24"/>
          <w:szCs w:val="24"/>
        </w:rPr>
      </w:pPr>
    </w:p>
    <w:p w:rsidR="00C66C7D" w:rsidRPr="006740E5" w:rsidRDefault="00F9742E" w:rsidP="007238CC">
      <w:pPr>
        <w:spacing w:line="360" w:lineRule="auto"/>
        <w:ind w:firstLine="567"/>
        <w:jc w:val="both"/>
        <w:rPr>
          <w:rFonts w:ascii="Times New Roman" w:hAnsi="Times New Roman"/>
          <w:iCs/>
          <w:sz w:val="24"/>
          <w:szCs w:val="24"/>
        </w:rPr>
      </w:pPr>
      <w:r w:rsidRPr="006740E5">
        <w:rPr>
          <w:rFonts w:ascii="Times New Roman" w:hAnsi="Times New Roman"/>
          <w:sz w:val="24"/>
          <w:szCs w:val="24"/>
        </w:rPr>
        <w:t>Naujų žinių sąvoką</w:t>
      </w:r>
      <w:r w:rsidR="00D7657C" w:rsidRPr="006740E5">
        <w:rPr>
          <w:rFonts w:ascii="Times New Roman" w:hAnsi="Times New Roman"/>
          <w:sz w:val="24"/>
          <w:szCs w:val="24"/>
        </w:rPr>
        <w:t xml:space="preserve">, jos neapibrėždami, vartoja </w:t>
      </w:r>
      <w:r w:rsidRPr="006740E5">
        <w:rPr>
          <w:rFonts w:ascii="Times New Roman" w:hAnsi="Times New Roman"/>
          <w:sz w:val="24"/>
          <w:szCs w:val="24"/>
        </w:rPr>
        <w:t>K</w:t>
      </w:r>
      <w:r w:rsidR="00916983" w:rsidRPr="006740E5">
        <w:rPr>
          <w:rFonts w:ascii="Times New Roman" w:hAnsi="Times New Roman"/>
          <w:sz w:val="24"/>
          <w:szCs w:val="24"/>
        </w:rPr>
        <w:t>och ir Strotmann (</w:t>
      </w:r>
      <w:r w:rsidR="00D7657C" w:rsidRPr="006740E5">
        <w:rPr>
          <w:rFonts w:ascii="Times New Roman" w:hAnsi="Times New Roman"/>
          <w:sz w:val="24"/>
          <w:szCs w:val="24"/>
        </w:rPr>
        <w:t>2004</w:t>
      </w:r>
      <w:r w:rsidR="00916983" w:rsidRPr="006740E5">
        <w:rPr>
          <w:rFonts w:ascii="Times New Roman" w:hAnsi="Times New Roman"/>
          <w:sz w:val="24"/>
          <w:szCs w:val="24"/>
        </w:rPr>
        <w:t>), Stahlecker ir Koch</w:t>
      </w:r>
      <w:r w:rsidR="00D7657C" w:rsidRPr="006740E5">
        <w:rPr>
          <w:rFonts w:ascii="Times New Roman" w:hAnsi="Times New Roman"/>
          <w:sz w:val="24"/>
          <w:szCs w:val="24"/>
        </w:rPr>
        <w:t xml:space="preserve"> </w:t>
      </w:r>
      <w:r w:rsidR="00916983" w:rsidRPr="006740E5">
        <w:rPr>
          <w:rFonts w:ascii="Times New Roman" w:hAnsi="Times New Roman"/>
          <w:sz w:val="24"/>
          <w:szCs w:val="24"/>
        </w:rPr>
        <w:t>(</w:t>
      </w:r>
      <w:r w:rsidR="00D7657C" w:rsidRPr="006740E5">
        <w:rPr>
          <w:rFonts w:ascii="Times New Roman" w:hAnsi="Times New Roman"/>
          <w:sz w:val="24"/>
          <w:szCs w:val="24"/>
        </w:rPr>
        <w:t>2004</w:t>
      </w:r>
      <w:r w:rsidR="00916983" w:rsidRPr="006740E5">
        <w:rPr>
          <w:rFonts w:ascii="Times New Roman" w:hAnsi="Times New Roman"/>
          <w:sz w:val="24"/>
          <w:szCs w:val="24"/>
        </w:rPr>
        <w:t>), Bagdoniene ir Jakstaite</w:t>
      </w:r>
      <w:r w:rsidR="00D7657C" w:rsidRPr="006740E5">
        <w:rPr>
          <w:rFonts w:ascii="Times New Roman" w:hAnsi="Times New Roman"/>
          <w:sz w:val="24"/>
          <w:szCs w:val="24"/>
        </w:rPr>
        <w:t xml:space="preserve">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w:t>
      </w:r>
      <w:r w:rsidR="00D7657C" w:rsidRPr="006740E5">
        <w:rPr>
          <w:rFonts w:ascii="Times New Roman" w:hAnsi="Times New Roman"/>
          <w:sz w:val="24"/>
          <w:szCs w:val="24"/>
        </w:rPr>
        <w:t xml:space="preserve"> Mazeika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w:t>
      </w:r>
      <w:r w:rsidR="00D7657C" w:rsidRPr="006740E5">
        <w:rPr>
          <w:rFonts w:ascii="Times New Roman" w:hAnsi="Times New Roman"/>
          <w:sz w:val="24"/>
          <w:szCs w:val="24"/>
        </w:rPr>
        <w:t xml:space="preserve"> Mets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 Kocak ir Zeytinli</w:t>
      </w:r>
      <w:r w:rsidR="00D7657C" w:rsidRPr="006740E5">
        <w:rPr>
          <w:rFonts w:ascii="Times New Roman" w:hAnsi="Times New Roman"/>
          <w:sz w:val="24"/>
          <w:szCs w:val="24"/>
        </w:rPr>
        <w:t xml:space="preserve">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 Snieska ir Vensckuviene</w:t>
      </w:r>
      <w:r w:rsidR="00D7657C" w:rsidRPr="006740E5">
        <w:rPr>
          <w:rFonts w:ascii="Times New Roman" w:hAnsi="Times New Roman"/>
          <w:sz w:val="24"/>
          <w:szCs w:val="24"/>
        </w:rPr>
        <w:t xml:space="preserve">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w:t>
      </w:r>
      <w:r w:rsidR="00D7657C" w:rsidRPr="006740E5">
        <w:rPr>
          <w:rFonts w:ascii="Times New Roman" w:hAnsi="Times New Roman"/>
          <w:sz w:val="24"/>
          <w:szCs w:val="24"/>
        </w:rPr>
        <w:t xml:space="preserve"> </w:t>
      </w:r>
      <w:r w:rsidRPr="006740E5">
        <w:rPr>
          <w:rFonts w:ascii="Times New Roman" w:hAnsi="Times New Roman"/>
          <w:sz w:val="24"/>
          <w:szCs w:val="24"/>
        </w:rPr>
        <w:t>V</w:t>
      </w:r>
      <w:r w:rsidR="00916983" w:rsidRPr="006740E5">
        <w:rPr>
          <w:rFonts w:ascii="Times New Roman" w:hAnsi="Times New Roman"/>
          <w:sz w:val="24"/>
          <w:szCs w:val="24"/>
        </w:rPr>
        <w:t>iederyte</w:t>
      </w:r>
      <w:r w:rsidR="00D7657C" w:rsidRPr="006740E5">
        <w:rPr>
          <w:rFonts w:ascii="Times New Roman" w:hAnsi="Times New Roman"/>
          <w:sz w:val="24"/>
          <w:szCs w:val="24"/>
        </w:rPr>
        <w:t xml:space="preserve"> </w:t>
      </w:r>
      <w:r w:rsidR="00916983" w:rsidRPr="006740E5">
        <w:rPr>
          <w:rFonts w:ascii="Times New Roman" w:hAnsi="Times New Roman"/>
          <w:sz w:val="24"/>
          <w:szCs w:val="24"/>
        </w:rPr>
        <w:t>(</w:t>
      </w:r>
      <w:r w:rsidR="00D7657C" w:rsidRPr="006740E5">
        <w:rPr>
          <w:rFonts w:ascii="Times New Roman" w:hAnsi="Times New Roman"/>
          <w:sz w:val="24"/>
          <w:szCs w:val="24"/>
        </w:rPr>
        <w:t>2009</w:t>
      </w:r>
      <w:r w:rsidR="00916983" w:rsidRPr="006740E5">
        <w:rPr>
          <w:rFonts w:ascii="Times New Roman" w:hAnsi="Times New Roman"/>
          <w:sz w:val="24"/>
          <w:szCs w:val="24"/>
        </w:rPr>
        <w:t>),</w:t>
      </w:r>
      <w:r w:rsidR="00D7657C" w:rsidRPr="006740E5">
        <w:rPr>
          <w:rFonts w:ascii="Times New Roman" w:hAnsi="Times New Roman"/>
          <w:sz w:val="24"/>
          <w:szCs w:val="24"/>
        </w:rPr>
        <w:t xml:space="preserve"> Hopenienė ir </w:t>
      </w:r>
      <w:r w:rsidR="00916983" w:rsidRPr="006740E5">
        <w:rPr>
          <w:rFonts w:ascii="Times New Roman" w:hAnsi="Times New Roman"/>
          <w:sz w:val="24"/>
          <w:szCs w:val="24"/>
        </w:rPr>
        <w:t>Railienė</w:t>
      </w:r>
      <w:r w:rsidRPr="006740E5">
        <w:rPr>
          <w:rFonts w:ascii="Times New Roman" w:hAnsi="Times New Roman"/>
          <w:sz w:val="24"/>
          <w:szCs w:val="24"/>
        </w:rPr>
        <w:t xml:space="preserve"> </w:t>
      </w:r>
      <w:r w:rsidR="00916983" w:rsidRPr="006740E5">
        <w:rPr>
          <w:rFonts w:ascii="Times New Roman" w:hAnsi="Times New Roman"/>
          <w:sz w:val="24"/>
          <w:szCs w:val="24"/>
        </w:rPr>
        <w:t>(</w:t>
      </w:r>
      <w:r w:rsidRPr="006740E5">
        <w:rPr>
          <w:rFonts w:ascii="Times New Roman" w:hAnsi="Times New Roman"/>
          <w:sz w:val="24"/>
          <w:szCs w:val="24"/>
        </w:rPr>
        <w:t>2009</w:t>
      </w:r>
      <w:r w:rsidR="00916983" w:rsidRPr="006740E5">
        <w:rPr>
          <w:rFonts w:ascii="Times New Roman" w:hAnsi="Times New Roman"/>
          <w:sz w:val="24"/>
          <w:szCs w:val="24"/>
        </w:rPr>
        <w:t>)</w:t>
      </w:r>
      <w:r w:rsidRPr="006740E5">
        <w:rPr>
          <w:rFonts w:ascii="Times New Roman" w:hAnsi="Times New Roman"/>
          <w:sz w:val="24"/>
          <w:szCs w:val="24"/>
        </w:rPr>
        <w:t xml:space="preserve">. Šie autoriai savo darbuose minėdami naujų žinių </w:t>
      </w:r>
      <w:r w:rsidR="006740E5" w:rsidRPr="006740E5">
        <w:rPr>
          <w:rFonts w:ascii="Times New Roman" w:hAnsi="Times New Roman"/>
          <w:sz w:val="24"/>
          <w:szCs w:val="24"/>
        </w:rPr>
        <w:t>sąvoką</w:t>
      </w:r>
      <w:r w:rsidRPr="006740E5">
        <w:rPr>
          <w:rFonts w:ascii="Times New Roman" w:hAnsi="Times New Roman"/>
          <w:sz w:val="24"/>
          <w:szCs w:val="24"/>
        </w:rPr>
        <w:t xml:space="preserve"> kalba apie naujų elementų, inovacijų diegimą procesuose, todėl šiame straipsnyje naujų žinių taikymas vertinamas kaip tokių subjekto veiklos organizavimo priemonių taikymo procesas, kurios anksčiau nebuvo taikomos atitinkamo subjekto veikloje. Minėtų autorių atlikti tyrimai atskleidžia naujų žinių pritaikymo naudą privačiame sektoriuje, tuo tarpu dėl naujų žinių taikymo viešojo sektoriaus įmonių veikloje verta apžvelgti verslo subjektus naujų žinių taikymo atžvilgiu nagrinėjusių autorių darbus. 2007 m. Jungtinių tautų leidinyje ,,</w:t>
      </w:r>
      <w:r w:rsidRPr="006740E5">
        <w:rPr>
          <w:rFonts w:ascii="Times New Roman" w:hAnsi="Times New Roman"/>
          <w:iCs/>
          <w:sz w:val="24"/>
          <w:szCs w:val="24"/>
        </w:rPr>
        <w:t>Innovations in Governance and Public Administration: Replicating what works‘‘</w:t>
      </w:r>
      <w:r w:rsidRPr="006740E5">
        <w:rPr>
          <w:rFonts w:ascii="Times New Roman" w:hAnsi="Times New Roman"/>
          <w:sz w:val="24"/>
          <w:szCs w:val="24"/>
        </w:rPr>
        <w:t xml:space="preserve"> teigiama, kad inovacijos viešojo sektoriaus organizacijose skatina naudoti išteklius ir plėtoti gebėjimus ne tik efektyviau, bet ir kūrybiškiau, pavyzdžiui, įtraukiant privatų sektorių ar paslaugų gavėjus į tų paslaugų teikimo procesą. </w:t>
      </w:r>
      <w:r w:rsidR="00C66C7D" w:rsidRPr="006740E5">
        <w:rPr>
          <w:rFonts w:ascii="Times New Roman" w:hAnsi="Times New Roman"/>
          <w:sz w:val="24"/>
          <w:szCs w:val="24"/>
        </w:rPr>
        <w:t xml:space="preserve">Naujos technologijos sukuriamos kasdien, jos sparčiai atsiranda ir dar greičiau kinta. Vienas pagrindinių variklių šiai technologijų raidai yra siekis sėkmingai konkuruoti rinkoje. </w:t>
      </w:r>
      <w:r w:rsidR="006740E5">
        <w:rPr>
          <w:rFonts w:ascii="Times New Roman" w:hAnsi="Times New Roman"/>
          <w:sz w:val="24"/>
          <w:szCs w:val="24"/>
        </w:rPr>
        <w:t>V</w:t>
      </w:r>
      <w:r w:rsidR="00C66C7D" w:rsidRPr="006740E5">
        <w:rPr>
          <w:rFonts w:ascii="Times New Roman" w:hAnsi="Times New Roman"/>
          <w:sz w:val="24"/>
          <w:szCs w:val="24"/>
        </w:rPr>
        <w:t xml:space="preserve">artotojai jau yra </w:t>
      </w:r>
      <w:r w:rsidR="006740E5" w:rsidRPr="006740E5">
        <w:rPr>
          <w:rFonts w:ascii="Times New Roman" w:hAnsi="Times New Roman"/>
          <w:sz w:val="24"/>
          <w:szCs w:val="24"/>
        </w:rPr>
        <w:t>pripratinti</w:t>
      </w:r>
      <w:r w:rsidR="00C66C7D" w:rsidRPr="006740E5">
        <w:rPr>
          <w:rFonts w:ascii="Times New Roman" w:hAnsi="Times New Roman"/>
          <w:sz w:val="24"/>
          <w:szCs w:val="24"/>
        </w:rPr>
        <w:t xml:space="preserve"> prie technologijų ir s</w:t>
      </w:r>
      <w:r w:rsidR="006740E5">
        <w:rPr>
          <w:rFonts w:ascii="Times New Roman" w:hAnsi="Times New Roman"/>
          <w:sz w:val="24"/>
          <w:szCs w:val="24"/>
        </w:rPr>
        <w:t>avo g</w:t>
      </w:r>
      <w:r w:rsidR="00C66C7D" w:rsidRPr="006740E5">
        <w:rPr>
          <w:rFonts w:ascii="Times New Roman" w:hAnsi="Times New Roman"/>
          <w:sz w:val="24"/>
          <w:szCs w:val="24"/>
        </w:rPr>
        <w:t>yvenimo be jų jau nebeįsivaizduoja: šiuolaikinės – informacinės – visuomenės dalyviai kasdienius savo gyvenimo procesus sieja su vis naujesnėmis žiniomis paremtais procesais ir technologijomis: rytinės naujienos internetiniuose dienraščiuose, darbotvarkės mobiliuosiuose telefonuose, gimtadienio sveikinimai elektroniniu paštu, o darbo susirinkimai per Skype (i</w:t>
      </w:r>
      <w:r w:rsidR="00116951" w:rsidRPr="006740E5">
        <w:rPr>
          <w:rFonts w:ascii="Times New Roman" w:hAnsi="Times New Roman"/>
          <w:sz w:val="24"/>
          <w:szCs w:val="24"/>
        </w:rPr>
        <w:t xml:space="preserve">r t. t.), todėl šios visuomenės </w:t>
      </w:r>
      <w:r w:rsidR="00C66C7D" w:rsidRPr="006740E5">
        <w:rPr>
          <w:rFonts w:ascii="Times New Roman" w:hAnsi="Times New Roman"/>
          <w:sz w:val="24"/>
          <w:szCs w:val="24"/>
        </w:rPr>
        <w:t xml:space="preserve">kontekste veikiantys verslo subjektai jau nesvarstytinai turi taikyti informacines komunikacines technologijas (toliau – IKT) ir kurį laiką manyta, kad pačių IKT taikymas versle jau yra pakankama inovacija garantuojanti sėmę (Razak et al.,2009; Patrascu et al.,2009; Andrei, 2009; Necula, 2009; Chen ir Bennet, 2009; Tucek et al, 2009; Zand, 2009; Radu ir Tugui, 2009; Mohdzain et al., 2009; Shaqrah et al., 2009; Whitty, 2009 ir kt.), tačiau giliau ištyrus IKT taikymą verslo procesuose buvo pastebėta, kad vien įdiegti IKT į subjekto veiklą neužtenka, svarbu jas harmonizuoti su kitais subjekto veiklos procesais (Modimogale ir Kroeze, 2009; Paškevičiūtė ir Čaplinskas, 2009; Billon et al., 2009; Gatautis, 2009; Cumps et al., 2009; Bayo-Moriones ir Lera-López, 2007 ir kt.), o sėkmingai įdiegus technologijas, jas taikyti papildant naujomis žiniomis siekiant atnaujinti savo siūlomą produktą rinkai ir išsikirti iš kitų rinkos dalyvių (Koellinger, 2008; Goncalves et al., 2009 ir kt.). Siekdami atrasti optimaliausius IKT panaudojimo atvejus autoriai smulkiai tyrė atskirų elektroninių priemonių (toliau – e. priemonės) taikymą (Snieška, 2008; Ziborova ir Stašys, 2009; Zand van Beers, 2009; Petrauskas ir Zumaras, 2008; Kiškis, 2009; Raipa ir Petukienė, 2007 ir </w:t>
      </w:r>
      <w:r w:rsidR="00C66C7D" w:rsidRPr="006740E5">
        <w:rPr>
          <w:rFonts w:ascii="Times New Roman" w:hAnsi="Times New Roman"/>
          <w:sz w:val="24"/>
          <w:szCs w:val="24"/>
        </w:rPr>
        <w:lastRenderedPageBreak/>
        <w:t xml:space="preserve">kt.). Snieška (2008) analizuodamas šiuolaikinio verslo tarptautinį konkurencingumą išskyrė elektroninės prekybos (toliau – e. prekyba) sukuriamus pranašumus konkurencijai pasiekti: padidinti klientų pasirinkimo kaštus; sumažinti įmonės pasirinkimo kaštus; inovacijomis išlaikyti savo vietą rinkoje arba apsisaugoti nuo prekių pakaitalų; bendradarbiauti su pasirinktais konkurentais iškeliant barjerus naujiems konkurentams įeiti į rinką; panaudoti personifikuotą informaciją siekiant geriau aptarnauti savo klientus. Autorius e. prekybos pranašumus taip aukštai vertina, jog teigia, kad </w:t>
      </w:r>
      <w:r w:rsidR="00D9662F" w:rsidRPr="006740E5">
        <w:rPr>
          <w:rFonts w:ascii="Times New Roman" w:hAnsi="Times New Roman"/>
          <w:sz w:val="24"/>
          <w:szCs w:val="24"/>
        </w:rPr>
        <w:br/>
      </w:r>
      <w:r w:rsidR="00C66C7D" w:rsidRPr="006740E5">
        <w:rPr>
          <w:rFonts w:ascii="Times New Roman" w:hAnsi="Times New Roman"/>
          <w:sz w:val="24"/>
          <w:szCs w:val="24"/>
        </w:rPr>
        <w:t>e. prekyba ateityje taps tokia populiari, jog nei viena įmonė nebedalyvaus rinkoje be e. prekybos – ji pavirs įėjimo į rinką barjeru. Ziborova ir Stašys (2009)</w:t>
      </w:r>
      <w:r w:rsidR="00C66C7D" w:rsidRPr="006740E5">
        <w:rPr>
          <w:rFonts w:ascii="Times New Roman" w:hAnsi="Times New Roman"/>
          <w:iCs/>
          <w:sz w:val="24"/>
          <w:szCs w:val="24"/>
        </w:rPr>
        <w:t xml:space="preserve"> – daugiausia dėmesio skyrė e. priemonėms susijusioms su rinkodara – išskyrė dažniausiais naudojamas e. priemones rinkodaros tikslais: interneto svetainė, elektroninis paštas, reklaminiai skydeliai, paieška, CRM </w:t>
      </w:r>
      <w:r w:rsidR="00C66C7D" w:rsidRPr="006740E5">
        <w:rPr>
          <w:rFonts w:ascii="Times New Roman" w:hAnsi="Times New Roman"/>
          <w:i/>
          <w:sz w:val="24"/>
          <w:szCs w:val="24"/>
        </w:rPr>
        <w:t>(angl. client relationship management)</w:t>
      </w:r>
      <w:r w:rsidR="00C66C7D" w:rsidRPr="006740E5">
        <w:rPr>
          <w:rFonts w:ascii="Times New Roman" w:hAnsi="Times New Roman"/>
          <w:iCs/>
          <w:sz w:val="24"/>
          <w:szCs w:val="24"/>
        </w:rPr>
        <w:t xml:space="preserve"> programos. </w:t>
      </w:r>
      <w:r w:rsidR="00C66C7D" w:rsidRPr="006740E5">
        <w:rPr>
          <w:rFonts w:ascii="Times New Roman" w:hAnsi="Times New Roman"/>
          <w:sz w:val="24"/>
          <w:szCs w:val="24"/>
        </w:rPr>
        <w:t xml:space="preserve">Kiškis (2009) analizuodamas elektroninės rinkodaros (toliau – e. rinkodara) problemas praplėtė rinkodara socialiniuose tinkluose ir alternatyviomis rinkodaros priemonėmis </w:t>
      </w:r>
      <w:r w:rsidR="00C66C7D" w:rsidRPr="006740E5">
        <w:rPr>
          <w:rFonts w:ascii="Times New Roman" w:hAnsi="Times New Roman"/>
          <w:sz w:val="24"/>
          <w:szCs w:val="24"/>
        </w:rPr>
        <w:br/>
        <w:t xml:space="preserve">(pavyzdžiu autorius pateikia virusinę rinkodarą) Ziborova ir Stašys (2009) </w:t>
      </w:r>
      <w:r w:rsidR="008D7545" w:rsidRPr="006740E5">
        <w:rPr>
          <w:rFonts w:ascii="Times New Roman" w:hAnsi="Times New Roman"/>
          <w:sz w:val="24"/>
          <w:szCs w:val="24"/>
        </w:rPr>
        <w:t xml:space="preserve">straipsnyje </w:t>
      </w:r>
      <w:r w:rsidR="00C66C7D" w:rsidRPr="006740E5">
        <w:rPr>
          <w:rFonts w:ascii="Times New Roman" w:hAnsi="Times New Roman"/>
          <w:sz w:val="24"/>
          <w:szCs w:val="24"/>
        </w:rPr>
        <w:t xml:space="preserve">pateikiamą pagrindinių e. rinkodaros formų sąrašą; taip pat autorius pastebėjo, kad tiesioginė e. rinkodara turi daug privalumų verslui (ypač SVV), neša naudą vartotojui, tačiau dažnai pažeidžia socialines vertybes, </w:t>
      </w:r>
      <w:r w:rsidR="00C66C7D" w:rsidRPr="006740E5">
        <w:rPr>
          <w:rFonts w:ascii="Times New Roman" w:hAnsi="Times New Roman"/>
          <w:sz w:val="24"/>
          <w:szCs w:val="24"/>
        </w:rPr>
        <w:br/>
        <w:t xml:space="preserve">pvz.: asmens privatumą. Zand van Beers (2009) nagrinėdami versle taikomą programinę įrangą atrado, kad atskiros programos turi skirtingą poveikį subjekto veiklai, CRM programa autorių buvo įvertinta kaip viena didžiausią įtaką darančiųjų ekonominei naudai gauti. Toks CRM įvertinimas visiškai priešingas Ziborova ir Stašys (2009) atlikto tyrimo rezultatams, kuriuose CRM įvertintas </w:t>
      </w:r>
      <w:r w:rsidR="00C66C7D" w:rsidRPr="006740E5">
        <w:rPr>
          <w:rFonts w:ascii="Times New Roman" w:hAnsi="Times New Roman"/>
          <w:sz w:val="24"/>
          <w:szCs w:val="24"/>
        </w:rPr>
        <w:br/>
        <w:t xml:space="preserve">kaip neturintis įtakos pardavimų apimčiai – toks priešingas programos vertinimas leidžia daryti išvadą, kad CRM programa skirtingomis sąlygomis turi skirtingą poveikį verslo subjektui ir tai patvirtina anksčiau minėtą Modimogale ir Kroeze (2009) ir kitų IKT technologijų vertinimą, kaip ne savaime naudingų verslo subjektui, o kaip priklausomų nuo vadybininkų sugebėjimų sukurti IKT </w:t>
      </w:r>
      <w:r w:rsidR="00C66C7D" w:rsidRPr="006740E5">
        <w:rPr>
          <w:rFonts w:ascii="Times New Roman" w:hAnsi="Times New Roman"/>
          <w:sz w:val="24"/>
          <w:szCs w:val="24"/>
        </w:rPr>
        <w:br/>
        <w:t xml:space="preserve">ir verslo procesų darną. Petrauskas ir Zumaras (2008) analizuodami elektroninius mokėjimus nustatė elektroninių mokėjimų ir mobiliųjų mokėjimų santykį, ištyrė elektroninių pinigų problematiką. </w:t>
      </w:r>
      <w:r w:rsidR="00C66C7D" w:rsidRPr="006740E5">
        <w:rPr>
          <w:rFonts w:ascii="Times New Roman" w:hAnsi="Times New Roman"/>
          <w:sz w:val="24"/>
          <w:szCs w:val="24"/>
        </w:rPr>
        <w:br/>
        <w:t>Raipa ir Petukienė (2007) analizuodami klientų dalyvavimą paslaugos teikime, pastebėjo, kad šis turi teigiamą įtaką paslaugos efektyvumui, kokybei, paslaugų teikėjų darbo krūvio sumažinimui, grįžtamajam ryšiui, paslaugos vertei ir t. t</w:t>
      </w:r>
      <w:r w:rsidR="00C66C7D" w:rsidRPr="006740E5">
        <w:rPr>
          <w:rFonts w:ascii="Times New Roman" w:hAnsi="Times New Roman"/>
          <w:iCs/>
          <w:sz w:val="24"/>
          <w:szCs w:val="24"/>
        </w:rPr>
        <w:t xml:space="preserve">. Visi šie autoriai nagrinėdami IKT taikymą versle analizuoja kokias naujas, išskirtinumą suteikti galinčias žinias šios technologijos padeda sukurti, kurios generuotų komercinę naudą. </w:t>
      </w:r>
      <w:r w:rsidR="00C66C7D" w:rsidRPr="006740E5">
        <w:rPr>
          <w:rFonts w:ascii="Times New Roman" w:hAnsi="Times New Roman"/>
          <w:sz w:val="24"/>
          <w:szCs w:val="24"/>
        </w:rPr>
        <w:t xml:space="preserve">Autoriai vertindami IKT naudą verslui kol kas vis dar labiau atsižvelgia </w:t>
      </w:r>
      <w:r w:rsidR="00C66C7D" w:rsidRPr="006740E5">
        <w:rPr>
          <w:rFonts w:ascii="Times New Roman" w:hAnsi="Times New Roman"/>
          <w:sz w:val="24"/>
          <w:szCs w:val="24"/>
        </w:rPr>
        <w:br/>
        <w:t xml:space="preserve">į ekonomiškumą, kurį sąnaudų mažinimu gali suteikti IKT taikymas versle, nei į socialinius </w:t>
      </w:r>
      <w:r w:rsidR="00C66C7D" w:rsidRPr="006740E5">
        <w:rPr>
          <w:rFonts w:ascii="Times New Roman" w:hAnsi="Times New Roman"/>
          <w:sz w:val="24"/>
          <w:szCs w:val="24"/>
        </w:rPr>
        <w:br/>
        <w:t xml:space="preserve">IKT aspektus. Tačiau jau yra atliekami socialinio IKT reikšmingumo verslui tyrimai. Vienas tokių aspektų yra skaitmeninė atskirtis, kurią nagrinėjo autoriai Bolt ir Cawford (2000), Drori ir Jang (2003), Korupp ir Szydlikas (2005) ir kt., deja šių autorių atlikti tyrimai į skaitmeninę atskirtį labiau orientuojasi kaip į visuomeninę problemą, o ne e. verslo problemą. Halttunen et al (2009), Nachila </w:t>
      </w:r>
      <w:r w:rsidR="00C66C7D" w:rsidRPr="006740E5">
        <w:rPr>
          <w:rFonts w:ascii="Times New Roman" w:hAnsi="Times New Roman"/>
          <w:sz w:val="24"/>
          <w:szCs w:val="24"/>
        </w:rPr>
        <w:lastRenderedPageBreak/>
        <w:t xml:space="preserve">(2009), Suddul ir Mohamudally (2009), Magutu et al (2009) analizuodami e. priemonių neveikimo priežastis pastebėjo, kad jos remiasi į klientų kompiuterinį neraštingumą arba vadovybės nesuvokimą IKT strateginio planavimo organizacijoje reikšmės. Mažeika ir Meškauskaitė (2009) savo tyrimu nustatė, kad prisidėjimas prie elektroninės įtraukties skatinimo padėtų verslui užimti naujas rinkas, jas išsaugoti, išlikti konkurencingomis ir tokiu būdu užsitikrinti ilgalaikį pelningumą. Ne tik IKT taikymas teigiamai veikia verslo subjektus, bet ir kitų verslo sferų tobulinimas taikant naujas žinias. </w:t>
      </w:r>
      <w:r w:rsidR="00C66C7D" w:rsidRPr="006740E5">
        <w:rPr>
          <w:rFonts w:ascii="Times New Roman" w:hAnsi="Times New Roman"/>
          <w:sz w:val="24"/>
          <w:szCs w:val="24"/>
        </w:rPr>
        <w:br/>
      </w:r>
      <w:r w:rsidR="00C66C7D" w:rsidRPr="006740E5">
        <w:rPr>
          <w:rFonts w:ascii="Times New Roman" w:hAnsi="Times New Roman"/>
          <w:iCs/>
          <w:sz w:val="24"/>
          <w:szCs w:val="24"/>
        </w:rPr>
        <w:t xml:space="preserve">Platesnio (neapsiribojančio tik IKT) naujų žinių komercinei naudai gauti suvokimo analizė pateikta </w:t>
      </w:r>
      <w:r w:rsidR="00C66C7D" w:rsidRPr="006740E5">
        <w:rPr>
          <w:rFonts w:ascii="Times New Roman" w:hAnsi="Times New Roman"/>
          <w:iCs/>
          <w:sz w:val="24"/>
          <w:szCs w:val="24"/>
        </w:rPr>
        <w:br/>
        <w:t xml:space="preserve">1 lentelėje. Naujų žinių taikymo komercinei naudai gauti procesų suvokimo analizė atskleidžia, </w:t>
      </w:r>
      <w:r w:rsidR="00D9662F" w:rsidRPr="006740E5">
        <w:rPr>
          <w:rFonts w:ascii="Times New Roman" w:hAnsi="Times New Roman"/>
          <w:iCs/>
          <w:sz w:val="24"/>
          <w:szCs w:val="24"/>
        </w:rPr>
        <w:br/>
      </w:r>
      <w:r w:rsidR="00C66C7D" w:rsidRPr="006740E5">
        <w:rPr>
          <w:rFonts w:ascii="Times New Roman" w:hAnsi="Times New Roman"/>
          <w:iCs/>
          <w:sz w:val="24"/>
          <w:szCs w:val="24"/>
        </w:rPr>
        <w:t xml:space="preserve">kad naujų žinių taikymas subjektui atneša naudą taikomas nukreipiant jį į atskiras verslo proceso dalis (produktą, vartotoją ir t. t.), kurie patį verslo subjektą paveikia teigiamai per išorės </w:t>
      </w:r>
      <w:r w:rsidR="00C66C7D" w:rsidRPr="006740E5">
        <w:rPr>
          <w:rFonts w:ascii="Times New Roman" w:hAnsi="Times New Roman"/>
          <w:iCs/>
          <w:sz w:val="24"/>
          <w:szCs w:val="24"/>
        </w:rPr>
        <w:br/>
        <w:t>ar vidaus aplinką.</w:t>
      </w:r>
    </w:p>
    <w:p w:rsidR="00C66C7D" w:rsidRPr="006740E5" w:rsidRDefault="00C66C7D" w:rsidP="00D344BE">
      <w:pPr>
        <w:spacing w:after="160" w:line="360" w:lineRule="auto"/>
        <w:jc w:val="center"/>
        <w:rPr>
          <w:rFonts w:ascii="Times New Roman" w:hAnsi="Times New Roman"/>
          <w:sz w:val="24"/>
          <w:szCs w:val="24"/>
        </w:rPr>
      </w:pPr>
      <w:r w:rsidRPr="006740E5">
        <w:rPr>
          <w:rFonts w:ascii="Times New Roman" w:hAnsi="Times New Roman"/>
          <w:b/>
          <w:sz w:val="24"/>
          <w:szCs w:val="24"/>
        </w:rPr>
        <w:t>1 lentelė. Naujų žinių taikymo komercinei naudai gauti procesų suvokimo analizė</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51"/>
        <w:gridCol w:w="1417"/>
        <w:gridCol w:w="1701"/>
        <w:gridCol w:w="1134"/>
        <w:gridCol w:w="2027"/>
        <w:gridCol w:w="1659"/>
        <w:gridCol w:w="1134"/>
      </w:tblGrid>
      <w:tr w:rsidR="00C66C7D" w:rsidRPr="006740E5" w:rsidTr="008222E8">
        <w:trPr>
          <w:trHeight w:val="414"/>
        </w:trPr>
        <w:tc>
          <w:tcPr>
            <w:tcW w:w="851" w:type="dxa"/>
            <w:vMerge w:val="restart"/>
            <w:tcBorders>
              <w:top w:val="single" w:sz="12" w:space="0" w:color="auto"/>
              <w:left w:val="single" w:sz="12" w:space="0" w:color="auto"/>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Verslo subjekto aplinka</w:t>
            </w:r>
          </w:p>
        </w:tc>
        <w:tc>
          <w:tcPr>
            <w:tcW w:w="1417" w:type="dxa"/>
            <w:vMerge w:val="restart"/>
            <w:tcBorders>
              <w:top w:val="single" w:sz="12" w:space="0" w:color="auto"/>
              <w:left w:val="single" w:sz="12" w:space="0" w:color="auto"/>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Orientacija į:</w:t>
            </w:r>
          </w:p>
        </w:tc>
        <w:tc>
          <w:tcPr>
            <w:tcW w:w="1701" w:type="dxa"/>
            <w:vMerge w:val="restart"/>
            <w:tcBorders>
              <w:top w:val="single" w:sz="12" w:space="0" w:color="auto"/>
              <w:left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Inovacijų vadybos studijose</w:t>
            </w:r>
          </w:p>
        </w:tc>
        <w:tc>
          <w:tcPr>
            <w:tcW w:w="1134"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Inovacijų ekonomikos studijose</w:t>
            </w:r>
          </w:p>
        </w:tc>
        <w:tc>
          <w:tcPr>
            <w:tcW w:w="2027"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 xml:space="preserve">Žinių vadybos </w:t>
            </w:r>
          </w:p>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studijose</w:t>
            </w:r>
          </w:p>
        </w:tc>
        <w:tc>
          <w:tcPr>
            <w:tcW w:w="1659"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Žinių ekonomikos studijose</w:t>
            </w:r>
          </w:p>
        </w:tc>
        <w:tc>
          <w:tcPr>
            <w:tcW w:w="1134" w:type="dxa"/>
            <w:vMerge w:val="restart"/>
            <w:tcBorders>
              <w:top w:val="single" w:sz="12" w:space="0" w:color="auto"/>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6"/>
                <w:szCs w:val="16"/>
              </w:rPr>
            </w:pPr>
            <w:r w:rsidRPr="006740E5">
              <w:rPr>
                <w:rFonts w:ascii="Times New Roman" w:hAnsi="Times New Roman"/>
                <w:b/>
                <w:sz w:val="16"/>
                <w:szCs w:val="16"/>
              </w:rPr>
              <w:t>Wiki ekonomikos studijose</w:t>
            </w:r>
          </w:p>
        </w:tc>
      </w:tr>
      <w:tr w:rsidR="00C66C7D" w:rsidRPr="006740E5" w:rsidTr="008222E8">
        <w:trPr>
          <w:trHeight w:val="184"/>
        </w:trPr>
        <w:tc>
          <w:tcPr>
            <w:tcW w:w="851" w:type="dxa"/>
            <w:vMerge/>
            <w:tcBorders>
              <w:left w:val="single" w:sz="12" w:space="0" w:color="auto"/>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vMerge/>
            <w:tcBorders>
              <w:left w:val="single" w:sz="12" w:space="0" w:color="auto"/>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1701" w:type="dxa"/>
            <w:vMerge/>
            <w:tcBorders>
              <w:left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1134"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2027"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1659"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c>
          <w:tcPr>
            <w:tcW w:w="1134" w:type="dxa"/>
            <w:vMerge/>
            <w:tcBorders>
              <w:bottom w:val="single" w:sz="12" w:space="0" w:color="auto"/>
              <w:right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6"/>
                <w:szCs w:val="16"/>
              </w:rPr>
            </w:pPr>
          </w:p>
        </w:tc>
      </w:tr>
      <w:tr w:rsidR="00C66C7D" w:rsidRPr="006740E5" w:rsidTr="008222E8">
        <w:trPr>
          <w:trHeight w:val="171"/>
        </w:trPr>
        <w:tc>
          <w:tcPr>
            <w:tcW w:w="851" w:type="dxa"/>
            <w:vMerge w:val="restart"/>
            <w:tcBorders>
              <w:top w:val="single" w:sz="12" w:space="0" w:color="auto"/>
              <w:left w:val="single" w:sz="12" w:space="0" w:color="auto"/>
              <w:right w:val="single" w:sz="12" w:space="0" w:color="auto"/>
            </w:tcBorders>
            <w:noWrap/>
            <w:textDirection w:val="btLr"/>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Išorė</w:t>
            </w:r>
          </w:p>
        </w:tc>
        <w:tc>
          <w:tcPr>
            <w:tcW w:w="1417" w:type="dxa"/>
            <w:tcBorders>
              <w:top w:val="single" w:sz="12" w:space="0" w:color="auto"/>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produktą</w:t>
            </w:r>
          </w:p>
        </w:tc>
        <w:tc>
          <w:tcPr>
            <w:tcW w:w="1701" w:type="dxa"/>
            <w:tcBorders>
              <w:top w:val="single" w:sz="12" w:space="0" w:color="auto"/>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Adams et al. (2006), Al-Shalabi et al. (2008).</w:t>
            </w:r>
          </w:p>
        </w:tc>
        <w:tc>
          <w:tcPr>
            <w:tcW w:w="1134"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Bratu et al. (2009).</w:t>
            </w:r>
          </w:p>
        </w:tc>
        <w:tc>
          <w:tcPr>
            <w:tcW w:w="2027"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1659"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Powell ir Snellman (2004).</w:t>
            </w:r>
          </w:p>
        </w:tc>
        <w:tc>
          <w:tcPr>
            <w:tcW w:w="1134" w:type="dxa"/>
            <w:tcBorders>
              <w:top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r w:rsidR="00C66C7D" w:rsidRPr="006740E5" w:rsidTr="008222E8">
        <w:trPr>
          <w:trHeight w:val="212"/>
        </w:trPr>
        <w:tc>
          <w:tcPr>
            <w:tcW w:w="851" w:type="dxa"/>
            <w:vMerge/>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vartotoją</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Alhawari et al. (2009), Papuc et al. (2009) .</w:t>
            </w:r>
          </w:p>
        </w:tc>
        <w:tc>
          <w:tcPr>
            <w:tcW w:w="1134" w:type="dxa"/>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Jarrah et al. (2009) , Shaqrah ir Alkhaldi (2009).</w:t>
            </w:r>
          </w:p>
        </w:tc>
        <w:tc>
          <w:tcPr>
            <w:tcW w:w="1659"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Suciu ir Ivanovici (2009) .</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r w:rsidR="00C66C7D" w:rsidRPr="006740E5" w:rsidTr="008222E8">
        <w:trPr>
          <w:trHeight w:val="513"/>
        </w:trPr>
        <w:tc>
          <w:tcPr>
            <w:tcW w:w="851" w:type="dxa"/>
            <w:vMerge/>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bendradarbiavimą</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1134"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Mrad (2009).</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Alryalat ir Alhawari (2008).</w:t>
            </w:r>
          </w:p>
        </w:tc>
        <w:tc>
          <w:tcPr>
            <w:tcW w:w="1659"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Gabriela (2009).</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Mažeika ir Misiūnaitė (2009), </w:t>
            </w:r>
            <w:r w:rsidRPr="006740E5">
              <w:rPr>
                <w:rFonts w:ascii="Times New Roman" w:hAnsi="Times New Roman"/>
                <w:sz w:val="16"/>
                <w:szCs w:val="16"/>
              </w:rPr>
              <w:br/>
              <w:t>Kahn (2008).</w:t>
            </w:r>
          </w:p>
        </w:tc>
      </w:tr>
      <w:tr w:rsidR="00C66C7D" w:rsidRPr="006740E5" w:rsidTr="008222E8">
        <w:trPr>
          <w:trHeight w:val="379"/>
        </w:trPr>
        <w:tc>
          <w:tcPr>
            <w:tcW w:w="851" w:type="dxa"/>
            <w:vMerge/>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procesų optimizavimą</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Sodomka ir Šteker (2009).</w:t>
            </w:r>
          </w:p>
        </w:tc>
        <w:tc>
          <w:tcPr>
            <w:tcW w:w="1134" w:type="dxa"/>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Malhotrair Dennis (2003), Gonçalves et al. (2009).</w:t>
            </w:r>
          </w:p>
        </w:tc>
        <w:tc>
          <w:tcPr>
            <w:tcW w:w="1659" w:type="dxa"/>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Jandos ir Vorisek (2009).</w:t>
            </w:r>
          </w:p>
        </w:tc>
      </w:tr>
      <w:tr w:rsidR="00C66C7D" w:rsidRPr="006740E5" w:rsidTr="008222E8">
        <w:trPr>
          <w:trHeight w:val="901"/>
        </w:trPr>
        <w:tc>
          <w:tcPr>
            <w:tcW w:w="851" w:type="dxa"/>
            <w:vMerge w:val="restart"/>
            <w:tcBorders>
              <w:left w:val="single" w:sz="12" w:space="0" w:color="auto"/>
              <w:right w:val="single" w:sz="12" w:space="0" w:color="auto"/>
            </w:tcBorders>
            <w:noWrap/>
            <w:textDirection w:val="btLr"/>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Vidus</w:t>
            </w: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žmogiškuosius išteklius</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Chen ir Bennet (2009), Zand ir van Beers (2009), </w:t>
            </w:r>
            <w:r w:rsidRPr="006740E5">
              <w:rPr>
                <w:rFonts w:ascii="Times New Roman" w:hAnsi="Times New Roman"/>
                <w:sz w:val="16"/>
                <w:szCs w:val="16"/>
              </w:rPr>
              <w:br/>
              <w:t xml:space="preserve">Suan et al. (2009), </w:t>
            </w:r>
            <w:r w:rsidRPr="006740E5">
              <w:rPr>
                <w:rFonts w:ascii="Times New Roman" w:hAnsi="Times New Roman"/>
                <w:sz w:val="16"/>
                <w:szCs w:val="16"/>
              </w:rPr>
              <w:br/>
              <w:t>Lai et al. (2009), Rahim (2008).</w:t>
            </w:r>
          </w:p>
        </w:tc>
        <w:tc>
          <w:tcPr>
            <w:tcW w:w="1134"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Debrowski (2006).</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Valentinavičius (2006), Shaqrah et al. (2009), Shetty et al (2009), Pei (2009), Ling et al. (2009), Ishak et al. (2009).</w:t>
            </w:r>
          </w:p>
        </w:tc>
        <w:tc>
          <w:tcPr>
            <w:tcW w:w="1659"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Atkočiūnienė (2006), Nikolae (2009), Neagu et al. (2009), Najmaei et al. (2009), Suciu ir Ivanovici (2009).</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r w:rsidR="00C66C7D" w:rsidRPr="006740E5" w:rsidTr="008222E8">
        <w:trPr>
          <w:trHeight w:val="1098"/>
        </w:trPr>
        <w:tc>
          <w:tcPr>
            <w:tcW w:w="851" w:type="dxa"/>
            <w:vMerge/>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žinių išteklius</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Kliukinskaite-Vigil (2009).</w:t>
            </w:r>
          </w:p>
        </w:tc>
        <w:tc>
          <w:tcPr>
            <w:tcW w:w="1134" w:type="dxa"/>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Nicolae (2009), </w:t>
            </w:r>
            <w:r w:rsidRPr="006740E5">
              <w:rPr>
                <w:rFonts w:ascii="Times New Roman" w:hAnsi="Times New Roman"/>
                <w:sz w:val="16"/>
                <w:szCs w:val="16"/>
              </w:rPr>
              <w:br/>
              <w:t xml:space="preserve">Crawford ir Barra (2009), Šajeva (2009), </w:t>
            </w:r>
            <w:r w:rsidRPr="006740E5">
              <w:rPr>
                <w:rFonts w:ascii="Times New Roman" w:hAnsi="Times New Roman"/>
                <w:sz w:val="16"/>
                <w:szCs w:val="16"/>
              </w:rPr>
              <w:br/>
              <w:t>Wong ir Chong (2009), Daud ir Yusuf (2008), ALHawari et al. (2008).</w:t>
            </w:r>
          </w:p>
        </w:tc>
        <w:tc>
          <w:tcPr>
            <w:tcW w:w="1659"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Modimogale ir Kroeze (2009), </w:t>
            </w:r>
            <w:r w:rsidRPr="006740E5">
              <w:rPr>
                <w:rFonts w:ascii="Times New Roman" w:hAnsi="Times New Roman"/>
                <w:sz w:val="16"/>
                <w:szCs w:val="16"/>
              </w:rPr>
              <w:br/>
              <w:t>Nejati et al. (2009), Rehman et al. (2009), Rehman et al. (2009), Sheikh (2008).</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r w:rsidR="00C66C7D" w:rsidRPr="006740E5" w:rsidTr="008222E8">
        <w:trPr>
          <w:trHeight w:val="523"/>
        </w:trPr>
        <w:tc>
          <w:tcPr>
            <w:tcW w:w="851" w:type="dxa"/>
            <w:vMerge/>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strategijos kūrimą</w:t>
            </w:r>
          </w:p>
        </w:tc>
        <w:tc>
          <w:tcPr>
            <w:tcW w:w="1701" w:type="dxa"/>
            <w:tcBorders>
              <w:lef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Wei ir Ismail (2009), Micu et al. (2009), Munian ir Subramanian (2009).</w:t>
            </w:r>
          </w:p>
        </w:tc>
        <w:tc>
          <w:tcPr>
            <w:tcW w:w="1134" w:type="dxa"/>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2027"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Ling ir Nasurdin (2009), Bergaron (2003), </w:t>
            </w:r>
            <w:r w:rsidRPr="006740E5">
              <w:rPr>
                <w:rFonts w:ascii="Times New Roman" w:hAnsi="Times New Roman"/>
                <w:sz w:val="16"/>
                <w:szCs w:val="16"/>
              </w:rPr>
              <w:br/>
              <w:t>Masa’deh et al. (2008), Ahmad ir Idris (2008).</w:t>
            </w:r>
          </w:p>
        </w:tc>
        <w:tc>
          <w:tcPr>
            <w:tcW w:w="1659" w:type="dxa"/>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Nejati ir Nejati (2009), Taib et al. (2008).</w:t>
            </w:r>
          </w:p>
        </w:tc>
        <w:tc>
          <w:tcPr>
            <w:tcW w:w="1134" w:type="dxa"/>
            <w:tcBorders>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r w:rsidR="00C66C7D" w:rsidRPr="006740E5" w:rsidTr="008222E8">
        <w:trPr>
          <w:trHeight w:val="335"/>
        </w:trPr>
        <w:tc>
          <w:tcPr>
            <w:tcW w:w="851" w:type="dxa"/>
            <w:vMerge/>
            <w:tcBorders>
              <w:left w:val="single" w:sz="12" w:space="0" w:color="auto"/>
              <w:bottom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p>
        </w:tc>
        <w:tc>
          <w:tcPr>
            <w:tcW w:w="1417" w:type="dxa"/>
            <w:tcBorders>
              <w:left w:val="single" w:sz="12" w:space="0" w:color="auto"/>
              <w:bottom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verslo procesų integravimą</w:t>
            </w:r>
          </w:p>
        </w:tc>
        <w:tc>
          <w:tcPr>
            <w:tcW w:w="1701" w:type="dxa"/>
            <w:tcBorders>
              <w:left w:val="single" w:sz="12" w:space="0" w:color="auto"/>
              <w:bottom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Shetty ir Shingi (2009), </w:t>
            </w:r>
            <w:r w:rsidRPr="006740E5">
              <w:rPr>
                <w:rFonts w:ascii="Times New Roman" w:hAnsi="Times New Roman"/>
                <w:sz w:val="16"/>
                <w:szCs w:val="16"/>
              </w:rPr>
              <w:br/>
              <w:t>Annavarjula et al. (2008), Arina (2009).</w:t>
            </w:r>
          </w:p>
        </w:tc>
        <w:tc>
          <w:tcPr>
            <w:tcW w:w="1134"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i/>
                <w:iCs/>
                <w:sz w:val="16"/>
                <w:szCs w:val="16"/>
              </w:rPr>
              <w:t>(aptikti nepavyko)</w:t>
            </w:r>
          </w:p>
        </w:tc>
        <w:tc>
          <w:tcPr>
            <w:tcW w:w="2027"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sz w:val="16"/>
                <w:szCs w:val="16"/>
              </w:rPr>
            </w:pPr>
            <w:r w:rsidRPr="006740E5">
              <w:rPr>
                <w:rFonts w:ascii="Times New Roman" w:hAnsi="Times New Roman"/>
                <w:sz w:val="16"/>
                <w:szCs w:val="16"/>
              </w:rPr>
              <w:t xml:space="preserve">Ahmad et al. (2009), </w:t>
            </w:r>
            <w:r w:rsidRPr="006740E5">
              <w:rPr>
                <w:rFonts w:ascii="Times New Roman" w:hAnsi="Times New Roman"/>
                <w:sz w:val="16"/>
                <w:szCs w:val="16"/>
              </w:rPr>
              <w:br/>
              <w:t>Razak (2009).</w:t>
            </w:r>
          </w:p>
        </w:tc>
        <w:tc>
          <w:tcPr>
            <w:tcW w:w="1659"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c>
          <w:tcPr>
            <w:tcW w:w="1134" w:type="dxa"/>
            <w:tcBorders>
              <w:bottom w:val="single" w:sz="12" w:space="0" w:color="auto"/>
              <w:right w:val="single" w:sz="12" w:space="0" w:color="auto"/>
            </w:tcBorders>
            <w:vAlign w:val="center"/>
          </w:tcPr>
          <w:p w:rsidR="00C66C7D" w:rsidRPr="006740E5" w:rsidRDefault="00C66C7D" w:rsidP="008222E8">
            <w:pPr>
              <w:spacing w:after="0" w:line="240" w:lineRule="auto"/>
              <w:jc w:val="center"/>
              <w:rPr>
                <w:rFonts w:ascii="Times New Roman" w:hAnsi="Times New Roman"/>
                <w:i/>
                <w:iCs/>
                <w:sz w:val="16"/>
                <w:szCs w:val="16"/>
              </w:rPr>
            </w:pPr>
            <w:r w:rsidRPr="006740E5">
              <w:rPr>
                <w:rFonts w:ascii="Times New Roman" w:hAnsi="Times New Roman"/>
                <w:i/>
                <w:iCs/>
                <w:sz w:val="16"/>
                <w:szCs w:val="16"/>
              </w:rPr>
              <w:t>(aptikti nepavyko)</w:t>
            </w:r>
          </w:p>
        </w:tc>
      </w:tr>
    </w:tbl>
    <w:p w:rsidR="00C66C7D" w:rsidRPr="006740E5" w:rsidRDefault="00C66C7D" w:rsidP="005C3F65">
      <w:pPr>
        <w:spacing w:line="360" w:lineRule="auto"/>
        <w:ind w:firstLine="567"/>
        <w:jc w:val="both"/>
        <w:rPr>
          <w:rFonts w:ascii="Times New Roman" w:hAnsi="Times New Roman"/>
          <w:sz w:val="6"/>
          <w:szCs w:val="6"/>
        </w:rPr>
      </w:pPr>
    </w:p>
    <w:p w:rsidR="00C66C7D" w:rsidRPr="006740E5" w:rsidRDefault="00C66C7D" w:rsidP="00491940">
      <w:pPr>
        <w:spacing w:line="360" w:lineRule="auto"/>
        <w:ind w:firstLine="567"/>
        <w:jc w:val="both"/>
        <w:rPr>
          <w:rFonts w:ascii="Times New Roman" w:hAnsi="Times New Roman"/>
          <w:sz w:val="24"/>
          <w:szCs w:val="24"/>
        </w:rPr>
      </w:pPr>
      <w:r w:rsidRPr="006740E5">
        <w:rPr>
          <w:rFonts w:ascii="Times New Roman" w:hAnsi="Times New Roman"/>
          <w:sz w:val="24"/>
          <w:szCs w:val="24"/>
        </w:rPr>
        <w:t xml:space="preserve">Detalesnė naujų žinių taikymo komercinei naudai gauti procesų suvokimo analizė pateikta atskirose lentelėse pagal orientacijos objektą išorės verslo aplinkoje (žr. 2, 3, 4, 5 lenteles) </w:t>
      </w:r>
      <w:r w:rsidRPr="006740E5">
        <w:rPr>
          <w:rFonts w:ascii="Times New Roman" w:hAnsi="Times New Roman"/>
          <w:sz w:val="24"/>
          <w:szCs w:val="24"/>
        </w:rPr>
        <w:br/>
        <w:t>ir vidaus verslo aplinkoje (žr. 6, 7, 8, 9 lenteles). Į gilesnės analizės lenteles nėra įtrauktos tos studijos, kuriose nepavyko aptikti autorių darbų atitinkama tematika.</w:t>
      </w:r>
    </w:p>
    <w:p w:rsidR="00C66C7D" w:rsidRPr="006740E5" w:rsidRDefault="00C66C7D" w:rsidP="00807A74">
      <w:pPr>
        <w:spacing w:line="240" w:lineRule="auto"/>
        <w:jc w:val="center"/>
        <w:rPr>
          <w:rFonts w:ascii="Times New Roman" w:hAnsi="Times New Roman"/>
          <w:sz w:val="24"/>
          <w:szCs w:val="24"/>
        </w:rPr>
      </w:pPr>
      <w:r w:rsidRPr="006740E5">
        <w:rPr>
          <w:rFonts w:ascii="Times New Roman" w:hAnsi="Times New Roman"/>
          <w:b/>
          <w:sz w:val="24"/>
          <w:szCs w:val="24"/>
        </w:rPr>
        <w:lastRenderedPageBreak/>
        <w:t xml:space="preserve">2 lentelė. Naujų žinių taikymo komercinei naudai gauti procesų suvokimo analizė </w:t>
      </w:r>
      <w:r w:rsidRPr="006740E5">
        <w:rPr>
          <w:rFonts w:ascii="Times New Roman" w:hAnsi="Times New Roman"/>
          <w:b/>
          <w:sz w:val="24"/>
          <w:szCs w:val="24"/>
        </w:rPr>
        <w:br/>
        <w:t>pagal orientaciją į produktą</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4111"/>
        <w:gridCol w:w="2552"/>
        <w:gridCol w:w="3260"/>
      </w:tblGrid>
      <w:tr w:rsidR="00C66C7D" w:rsidRPr="006740E5" w:rsidTr="008222E8">
        <w:trPr>
          <w:trHeight w:val="207"/>
        </w:trPr>
        <w:tc>
          <w:tcPr>
            <w:tcW w:w="4111"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2552"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ekonomikos studijose</w:t>
            </w:r>
          </w:p>
        </w:tc>
        <w:tc>
          <w:tcPr>
            <w:tcW w:w="3260"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r>
      <w:tr w:rsidR="00C66C7D" w:rsidRPr="006740E5" w:rsidTr="008222E8">
        <w:trPr>
          <w:trHeight w:val="207"/>
        </w:trPr>
        <w:tc>
          <w:tcPr>
            <w:tcW w:w="4111" w:type="dxa"/>
            <w:vMerge/>
            <w:tcBorders>
              <w:bottom w:val="single" w:sz="12" w:space="0" w:color="auto"/>
            </w:tcBorders>
            <w:shd w:val="pct5" w:color="auto" w:fill="auto"/>
            <w:vAlign w:val="center"/>
          </w:tcPr>
          <w:p w:rsidR="00C66C7D" w:rsidRPr="006740E5" w:rsidRDefault="00C66C7D" w:rsidP="008222E8">
            <w:pPr>
              <w:shd w:val="clear" w:color="auto" w:fill="DBE5F1"/>
              <w:spacing w:after="0" w:line="240" w:lineRule="auto"/>
              <w:jc w:val="center"/>
              <w:rPr>
                <w:rFonts w:ascii="Times New Roman" w:hAnsi="Times New Roman"/>
                <w:sz w:val="18"/>
                <w:szCs w:val="18"/>
              </w:rPr>
            </w:pPr>
          </w:p>
        </w:tc>
        <w:tc>
          <w:tcPr>
            <w:tcW w:w="2552" w:type="dxa"/>
            <w:vMerge/>
            <w:tcBorders>
              <w:bottom w:val="single" w:sz="12" w:space="0" w:color="auto"/>
            </w:tcBorders>
            <w:shd w:val="pct5" w:color="auto" w:fill="auto"/>
            <w:vAlign w:val="center"/>
          </w:tcPr>
          <w:p w:rsidR="00C66C7D" w:rsidRPr="006740E5" w:rsidRDefault="00C66C7D" w:rsidP="008222E8">
            <w:pPr>
              <w:shd w:val="clear" w:color="auto" w:fill="DBE5F1"/>
              <w:spacing w:after="0" w:line="240" w:lineRule="auto"/>
              <w:jc w:val="center"/>
              <w:rPr>
                <w:rFonts w:ascii="Times New Roman" w:hAnsi="Times New Roman"/>
                <w:sz w:val="18"/>
                <w:szCs w:val="18"/>
              </w:rPr>
            </w:pPr>
          </w:p>
        </w:tc>
        <w:tc>
          <w:tcPr>
            <w:tcW w:w="3260" w:type="dxa"/>
            <w:vMerge/>
            <w:tcBorders>
              <w:bottom w:val="single" w:sz="12" w:space="0" w:color="auto"/>
            </w:tcBorders>
            <w:shd w:val="pct5" w:color="auto" w:fill="auto"/>
            <w:vAlign w:val="center"/>
          </w:tcPr>
          <w:p w:rsidR="00C66C7D" w:rsidRPr="006740E5" w:rsidRDefault="00C66C7D" w:rsidP="008222E8">
            <w:pPr>
              <w:shd w:val="clear" w:color="auto" w:fill="DBE5F1"/>
              <w:spacing w:after="0" w:line="240" w:lineRule="auto"/>
              <w:jc w:val="center"/>
              <w:rPr>
                <w:rFonts w:ascii="Times New Roman" w:hAnsi="Times New Roman"/>
                <w:sz w:val="18"/>
                <w:szCs w:val="18"/>
              </w:rPr>
            </w:pPr>
          </w:p>
        </w:tc>
      </w:tr>
      <w:tr w:rsidR="00C66C7D" w:rsidRPr="006740E5" w:rsidTr="008222E8">
        <w:trPr>
          <w:trHeight w:val="831"/>
        </w:trPr>
        <w:tc>
          <w:tcPr>
            <w:tcW w:w="4111"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Tai procesas, kurį sudaro septynios kategorijos: </w:t>
            </w:r>
            <w:r w:rsidR="006740E5" w:rsidRPr="006740E5">
              <w:rPr>
                <w:rFonts w:ascii="Times New Roman" w:hAnsi="Times New Roman"/>
                <w:sz w:val="18"/>
                <w:szCs w:val="18"/>
              </w:rPr>
              <w:t>įdėjimų</w:t>
            </w:r>
            <w:r w:rsidRPr="006740E5">
              <w:rPr>
                <w:rFonts w:ascii="Times New Roman" w:hAnsi="Times New Roman"/>
                <w:sz w:val="18"/>
                <w:szCs w:val="18"/>
              </w:rPr>
              <w:t xml:space="preserve"> vadyba, žinių vadyba, inovacijų strategija, organizacijos kultūra ir struktūra, portfolio vadyba, projektų vadyba ir komercializavimas.</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Adams et al. (2006)</w:t>
            </w:r>
          </w:p>
        </w:tc>
        <w:tc>
          <w:tcPr>
            <w:tcW w:w="2552"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Inovacijos didina prekių ir paslaugų kokybę, todėl yra ekonomikos augimą sukuriantis veiksnys.</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Bratu et al. (2009)</w:t>
            </w:r>
          </w:p>
        </w:tc>
        <w:tc>
          <w:tcPr>
            <w:tcW w:w="3260"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Tai produkcija ir paslaugos pagrįstos aktyvia žinių veikla, kuriai būdinga techninės ir mokslinės pažangos įtaka ir greitas senėjimas.</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Powell ir Snellman (2004) </w:t>
            </w:r>
          </w:p>
        </w:tc>
      </w:tr>
      <w:tr w:rsidR="00C66C7D" w:rsidRPr="006740E5" w:rsidTr="008222E8">
        <w:trPr>
          <w:trHeight w:val="913"/>
        </w:trPr>
        <w:tc>
          <w:tcPr>
            <w:tcW w:w="4111"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Organizacijos siūlomo produkto tobulinimas siekiant patenkinti mainų proceso dalyvių poreikius.</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Al-Shalabi et al. (2008)</w:t>
            </w:r>
          </w:p>
        </w:tc>
        <w:tc>
          <w:tcPr>
            <w:tcW w:w="2552"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c>
          <w:tcPr>
            <w:tcW w:w="3260"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B3003B">
      <w:pPr>
        <w:spacing w:after="0" w:line="360" w:lineRule="auto"/>
        <w:ind w:firstLine="567"/>
        <w:jc w:val="both"/>
        <w:rPr>
          <w:rFonts w:ascii="Times New Roman" w:hAnsi="Times New Roman"/>
          <w:sz w:val="24"/>
          <w:szCs w:val="24"/>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w:t>
      </w:r>
      <w:r w:rsidRPr="006740E5">
        <w:rPr>
          <w:rFonts w:ascii="Times New Roman" w:hAnsi="Times New Roman"/>
          <w:sz w:val="24"/>
          <w:szCs w:val="24"/>
        </w:rPr>
        <w:br/>
        <w:t xml:space="preserve">į produktą (žr. 2 lentelę) atskleidė studijų kryptingumai – inovacijų vadybos studijos </w:t>
      </w:r>
      <w:r w:rsidRPr="006740E5">
        <w:rPr>
          <w:rFonts w:ascii="Times New Roman" w:hAnsi="Times New Roman"/>
          <w:sz w:val="24"/>
          <w:szCs w:val="24"/>
        </w:rPr>
        <w:br/>
        <w:t xml:space="preserve">produkto inovacijas vertina kaip organizacijos veiklai naudingą veiklą, o inovacijų ir žinių ekonomikos studijos produkto inovavimą vertina kaip visos ekonomikos augimą skatinantį veiksnį. Be lentelėje pateiktų autorių naujų produktų kūrimo ir rinkoje esančių produktų atnaujinimo remiantis naujomis žiniomis tyrimus atliko ir Wang ir Pervaiz (2004), Szymanski et al. (2007), </w:t>
      </w:r>
      <w:r w:rsidRPr="006740E5">
        <w:rPr>
          <w:rFonts w:ascii="Times New Roman" w:hAnsi="Times New Roman"/>
          <w:sz w:val="24"/>
          <w:szCs w:val="24"/>
        </w:rPr>
        <w:br/>
        <w:t xml:space="preserve">Bagdoniene ir Jakstaite (2009), Fu et al. (2008), Koellinger (2008) ir patvirtino naujų/atnaujintų produktų pasiūlymo rinkai naudą verslo subjektui. Urbonas ir Maksvytienė (2009) analizuodami produktų inovavimą pastebėjo, kad vien sąnaudų taupymą sukurianti inovacija gali reikšmingai padidinti subjekto konkurencingumą rinkoje. Baer ir Montes-Rojas (2008) analizuodami </w:t>
      </w:r>
      <w:r w:rsidRPr="006740E5">
        <w:rPr>
          <w:rFonts w:ascii="Times New Roman" w:hAnsi="Times New Roman"/>
          <w:sz w:val="24"/>
          <w:szCs w:val="24"/>
        </w:rPr>
        <w:br/>
        <w:t xml:space="preserve">nepelningos pašto paslaugų teikimo veiklos priežastis, kaip reikšmingiausią išskyrė žemo paslaugų kokybės lygio palaikymą augant paslaugų kainai. Autorių nuomone, nenuostolingumą </w:t>
      </w:r>
      <w:r w:rsidRPr="006740E5">
        <w:rPr>
          <w:rFonts w:ascii="Times New Roman" w:hAnsi="Times New Roman"/>
          <w:sz w:val="24"/>
          <w:szCs w:val="24"/>
        </w:rPr>
        <w:br/>
        <w:t>(o vėliau ir pelningumą) pasiekti pašto paslaugų sektoriuje valstybiniam pašto paslaugų teikėjui konkuruojant su privačiais pašto paslaugų teikėjais leidžia pastovus dėmesys teikiamų paslaugų kokybei ir atnaujinimui – produkto inovavimui.</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3 lentelė. Naujų žinių taikymo komercinei naudai gauti procesų suvokimo analizė</w:t>
      </w:r>
      <w:r w:rsidRPr="006740E5">
        <w:rPr>
          <w:rFonts w:ascii="Times New Roman" w:hAnsi="Times New Roman"/>
          <w:b/>
          <w:sz w:val="24"/>
          <w:szCs w:val="24"/>
        </w:rPr>
        <w:br/>
        <w:t>pagal orientaciją į vartotoją</w:t>
      </w:r>
    </w:p>
    <w:tbl>
      <w:tblPr>
        <w:tblW w:w="9923" w:type="dxa"/>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2694"/>
        <w:gridCol w:w="2976"/>
        <w:gridCol w:w="4253"/>
      </w:tblGrid>
      <w:tr w:rsidR="00C66C7D" w:rsidRPr="006740E5" w:rsidTr="008222E8">
        <w:trPr>
          <w:trHeight w:val="210"/>
        </w:trPr>
        <w:tc>
          <w:tcPr>
            <w:tcW w:w="2694"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2976"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4253"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r>
      <w:tr w:rsidR="00C66C7D" w:rsidRPr="006740E5" w:rsidTr="008222E8">
        <w:trPr>
          <w:trHeight w:val="207"/>
        </w:trPr>
        <w:tc>
          <w:tcPr>
            <w:tcW w:w="2694"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2976"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4253"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r>
      <w:tr w:rsidR="00C66C7D" w:rsidRPr="006740E5" w:rsidTr="008222E8">
        <w:trPr>
          <w:trHeight w:val="1430"/>
        </w:trPr>
        <w:tc>
          <w:tcPr>
            <w:tcW w:w="2694"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Tai procese, kuriame klientas yra būtinas dalyvis, nes tik atsižvelgus į kliento išreikštus poreikius gali būti sukurta sėkminga prekių ar paslaugų inovacija. Alhawari et al. (2009)</w:t>
            </w:r>
          </w:p>
        </w:tc>
        <w:tc>
          <w:tcPr>
            <w:tcW w:w="2976"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Dalinimasis žiniomis organizacijoje orientuotos į žinių mainus tarp organizacijos darbuotojų, į šį procesą įtraukiant ir vartotojus. Shaqrah ir Alkhaldi (2009)</w:t>
            </w:r>
          </w:p>
        </w:tc>
        <w:tc>
          <w:tcPr>
            <w:tcW w:w="4253"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Tai kūrybinė ekonomika, kurioje didžiausią reikšmę verslo subjekto sėkmingumui sudaro darbuotojai ir organizacijoje sukaupta intelektinis turtas ir kurioje varžybiškumas rinkoje vyksta ne per kainą, o per siekį kuo tiksliau patenkinti vartotojų poreikius. Suciu ir Ivanovici (2009)</w:t>
            </w:r>
          </w:p>
        </w:tc>
      </w:tr>
      <w:tr w:rsidR="00C66C7D" w:rsidRPr="006740E5" w:rsidTr="008222E8">
        <w:trPr>
          <w:trHeight w:val="1357"/>
        </w:trPr>
        <w:tc>
          <w:tcPr>
            <w:tcW w:w="2694"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Inovacijų vadyba yra procesas užtikrinantis inovacijų sėkmę, o sėkmingos inovacijos yra tos, kurios sukuriamos minimaliomis sąnaudomis ir tenkina vartotojų poreikius. Papuc et al. (2009)</w:t>
            </w:r>
          </w:p>
        </w:tc>
        <w:tc>
          <w:tcPr>
            <w:tcW w:w="2976"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yra procesas padedantis organizacijoje palaikyti gerus santykius su klientais plečiant juos pasiekiančias žinias, paspartinant reakciją į klientų užklausas, pasiūlymus ir skundus. Jarrah et al. (2009)</w:t>
            </w:r>
          </w:p>
        </w:tc>
        <w:tc>
          <w:tcPr>
            <w:tcW w:w="4253"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807A74">
      <w:pPr>
        <w:spacing w:after="0" w:line="360" w:lineRule="auto"/>
        <w:ind w:firstLine="567"/>
        <w:jc w:val="both"/>
        <w:rPr>
          <w:rFonts w:ascii="Times New Roman" w:hAnsi="Times New Roman"/>
          <w:sz w:val="24"/>
          <w:szCs w:val="24"/>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lastRenderedPageBreak/>
        <w:t xml:space="preserve">Naujų žinių taikymo komercinei naudai gauti procesų suvokimo analizė pagal orientaciją </w:t>
      </w:r>
      <w:r w:rsidRPr="006740E5">
        <w:rPr>
          <w:rFonts w:ascii="Times New Roman" w:hAnsi="Times New Roman"/>
          <w:sz w:val="24"/>
          <w:szCs w:val="24"/>
        </w:rPr>
        <w:br/>
        <w:t>į vartotoją (žr. 3 lentelę) atskleidė neginčijamą vartotojo dalyvavimo produktų tobulinimo procese naudą. Vadybinės ir ekonomikos pakraipų studijos išsiskyrė tik vartotojo reikšmingumo analizės gyliu: vadybinės studijos į vartotoją žvelgia tik kaip į inovacijos sėkmę užtikrinantį veiksnį, o ekonomikos studijos į vartotoją žvelgia kaip į veiksnį skatinantį rinkos varžybiškumą ir tuo pačių siūlomų produktų kokybės lygio kilimą. Pašto sektoriaus tyrimų šia tematika aptikti nepavyko.</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4 lentelė. Naujų žinių taikymo komercinei naudai gauti procesų suvokimo analizė</w:t>
      </w:r>
      <w:r w:rsidRPr="006740E5">
        <w:rPr>
          <w:rFonts w:ascii="Times New Roman" w:hAnsi="Times New Roman"/>
          <w:b/>
          <w:sz w:val="24"/>
          <w:szCs w:val="24"/>
        </w:rPr>
        <w:br/>
        <w:t>pagal orientaciją į bendradarbiavimą</w:t>
      </w:r>
    </w:p>
    <w:tbl>
      <w:tblPr>
        <w:tblW w:w="9923" w:type="dxa"/>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2410"/>
        <w:gridCol w:w="2552"/>
        <w:gridCol w:w="2409"/>
        <w:gridCol w:w="2552"/>
      </w:tblGrid>
      <w:tr w:rsidR="00C66C7D" w:rsidRPr="006740E5" w:rsidTr="008222E8">
        <w:trPr>
          <w:trHeight w:val="225"/>
        </w:trPr>
        <w:tc>
          <w:tcPr>
            <w:tcW w:w="2410"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ekonomikos studijose</w:t>
            </w:r>
          </w:p>
        </w:tc>
        <w:tc>
          <w:tcPr>
            <w:tcW w:w="2552"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2409"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c>
          <w:tcPr>
            <w:tcW w:w="2552"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Wiki ekonomikos studijose</w:t>
            </w:r>
          </w:p>
        </w:tc>
      </w:tr>
      <w:tr w:rsidR="00C66C7D" w:rsidRPr="006740E5" w:rsidTr="008222E8">
        <w:trPr>
          <w:trHeight w:val="225"/>
        </w:trPr>
        <w:tc>
          <w:tcPr>
            <w:tcW w:w="2410"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2552"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2409"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2552"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r>
      <w:tr w:rsidR="00C66C7D" w:rsidRPr="006740E5" w:rsidTr="008222E8">
        <w:trPr>
          <w:trHeight w:val="1328"/>
        </w:trPr>
        <w:tc>
          <w:tcPr>
            <w:tcW w:w="2410"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 xml:space="preserve">Inovacijų </w:t>
            </w:r>
            <w:r w:rsidR="006740E5" w:rsidRPr="006740E5">
              <w:rPr>
                <w:rFonts w:ascii="Times New Roman" w:hAnsi="Times New Roman"/>
                <w:sz w:val="18"/>
                <w:szCs w:val="18"/>
              </w:rPr>
              <w:t>taikymas</w:t>
            </w:r>
            <w:r w:rsidRPr="006740E5">
              <w:rPr>
                <w:rFonts w:ascii="Times New Roman" w:hAnsi="Times New Roman"/>
                <w:sz w:val="18"/>
                <w:szCs w:val="18"/>
              </w:rPr>
              <w:t xml:space="preserve"> versle kuria naują visuomenę, naują ekonomiką, kurioje vyrauja verslo subjektų rizika ir klientų įsitraukimo į teikiamų paslaugų/produktų kūrimą. Mrad (2009)</w:t>
            </w:r>
          </w:p>
        </w:tc>
        <w:tc>
          <w:tcPr>
            <w:tcW w:w="2552"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Žinių vadyba, tai tokio vadybos proceso ir struktūros sukūrimas, kuriuo žinios ir bendruomenės yra suburiamos i vieną ekosistemą kuri palaiko žinių kūrimą, naudojimą ir išlaikymą. Alryalat ir Alhawari (2008)</w:t>
            </w:r>
          </w:p>
        </w:tc>
        <w:tc>
          <w:tcPr>
            <w:tcW w:w="2409"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 xml:space="preserve">Žiniomis paremtoje ekonomikoje organizacija tampant žinių organizacija, kurioje lyderis pradeda skatinti atvirą kultūrą darbuotojų, konkurentų ir klientų bendravimui. </w:t>
            </w:r>
          </w:p>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Gabriela (2009)</w:t>
            </w:r>
          </w:p>
        </w:tc>
        <w:tc>
          <w:tcPr>
            <w:tcW w:w="2552" w:type="dxa"/>
            <w:tcBorders>
              <w:top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 xml:space="preserve">Ekonominiai procesai paremti e. bendruomenių ir e. verslo bendradarbiavimu ir apimantys atvirumą, viešumą, dalinimąsi ir globalų veikimą bei atnešantys nauda ne tik atskiram verslo subjektui, tačiau ir visam ekonominiam augimui. </w:t>
            </w:r>
          </w:p>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Mažeika ir Misiūnaitė (2009)</w:t>
            </w:r>
          </w:p>
        </w:tc>
      </w:tr>
      <w:tr w:rsidR="00C66C7D" w:rsidRPr="006740E5" w:rsidTr="008222E8">
        <w:trPr>
          <w:trHeight w:val="675"/>
        </w:trPr>
        <w:tc>
          <w:tcPr>
            <w:tcW w:w="2410" w:type="dxa"/>
            <w:tcBorders>
              <w:bottom w:val="single" w:sz="12" w:space="0" w:color="auto"/>
            </w:tcBorders>
            <w:vAlign w:val="center"/>
          </w:tcPr>
          <w:p w:rsidR="00C66C7D" w:rsidRPr="006740E5" w:rsidRDefault="00C66C7D" w:rsidP="008222E8">
            <w:pPr>
              <w:spacing w:after="0" w:line="240" w:lineRule="auto"/>
              <w:rPr>
                <w:rFonts w:ascii="Times New Roman" w:hAnsi="Times New Roman"/>
                <w:sz w:val="18"/>
                <w:szCs w:val="18"/>
              </w:rPr>
            </w:pPr>
          </w:p>
        </w:tc>
        <w:tc>
          <w:tcPr>
            <w:tcW w:w="2552"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p>
        </w:tc>
        <w:tc>
          <w:tcPr>
            <w:tcW w:w="2409"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p>
        </w:tc>
        <w:tc>
          <w:tcPr>
            <w:tcW w:w="2552" w:type="dxa"/>
            <w:tcBorders>
              <w:bottom w:val="single" w:sz="12" w:space="0" w:color="auto"/>
            </w:tcBorders>
            <w:vAlign w:val="center"/>
          </w:tcPr>
          <w:p w:rsidR="00C66C7D" w:rsidRPr="006740E5" w:rsidRDefault="00C66C7D" w:rsidP="008222E8">
            <w:pPr>
              <w:spacing w:after="0" w:line="240" w:lineRule="auto"/>
              <w:jc w:val="center"/>
              <w:rPr>
                <w:rFonts w:ascii="Times New Roman" w:hAnsi="Times New Roman"/>
                <w:sz w:val="18"/>
                <w:szCs w:val="18"/>
              </w:rPr>
            </w:pPr>
            <w:r w:rsidRPr="006740E5">
              <w:rPr>
                <w:rFonts w:ascii="Times New Roman" w:hAnsi="Times New Roman"/>
                <w:sz w:val="18"/>
                <w:szCs w:val="18"/>
              </w:rPr>
              <w:t>Ekonomika paremta plačių bendradarbiavimu ir vartotojų dalyvavimu. Kahn (2008)</w:t>
            </w:r>
          </w:p>
        </w:tc>
      </w:tr>
    </w:tbl>
    <w:p w:rsidR="00C66C7D" w:rsidRPr="006740E5" w:rsidRDefault="00C66C7D" w:rsidP="00954B93">
      <w:pPr>
        <w:spacing w:after="0" w:line="360" w:lineRule="auto"/>
        <w:ind w:firstLine="567"/>
        <w:jc w:val="both"/>
        <w:rPr>
          <w:rFonts w:ascii="Times New Roman" w:hAnsi="Times New Roman"/>
          <w:sz w:val="24"/>
          <w:szCs w:val="24"/>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w:t>
      </w:r>
      <w:r w:rsidRPr="006740E5">
        <w:rPr>
          <w:rFonts w:ascii="Times New Roman" w:hAnsi="Times New Roman"/>
          <w:sz w:val="24"/>
          <w:szCs w:val="24"/>
        </w:rPr>
        <w:br/>
        <w:t xml:space="preserve">į bendradarbiavimą (žr. 4 lentelę) atskleidė aktualų, naujų žinių taikymo ir bendradarbiavimo </w:t>
      </w:r>
      <w:r w:rsidRPr="006740E5">
        <w:rPr>
          <w:rFonts w:ascii="Times New Roman" w:hAnsi="Times New Roman"/>
          <w:sz w:val="24"/>
          <w:szCs w:val="24"/>
        </w:rPr>
        <w:br/>
        <w:t>su artimiausiais rinkos dalyviais, ryšį tiek vadybiniuose organizacijos vidaus procesuose tiek bendroje ekonomikoje. Autoriai Sodomka ir Šteker (2009) savo studijas stipriau kreipę procesų optimizavimo linkme teigiamų santykių su tiekėjais kūrimą ir palaikymą taip pat įvardija kaip ilgalaikei sėkmei reikšmingą veiksnį. Pašto sektoriaus tyrimų šia tematika aptikti nepavyko.</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5 lentelė. Naujų žinių taikymo komercinei naudai gauti procesų suvokimo analizė</w:t>
      </w:r>
      <w:r w:rsidRPr="006740E5">
        <w:rPr>
          <w:rFonts w:ascii="Times New Roman" w:hAnsi="Times New Roman"/>
          <w:b/>
          <w:sz w:val="24"/>
          <w:szCs w:val="24"/>
        </w:rPr>
        <w:br/>
        <w:t>pagal orientaciją į procesų optimizavimą</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2977"/>
        <w:gridCol w:w="3260"/>
        <w:gridCol w:w="3686"/>
      </w:tblGrid>
      <w:tr w:rsidR="00C66C7D" w:rsidRPr="006740E5" w:rsidTr="008222E8">
        <w:trPr>
          <w:trHeight w:val="225"/>
        </w:trPr>
        <w:tc>
          <w:tcPr>
            <w:tcW w:w="2977"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3260"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3686"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Wiki ekonomikos studijose</w:t>
            </w:r>
          </w:p>
        </w:tc>
      </w:tr>
      <w:tr w:rsidR="00C66C7D" w:rsidRPr="006740E5" w:rsidTr="008222E8">
        <w:trPr>
          <w:trHeight w:val="225"/>
        </w:trPr>
        <w:tc>
          <w:tcPr>
            <w:tcW w:w="2977"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3260"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3686"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r>
      <w:tr w:rsidR="00C66C7D" w:rsidRPr="006740E5" w:rsidTr="008222E8">
        <w:trPr>
          <w:trHeight w:val="893"/>
        </w:trPr>
        <w:tc>
          <w:tcPr>
            <w:tcW w:w="2977"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Sisteminga inovacijų vadyba veiklos procesų optimizavime ir santykių su tiekėjais bei vartotojais kūrime yra ilgalaikio įmonės augimo ir sėkmės </w:t>
            </w:r>
            <w:r w:rsidR="006740E5" w:rsidRPr="006740E5">
              <w:rPr>
                <w:rFonts w:ascii="Times New Roman" w:hAnsi="Times New Roman"/>
                <w:sz w:val="18"/>
                <w:szCs w:val="18"/>
              </w:rPr>
              <w:t>pagrindas</w:t>
            </w:r>
            <w:r w:rsidRPr="006740E5">
              <w:rPr>
                <w:rFonts w:ascii="Times New Roman" w:hAnsi="Times New Roman"/>
                <w:sz w:val="18"/>
                <w:szCs w:val="18"/>
              </w:rPr>
              <w:t>. Sodomka ir Šteker (2009)</w:t>
            </w:r>
          </w:p>
        </w:tc>
        <w:tc>
          <w:tcPr>
            <w:tcW w:w="3260"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yra veiksnys gerinantis inovacijų taikymo sąlygas, veiklos koordinavimą, reakciją į rinkos pokyčius ir sumažina žinių pasikartojimą.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Malhotra ir Dennis (2003)</w:t>
            </w:r>
          </w:p>
        </w:tc>
        <w:tc>
          <w:tcPr>
            <w:tcW w:w="3686"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Wiki yra vidaus procesų organizavimo įmonėje principas, kurį </w:t>
            </w:r>
            <w:r w:rsidR="006740E5">
              <w:rPr>
                <w:rFonts w:ascii="Times New Roman" w:hAnsi="Times New Roman"/>
                <w:sz w:val="18"/>
                <w:szCs w:val="18"/>
              </w:rPr>
              <w:t>tai</w:t>
            </w:r>
            <w:r w:rsidR="006740E5" w:rsidRPr="006740E5">
              <w:rPr>
                <w:rFonts w:ascii="Times New Roman" w:hAnsi="Times New Roman"/>
                <w:sz w:val="18"/>
                <w:szCs w:val="18"/>
              </w:rPr>
              <w:t>k</w:t>
            </w:r>
            <w:r w:rsidR="006740E5">
              <w:rPr>
                <w:rFonts w:ascii="Times New Roman" w:hAnsi="Times New Roman"/>
                <w:sz w:val="18"/>
                <w:szCs w:val="18"/>
              </w:rPr>
              <w:t>an</w:t>
            </w:r>
            <w:r w:rsidR="006740E5" w:rsidRPr="006740E5">
              <w:rPr>
                <w:rFonts w:ascii="Times New Roman" w:hAnsi="Times New Roman"/>
                <w:sz w:val="18"/>
                <w:szCs w:val="18"/>
              </w:rPr>
              <w:t>t</w:t>
            </w:r>
            <w:r w:rsidRPr="006740E5">
              <w:rPr>
                <w:rFonts w:ascii="Times New Roman" w:hAnsi="Times New Roman"/>
                <w:sz w:val="18"/>
                <w:szCs w:val="18"/>
              </w:rPr>
              <w:t xml:space="preserve"> įmonės veikloje yra teigiamai veikiamas kūrybiškumas ir dalijimasis žiniomis. Jandos ir Vorisek (2009)</w:t>
            </w:r>
          </w:p>
        </w:tc>
      </w:tr>
      <w:tr w:rsidR="00C66C7D" w:rsidRPr="006740E5" w:rsidTr="008222E8">
        <w:trPr>
          <w:trHeight w:val="487"/>
        </w:trPr>
        <w:tc>
          <w:tcPr>
            <w:tcW w:w="2977"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c>
          <w:tcPr>
            <w:tcW w:w="3260"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tai verslo procesuose taikomą technologiją.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Gonçalves et al. (2009)</w:t>
            </w:r>
          </w:p>
        </w:tc>
        <w:tc>
          <w:tcPr>
            <w:tcW w:w="3686"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380B36">
      <w:pPr>
        <w:spacing w:after="0" w:line="360" w:lineRule="auto"/>
        <w:ind w:firstLine="567"/>
        <w:jc w:val="both"/>
        <w:rPr>
          <w:rFonts w:ascii="Times New Roman" w:hAnsi="Times New Roman"/>
          <w:sz w:val="24"/>
          <w:szCs w:val="24"/>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w:t>
      </w:r>
      <w:r w:rsidRPr="006740E5">
        <w:rPr>
          <w:rFonts w:ascii="Times New Roman" w:hAnsi="Times New Roman"/>
          <w:sz w:val="24"/>
          <w:szCs w:val="24"/>
        </w:rPr>
        <w:br/>
        <w:t xml:space="preserve">į procesų optimizavimą (žr. 5 lentelę) parodė, kad visose analizuotose studijose procesų optimizavimas remiantis organizacijos bendrai disponuojamomis ir naujomis įgyjamomis žiniomis teigiamai paveikia </w:t>
      </w:r>
      <w:r w:rsidRPr="006740E5">
        <w:rPr>
          <w:rFonts w:ascii="Times New Roman" w:hAnsi="Times New Roman"/>
          <w:sz w:val="24"/>
          <w:szCs w:val="24"/>
        </w:rPr>
        <w:lastRenderedPageBreak/>
        <w:t xml:space="preserve">veiklos koordinavimą ir subjekto augimą. Žinių ekonomikos srities studijose nepavyko aptikti autorių darbų orientuotų į procesų optimizavimą, tačiau autoriai didelę reikšmę skiria IKT taikymui (kurių tobulinimas atnaujinant, vertinamas kaip inovacija – naujų žinių pritaikymas). Sireteanu ir Sirbu (2008), Fragidis et al. (2008), Nikolae (2009), Modimogale ir Kroeze (2009) ir kt. IKT įvardija kaip žinių ekonomikos pagrindą. Nicolae ir Neagu (2009) taip pat žinių ekonomikoje skyrė didelę reikšmę technologijoms neišskirdami jų rūšies. Geddes (2005) analizuodamas pašto paslaugų rinkos reformas pastebėjo, kad nėra svarbu pašto paslaugų teikimo politikos formavimo kryptis (nacionalizuota </w:t>
      </w:r>
      <w:r w:rsidR="00D9662F" w:rsidRPr="006740E5">
        <w:rPr>
          <w:rFonts w:ascii="Times New Roman" w:hAnsi="Times New Roman"/>
          <w:sz w:val="24"/>
          <w:szCs w:val="24"/>
        </w:rPr>
        <w:br/>
      </w:r>
      <w:r w:rsidRPr="006740E5">
        <w:rPr>
          <w:rFonts w:ascii="Times New Roman" w:hAnsi="Times New Roman"/>
          <w:sz w:val="24"/>
          <w:szCs w:val="24"/>
        </w:rPr>
        <w:t>ar privatinė), o svarbu kaip atitinkamoje kryptyje veikiantis pašto paslaugų subjektas pajėgia organizuoti savo veiklą ir taikyti subjekto veiklos procesų efektyvumą kuriančius patobulinimus.</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6 lentelė. Naujų žinių taikymo komercinei naudai gauti procesų suvokimo analizė</w:t>
      </w:r>
      <w:r w:rsidRPr="006740E5">
        <w:rPr>
          <w:rFonts w:ascii="Times New Roman" w:hAnsi="Times New Roman"/>
          <w:b/>
          <w:sz w:val="24"/>
          <w:szCs w:val="24"/>
        </w:rPr>
        <w:br/>
        <w:t>pagal orientaciją į žmogiškuosius išteklius</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1985"/>
        <w:gridCol w:w="2268"/>
        <w:gridCol w:w="2977"/>
        <w:gridCol w:w="2693"/>
      </w:tblGrid>
      <w:tr w:rsidR="00C66C7D" w:rsidRPr="006740E5" w:rsidTr="008222E8">
        <w:trPr>
          <w:trHeight w:val="447"/>
        </w:trPr>
        <w:tc>
          <w:tcPr>
            <w:tcW w:w="1985"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2268" w:type="dxa"/>
            <w:tcBorders>
              <w:top w:val="single" w:sz="12" w:space="0" w:color="auto"/>
            </w:tcBorders>
            <w:shd w:val="pct5" w:color="auto" w:fill="auto"/>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ekonomikos studijose</w:t>
            </w:r>
          </w:p>
        </w:tc>
        <w:tc>
          <w:tcPr>
            <w:tcW w:w="2977"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2693"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r>
      <w:tr w:rsidR="00C66C7D" w:rsidRPr="006740E5" w:rsidTr="008222E8">
        <w:trPr>
          <w:trHeight w:val="761"/>
        </w:trPr>
        <w:tc>
          <w:tcPr>
            <w:tcW w:w="1985"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Žmogiškųjų išteklių </w:t>
            </w:r>
            <w:r w:rsidR="006740E5" w:rsidRPr="006740E5">
              <w:rPr>
                <w:rFonts w:ascii="Times New Roman" w:hAnsi="Times New Roman"/>
                <w:sz w:val="18"/>
                <w:szCs w:val="18"/>
              </w:rPr>
              <w:t>įtraukimas</w:t>
            </w:r>
            <w:r w:rsidRPr="006740E5">
              <w:rPr>
                <w:rFonts w:ascii="Times New Roman" w:hAnsi="Times New Roman"/>
                <w:sz w:val="18"/>
                <w:szCs w:val="18"/>
              </w:rPr>
              <w:t xml:space="preserve"> į inovacijų kūrimo/diegimo procesus yra būtina sąlyga siekiant užtikrinti inovacijų taikymo sėkmę subjekto veikloje.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Rahim (2008)</w:t>
            </w:r>
          </w:p>
        </w:tc>
        <w:tc>
          <w:tcPr>
            <w:tcW w:w="2268"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Inovacijų ekonomikoje įmonės ne tik naudoja ir gerina įsigytas technologijas bei gamybos metodus, bet svarbus veiksniu tampa sugebėjimas kurti naujoves, t. y. naujus produktus, technologijas ir metodus. Valentinavičius (2006)</w:t>
            </w:r>
          </w:p>
        </w:tc>
        <w:tc>
          <w:tcPr>
            <w:tcW w:w="2977"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Žinios organizacijoje yra pagrindinis išteklius sudarantis </w:t>
            </w:r>
            <w:r w:rsidR="006740E5" w:rsidRPr="006740E5">
              <w:rPr>
                <w:rFonts w:ascii="Times New Roman" w:hAnsi="Times New Roman"/>
                <w:sz w:val="18"/>
                <w:szCs w:val="18"/>
              </w:rPr>
              <w:t>sąlygas</w:t>
            </w:r>
            <w:r w:rsidRPr="006740E5">
              <w:rPr>
                <w:rFonts w:ascii="Times New Roman" w:hAnsi="Times New Roman"/>
                <w:sz w:val="18"/>
                <w:szCs w:val="18"/>
              </w:rPr>
              <w:t xml:space="preserve"> subjekto konkurencingumui per inovacijų kūrimą, kurias kuria organizacijos </w:t>
            </w:r>
            <w:r w:rsidR="006740E5" w:rsidRPr="006740E5">
              <w:rPr>
                <w:rFonts w:ascii="Times New Roman" w:hAnsi="Times New Roman"/>
                <w:sz w:val="18"/>
                <w:szCs w:val="18"/>
              </w:rPr>
              <w:t>darbuotojai</w:t>
            </w:r>
            <w:r w:rsidRPr="006740E5">
              <w:rPr>
                <w:rFonts w:ascii="Times New Roman" w:hAnsi="Times New Roman"/>
                <w:sz w:val="18"/>
                <w:szCs w:val="18"/>
              </w:rPr>
              <w:t>, todėl žinių vadybos organizacijoje tikslas yra užtikrinti darbuotojų kuo geresnį nusimanymą jų veiklos sferoje, kad šie gebėtų kartu disponuoti turimomis žiniomis tokiu būdu, kuris sukurtų sėkmingas inovacijas. Pei (2009)</w:t>
            </w:r>
          </w:p>
        </w:tc>
        <w:tc>
          <w:tcPr>
            <w:tcW w:w="2693"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Žiniomis grįsta ekonomika – tai greičiau teisinių ir ekonominių prielaidų, vadybinių ir ekonominių mechanizmų, modernių technologijų ir intelekto išteklių suderinta sistema. Žinių ekonomikoje dėmesys telkiamas į žmogų, jo gebėjimus, žinias ir jų naudojimo galimybes. Atkočiūnienė (2006)</w:t>
            </w:r>
          </w:p>
        </w:tc>
      </w:tr>
      <w:tr w:rsidR="00C66C7D" w:rsidRPr="006740E5" w:rsidTr="008222E8">
        <w:trPr>
          <w:trHeight w:val="840"/>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Entreprenerystė yra netyčinė inovatyvi veikla įvykstanti dėl kūrybiškumo taikymo siekiant pasinaudoti galimybėmis, kurias stambios įmonės ignoruoja.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Lai et al. (2009)</w:t>
            </w:r>
          </w:p>
        </w:tc>
        <w:tc>
          <w:tcPr>
            <w:tcW w:w="2268" w:type="dxa"/>
          </w:tcPr>
          <w:p w:rsidR="00C66C7D" w:rsidRPr="006740E5" w:rsidRDefault="00C66C7D" w:rsidP="008222E8">
            <w:pPr>
              <w:spacing w:after="0" w:line="240" w:lineRule="auto"/>
              <w:jc w:val="both"/>
              <w:rPr>
                <w:rFonts w:ascii="Times New Roman" w:hAnsi="Times New Roman"/>
                <w:sz w:val="18"/>
                <w:szCs w:val="18"/>
              </w:rPr>
            </w:pPr>
          </w:p>
        </w:tc>
        <w:tc>
          <w:tcPr>
            <w:tcW w:w="2977"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vadybos pagrindas yra ne technologiniai, o socialiniai ir elgsenos veiksniai.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Shaqrah et al. (2009) </w:t>
            </w: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ekonomikoje darbinė veikla stiprinama žiniomis šalia būtinų atitinkamų kvalifikacinių ar techninių įgūdžių.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Nikolae (2009)</w:t>
            </w:r>
          </w:p>
        </w:tc>
      </w:tr>
      <w:tr w:rsidR="00C66C7D" w:rsidRPr="006740E5" w:rsidTr="008222E8">
        <w:trPr>
          <w:trHeight w:val="1353"/>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Siekiant dalyvauti šiuolaikinėje globalioje rinkoje yra būtina didinti darbo jėgos disponuojamų žinių kiekį ir skatinti pačius darbuotojus taikyti inovacijas veikloje. Suan et al. (2009)</w:t>
            </w:r>
          </w:p>
        </w:tc>
        <w:tc>
          <w:tcPr>
            <w:tcW w:w="2268" w:type="dxa"/>
          </w:tcPr>
          <w:p w:rsidR="00C66C7D" w:rsidRPr="006740E5" w:rsidRDefault="00C66C7D" w:rsidP="008222E8">
            <w:pPr>
              <w:spacing w:after="0" w:line="240" w:lineRule="auto"/>
              <w:jc w:val="both"/>
              <w:rPr>
                <w:rFonts w:ascii="Times New Roman" w:hAnsi="Times New Roman"/>
                <w:sz w:val="18"/>
                <w:szCs w:val="18"/>
              </w:rPr>
            </w:pPr>
          </w:p>
        </w:tc>
        <w:tc>
          <w:tcPr>
            <w:tcW w:w="2977" w:type="dxa"/>
            <w:vAlign w:val="center"/>
          </w:tcPr>
          <w:p w:rsidR="00C66C7D" w:rsidRPr="006740E5" w:rsidRDefault="006740E5"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tai būtinų žinių organizacijoje kūrimas, vystymas, stebėjimas ir atnaujinimas, kurias kūrybingai ir inovatyviai generuoja entuziastingi darbuotojai  pasišventę veikti visuomenės naudai ir viena</w:t>
            </w:r>
            <w:r>
              <w:rPr>
                <w:rFonts w:ascii="Times New Roman" w:hAnsi="Times New Roman"/>
                <w:sz w:val="18"/>
                <w:szCs w:val="18"/>
              </w:rPr>
              <w:t>s kitą įkvėpdami siekiant įmonės</w:t>
            </w:r>
            <w:r w:rsidRPr="006740E5">
              <w:rPr>
                <w:rFonts w:ascii="Times New Roman" w:hAnsi="Times New Roman"/>
                <w:sz w:val="18"/>
                <w:szCs w:val="18"/>
              </w:rPr>
              <w:t xml:space="preserve"> Vizijos ir Misijos įgyvendinimo. </w:t>
            </w:r>
            <w:r w:rsidR="00C66C7D" w:rsidRPr="006740E5">
              <w:rPr>
                <w:rFonts w:ascii="Times New Roman" w:hAnsi="Times New Roman"/>
                <w:sz w:val="18"/>
                <w:szCs w:val="18"/>
              </w:rPr>
              <w:t>Shetty (2009)</w:t>
            </w: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Tai kūrybinė ekonomika, kurioje didžiausią reikšmę verslo subjekto sėkmingumui sudaro darbuotojai ir organizacijoje sukaupta intelektinis turtas ir kurioje varžybiškumas rinkoje vyksta ne per kainą, o per siekį kuo tiksliau patenkinti vartotojų poreikius. </w:t>
            </w:r>
          </w:p>
          <w:p w:rsidR="00C66C7D" w:rsidRPr="006740E5" w:rsidRDefault="006740E5" w:rsidP="008222E8">
            <w:pPr>
              <w:spacing w:after="0" w:line="240" w:lineRule="auto"/>
              <w:jc w:val="both"/>
              <w:rPr>
                <w:rFonts w:ascii="Times New Roman" w:hAnsi="Times New Roman"/>
                <w:sz w:val="18"/>
                <w:szCs w:val="18"/>
              </w:rPr>
            </w:pPr>
            <w:r>
              <w:rPr>
                <w:rFonts w:ascii="Times New Roman" w:hAnsi="Times New Roman"/>
                <w:sz w:val="18"/>
                <w:szCs w:val="18"/>
              </w:rPr>
              <w:t>S</w:t>
            </w:r>
            <w:r w:rsidR="00C66C7D" w:rsidRPr="006740E5">
              <w:rPr>
                <w:rFonts w:ascii="Times New Roman" w:hAnsi="Times New Roman"/>
                <w:sz w:val="18"/>
                <w:szCs w:val="18"/>
              </w:rPr>
              <w:t>uciu ir Ivanovici (2009)</w:t>
            </w:r>
          </w:p>
        </w:tc>
      </w:tr>
      <w:tr w:rsidR="00C66C7D" w:rsidRPr="006740E5" w:rsidTr="008222E8">
        <w:trPr>
          <w:trHeight w:val="1148"/>
        </w:trPr>
        <w:tc>
          <w:tcPr>
            <w:tcW w:w="1985"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Inovatyvios organizacijos kultūros sukūrimas darbuotojus skatina siekti tobulėti ir priimti pokyčius.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Chen ir Bennet (2009)</w:t>
            </w:r>
          </w:p>
        </w:tc>
        <w:tc>
          <w:tcPr>
            <w:tcW w:w="2268" w:type="dxa"/>
            <w:tcBorders>
              <w:bottom w:val="single" w:sz="12" w:space="0" w:color="auto"/>
            </w:tcBorders>
          </w:tcPr>
          <w:p w:rsidR="00C66C7D" w:rsidRPr="006740E5" w:rsidRDefault="00C66C7D" w:rsidP="008222E8">
            <w:pPr>
              <w:spacing w:after="0" w:line="240" w:lineRule="auto"/>
              <w:jc w:val="both"/>
              <w:rPr>
                <w:rFonts w:ascii="Times New Roman" w:hAnsi="Times New Roman"/>
                <w:sz w:val="18"/>
                <w:szCs w:val="18"/>
              </w:rPr>
            </w:pPr>
          </w:p>
        </w:tc>
        <w:tc>
          <w:tcPr>
            <w:tcW w:w="2977"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organizacijoje tai sistemingas įgūdžių kūrimas, fiksavimas, skleidimas ir pritaikymas organizacijos veikloje įmonėms rinkoje sukuria konkurencinį pranašumą. Ling et al. (2009)</w:t>
            </w:r>
          </w:p>
        </w:tc>
        <w:tc>
          <w:tcPr>
            <w:tcW w:w="2693"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ekonomikoje konkurencingumą užtikrina inovatyvūs nematerialaus turto valdymas.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Najmaei et al. (2009)</w:t>
            </w:r>
          </w:p>
        </w:tc>
      </w:tr>
    </w:tbl>
    <w:p w:rsidR="00C66C7D" w:rsidRPr="006740E5" w:rsidRDefault="00C66C7D" w:rsidP="009D0C48">
      <w:pPr>
        <w:spacing w:after="0" w:line="360" w:lineRule="auto"/>
        <w:ind w:firstLine="567"/>
        <w:jc w:val="both"/>
        <w:rPr>
          <w:rFonts w:ascii="Times New Roman" w:hAnsi="Times New Roman"/>
          <w:sz w:val="12"/>
          <w:szCs w:val="12"/>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w:t>
      </w:r>
      <w:r w:rsidRPr="006740E5">
        <w:rPr>
          <w:rFonts w:ascii="Times New Roman" w:hAnsi="Times New Roman"/>
          <w:sz w:val="24"/>
          <w:szCs w:val="24"/>
        </w:rPr>
        <w:br/>
        <w:t xml:space="preserve">į žmogiškuosius išteklius (žr. 6 lentelę) atskleidė, kad naujų žinių taikymo ir žmogiškųjų išteklių ryšio tyrimų kol kas yra atlikta daugiausiai. Šie tyrimai daugiau nukreipti į atskirus darbuotojus, </w:t>
      </w:r>
      <w:r w:rsidRPr="006740E5">
        <w:rPr>
          <w:rFonts w:ascii="Times New Roman" w:hAnsi="Times New Roman"/>
          <w:sz w:val="24"/>
          <w:szCs w:val="24"/>
        </w:rPr>
        <w:br/>
        <w:t xml:space="preserve">nei į žmogiškuosius išteklius kaip vieną vienetą tarp organizacijos veiklai įtaką darančių veiksnių. </w:t>
      </w:r>
      <w:r w:rsidRPr="006740E5">
        <w:rPr>
          <w:rFonts w:ascii="Times New Roman" w:hAnsi="Times New Roman"/>
          <w:sz w:val="24"/>
          <w:szCs w:val="24"/>
        </w:rPr>
        <w:lastRenderedPageBreak/>
        <w:t xml:space="preserve">Lentelėje analizuojami autoriai nagrinėdami darbuotojų ir naujų žinių taikymą organizacijoje pastebėjo, kad itin svarbu didinti darbuotojų turimų žinių kiekį ir skatinti pačius darbuotojus taikyti naujoves savo veikloje. Naujų žinių taikymo komercinei naudai gauti procesų suvokimo analizėje pagal orientaciją į žmogiškuosius išteklius sunku atskirti vadybinių ir ekonominių studijų orientacijos kryptis, tačiau pastebima neryški tendencija vadybinėse studijose akcentuoti inovatyvios aplinkos organizacijoje (organizacijos kultūros) sukūrimą, kuri skatintų darbuotojus taikyti inovacijas savo veikloje, o ekonominės studijos kiek labiau akcentuoja darbuotojų turimų žinių kiekį, gebėjimus </w:t>
      </w:r>
      <w:r w:rsidRPr="006740E5">
        <w:rPr>
          <w:rFonts w:ascii="Times New Roman" w:hAnsi="Times New Roman"/>
          <w:sz w:val="24"/>
          <w:szCs w:val="24"/>
        </w:rPr>
        <w:br/>
        <w:t xml:space="preserve">ir skatinimą vadovaujantis tomis žiniomis ir gebėjimais taikyti inovacijas savo veikloje. </w:t>
      </w:r>
      <w:r w:rsidR="00D9662F" w:rsidRPr="006740E5">
        <w:rPr>
          <w:rFonts w:ascii="Times New Roman" w:hAnsi="Times New Roman"/>
          <w:sz w:val="24"/>
          <w:szCs w:val="24"/>
        </w:rPr>
        <w:br/>
      </w:r>
      <w:r w:rsidRPr="006740E5">
        <w:rPr>
          <w:rFonts w:ascii="Times New Roman" w:hAnsi="Times New Roman"/>
          <w:sz w:val="24"/>
          <w:szCs w:val="24"/>
        </w:rPr>
        <w:t>Pašto sektoriaus tyrimų šia tematika aptikti nepavyko.</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7 lentelė. Naujų žinių taikymo komercinei naudai gauti procesų suvokimo analizė</w:t>
      </w:r>
      <w:r w:rsidRPr="006740E5">
        <w:rPr>
          <w:rFonts w:ascii="Times New Roman" w:hAnsi="Times New Roman"/>
          <w:b/>
          <w:sz w:val="24"/>
          <w:szCs w:val="24"/>
        </w:rPr>
        <w:br/>
        <w:t>pagal orientaciją į žinių išteklius</w:t>
      </w:r>
    </w:p>
    <w:tbl>
      <w:tblPr>
        <w:tblW w:w="9923" w:type="dxa"/>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ayout w:type="fixed"/>
        <w:tblLook w:val="00A0"/>
      </w:tblPr>
      <w:tblGrid>
        <w:gridCol w:w="1985"/>
        <w:gridCol w:w="2551"/>
        <w:gridCol w:w="2694"/>
        <w:gridCol w:w="2693"/>
      </w:tblGrid>
      <w:tr w:rsidR="00C66C7D" w:rsidRPr="006740E5" w:rsidTr="008222E8">
        <w:trPr>
          <w:trHeight w:val="447"/>
        </w:trPr>
        <w:tc>
          <w:tcPr>
            <w:tcW w:w="1985"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2551"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2694" w:type="dxa"/>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c>
          <w:tcPr>
            <w:tcW w:w="2693" w:type="dxa"/>
            <w:tcBorders>
              <w:top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Wiki ekonomikos studijose</w:t>
            </w:r>
          </w:p>
        </w:tc>
      </w:tr>
      <w:tr w:rsidR="00C66C7D" w:rsidRPr="006740E5" w:rsidTr="008222E8">
        <w:trPr>
          <w:trHeight w:val="661"/>
        </w:trPr>
        <w:tc>
          <w:tcPr>
            <w:tcW w:w="1985"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Inovacijų vadyba, tai procesas organizacijoje siekiant sukurti kažką naujo panaudojant organizacijos turimas žinias. Kliukinskaite-Vigil (2009)</w:t>
            </w:r>
          </w:p>
        </w:tc>
        <w:tc>
          <w:tcPr>
            <w:tcW w:w="2551"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valdymą sudaro atskiri procesai </w:t>
            </w:r>
            <w:r w:rsidR="0004279E">
              <w:rPr>
                <w:rFonts w:ascii="Times New Roman" w:hAnsi="Times New Roman"/>
                <w:sz w:val="18"/>
                <w:szCs w:val="18"/>
              </w:rPr>
              <w:t>su</w:t>
            </w:r>
            <w:r w:rsidR="0004279E" w:rsidRPr="006740E5">
              <w:rPr>
                <w:rFonts w:ascii="Times New Roman" w:hAnsi="Times New Roman"/>
                <w:sz w:val="18"/>
                <w:szCs w:val="18"/>
              </w:rPr>
              <w:t>siję</w:t>
            </w:r>
            <w:r w:rsidRPr="006740E5">
              <w:rPr>
                <w:rFonts w:ascii="Times New Roman" w:hAnsi="Times New Roman"/>
                <w:sz w:val="18"/>
                <w:szCs w:val="18"/>
              </w:rPr>
              <w:t xml:space="preserve"> su žiniomis organizacijoje, tai žinių: įgijimas, kūrimas, sisteminimas, kaupimas, skleidimas, panaudojimas ir t.t.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Šajeva (2009)</w:t>
            </w:r>
          </w:p>
        </w:tc>
        <w:tc>
          <w:tcPr>
            <w:tcW w:w="2694"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ekonomika yra ekonomika, kurioje didžiausias turtas yra žinios, žinios yra tai kas parduodama ir kas perkama, o IKT yra žinių ekonomikos pamatas.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Modimogale ir Kroeze (2009)</w:t>
            </w:r>
          </w:p>
        </w:tc>
        <w:tc>
          <w:tcPr>
            <w:tcW w:w="2693"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yra kolektyvinių žinių organizacijoje </w:t>
            </w:r>
            <w:r w:rsidR="0004279E">
              <w:rPr>
                <w:rFonts w:ascii="Times New Roman" w:hAnsi="Times New Roman"/>
                <w:sz w:val="18"/>
                <w:szCs w:val="18"/>
              </w:rPr>
              <w:t>išryškin</w:t>
            </w:r>
            <w:r w:rsidR="0004279E" w:rsidRPr="006740E5">
              <w:rPr>
                <w:rFonts w:ascii="Times New Roman" w:hAnsi="Times New Roman"/>
                <w:sz w:val="18"/>
                <w:szCs w:val="18"/>
              </w:rPr>
              <w:t>imas</w:t>
            </w:r>
            <w:r w:rsidRPr="006740E5">
              <w:rPr>
                <w:rFonts w:ascii="Times New Roman" w:hAnsi="Times New Roman"/>
                <w:sz w:val="18"/>
                <w:szCs w:val="18"/>
              </w:rPr>
              <w:t xml:space="preserve"> ir fiksavimas įgyvendinamas per inovatyvios, turimų žmogiškųjų išteklių savybes atitinkančios, organizacinės kultūros sukūrimą. Ishak et al. (2009)</w:t>
            </w:r>
          </w:p>
        </w:tc>
      </w:tr>
      <w:tr w:rsidR="00C66C7D" w:rsidRPr="006740E5" w:rsidTr="008222E8">
        <w:trPr>
          <w:trHeight w:val="297"/>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p>
        </w:tc>
        <w:tc>
          <w:tcPr>
            <w:tcW w:w="2551"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organizacijoje tai tam tikra metodologiją vartotojų žinių įgijimui siekiant savo produkciją pritaikyti prie vartotojų poreikių.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ALHawari et al. (2008)</w:t>
            </w:r>
          </w:p>
        </w:tc>
        <w:tc>
          <w:tcPr>
            <w:tcW w:w="2694"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ekonomikoje žinios, inovacijos, kūrybiškumas, intelektinis kapitalas ir kitas nematerialus turtas </w:t>
            </w:r>
            <w:r w:rsidR="0004279E">
              <w:rPr>
                <w:rFonts w:ascii="Times New Roman" w:hAnsi="Times New Roman"/>
                <w:sz w:val="18"/>
                <w:szCs w:val="18"/>
              </w:rPr>
              <w:t>pripažįs</w:t>
            </w:r>
            <w:r w:rsidR="0004279E" w:rsidRPr="006740E5">
              <w:rPr>
                <w:rFonts w:ascii="Times New Roman" w:hAnsi="Times New Roman"/>
                <w:sz w:val="18"/>
                <w:szCs w:val="18"/>
              </w:rPr>
              <w:t>tamas</w:t>
            </w:r>
            <w:r w:rsidRPr="006740E5">
              <w:rPr>
                <w:rFonts w:ascii="Times New Roman" w:hAnsi="Times New Roman"/>
                <w:sz w:val="18"/>
                <w:szCs w:val="18"/>
              </w:rPr>
              <w:t xml:space="preserve"> esminiu ekonominiam augimui ir plėtrai. Neagu et al. (2009)</w:t>
            </w: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Kolektyvinės žinios yra pagrindas žinių vadyboje siekiant inovatyvių procesų organizacijoje sukūrimo.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Zand ir van Beers (2009)</w:t>
            </w:r>
          </w:p>
        </w:tc>
      </w:tr>
      <w:tr w:rsidR="00C66C7D" w:rsidRPr="006740E5" w:rsidTr="008222E8">
        <w:trPr>
          <w:trHeight w:val="535"/>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p>
        </w:tc>
        <w:tc>
          <w:tcPr>
            <w:tcW w:w="2551"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yra verslo procesas, kuriame subjekto efektyvumui svarbiausias yra žinių įgijimo etapas.</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Daud ir Yusuf (2008)</w:t>
            </w:r>
          </w:p>
        </w:tc>
        <w:tc>
          <w:tcPr>
            <w:tcW w:w="2694"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ekonomikoje sėkmingai ir nesėkmingai veikiančias įmones atskiria gebėjimas ar negebėjimas inovatyviais būdais tvarkyti žinių išteklius.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Rehman et al. (2009)</w:t>
            </w: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 individo žinių perkėlimas į organizacijos lygmenį. Žinių vadyba orientuojasi į kolektyvines žinias kaip į pagrindinį organizacijos turtą. Crowford ir Barra (2009)</w:t>
            </w:r>
          </w:p>
        </w:tc>
      </w:tr>
      <w:tr w:rsidR="00C66C7D" w:rsidRPr="006740E5" w:rsidTr="008222E8">
        <w:trPr>
          <w:trHeight w:val="70"/>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p>
        </w:tc>
        <w:tc>
          <w:tcPr>
            <w:tcW w:w="2551"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yra formalizuotas ir aktyvus būdas valdyti žinių išteklius organizacijoje. Wong ir Chong (2009)</w:t>
            </w:r>
          </w:p>
        </w:tc>
        <w:tc>
          <w:tcPr>
            <w:tcW w:w="2694"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ekonomika, tai ekonomika, kurioje tvarumą užtikrina efektyvi žinių išteklių vadyba organizacijoje.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Nejati et al. (2009)</w:t>
            </w: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Į žinių ekonomiką visuomenę atvedė individualiomis ir kolektyvinėmis žiniomis paremtų technologijų sukūrimas.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Sheikh (2008)</w:t>
            </w:r>
          </w:p>
        </w:tc>
      </w:tr>
      <w:tr w:rsidR="00C66C7D" w:rsidRPr="006740E5" w:rsidTr="008222E8">
        <w:trPr>
          <w:trHeight w:val="70"/>
        </w:trPr>
        <w:tc>
          <w:tcPr>
            <w:tcW w:w="1985" w:type="dxa"/>
            <w:vAlign w:val="center"/>
          </w:tcPr>
          <w:p w:rsidR="00C66C7D" w:rsidRPr="006740E5" w:rsidRDefault="00C66C7D" w:rsidP="008222E8">
            <w:pPr>
              <w:spacing w:after="0" w:line="240" w:lineRule="auto"/>
              <w:jc w:val="both"/>
              <w:rPr>
                <w:rFonts w:ascii="Times New Roman" w:hAnsi="Times New Roman"/>
                <w:sz w:val="18"/>
                <w:szCs w:val="18"/>
              </w:rPr>
            </w:pPr>
          </w:p>
        </w:tc>
        <w:tc>
          <w:tcPr>
            <w:tcW w:w="2551"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yra metodologija, įrankiai ir technika rinkti, sisteminti ir skleisti žinias. Nicolae (2009)</w:t>
            </w:r>
          </w:p>
        </w:tc>
        <w:tc>
          <w:tcPr>
            <w:tcW w:w="2694" w:type="dxa"/>
            <w:vAlign w:val="center"/>
          </w:tcPr>
          <w:p w:rsidR="00C66C7D" w:rsidRPr="006740E5" w:rsidRDefault="00C66C7D" w:rsidP="008222E8">
            <w:pPr>
              <w:spacing w:after="0" w:line="240" w:lineRule="auto"/>
              <w:jc w:val="both"/>
              <w:rPr>
                <w:rFonts w:ascii="Times New Roman" w:hAnsi="Times New Roman"/>
                <w:sz w:val="18"/>
                <w:szCs w:val="18"/>
              </w:rPr>
            </w:pPr>
          </w:p>
        </w:tc>
        <w:tc>
          <w:tcPr>
            <w:tcW w:w="2693" w:type="dxa"/>
            <w:vAlign w:val="center"/>
          </w:tcPr>
          <w:p w:rsidR="00C66C7D" w:rsidRPr="006740E5" w:rsidRDefault="00C66C7D" w:rsidP="008222E8">
            <w:pPr>
              <w:spacing w:after="0" w:line="240" w:lineRule="auto"/>
              <w:jc w:val="both"/>
              <w:rPr>
                <w:rFonts w:ascii="Times New Roman" w:hAnsi="Times New Roman"/>
                <w:sz w:val="18"/>
                <w:szCs w:val="18"/>
              </w:rPr>
            </w:pPr>
          </w:p>
        </w:tc>
      </w:tr>
      <w:tr w:rsidR="00C66C7D" w:rsidRPr="006740E5" w:rsidTr="008222E8">
        <w:trPr>
          <w:trHeight w:val="425"/>
        </w:trPr>
        <w:tc>
          <w:tcPr>
            <w:tcW w:w="1985"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c>
          <w:tcPr>
            <w:tcW w:w="2551"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yra procesas, kurio metu atpažįstamas, fiksuojamas, sisteminamas ir skleidžiamas intelektinis kapitalas turintis kritinį poveikį subjekto veiklos rezultatams ilgalaikėje perspektyvoje.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Debrowski (2006)</w:t>
            </w:r>
          </w:p>
        </w:tc>
        <w:tc>
          <w:tcPr>
            <w:tcW w:w="2694"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c>
          <w:tcPr>
            <w:tcW w:w="2693"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B3003B">
      <w:pPr>
        <w:spacing w:after="0" w:line="360" w:lineRule="auto"/>
        <w:ind w:firstLine="567"/>
        <w:jc w:val="both"/>
        <w:rPr>
          <w:rFonts w:ascii="Times New Roman" w:hAnsi="Times New Roman"/>
          <w:sz w:val="12"/>
          <w:szCs w:val="12"/>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į žinių išteklius (žr. 7 lentelę) atskleidė žinių reikšmingumą ekonominėje veikloje, kurį vadybinės </w:t>
      </w:r>
      <w:r w:rsidRPr="006740E5">
        <w:rPr>
          <w:rFonts w:ascii="Times New Roman" w:hAnsi="Times New Roman"/>
          <w:sz w:val="24"/>
          <w:szCs w:val="24"/>
        </w:rPr>
        <w:br/>
        <w:t xml:space="preserve">ir ekonominės studijos vertina skirtingai. Vadybinės studijos žinių išteklius vertina kaip tą išteklių, kuris yra išgaunamas iš organizacijos narių ir naudojamas jos veiklai optimizuoti. Ekonominės studijos </w:t>
      </w:r>
      <w:r w:rsidRPr="006740E5">
        <w:rPr>
          <w:rFonts w:ascii="Times New Roman" w:hAnsi="Times New Roman"/>
          <w:sz w:val="24"/>
          <w:szCs w:val="24"/>
        </w:rPr>
        <w:lastRenderedPageBreak/>
        <w:t xml:space="preserve">žinių išteklius vertina kiek plačiau – žinių ištekliai tai yra ne tik tai, kas sukuria galimybę verslo subjektui sėkmingai veikti, tačiau tai, kas verslo subjektą išskiria iš konkurentų kaip pirmaujantį </w:t>
      </w:r>
      <w:r w:rsidRPr="006740E5">
        <w:rPr>
          <w:rFonts w:ascii="Times New Roman" w:hAnsi="Times New Roman"/>
          <w:sz w:val="24"/>
          <w:szCs w:val="24"/>
        </w:rPr>
        <w:br/>
        <w:t xml:space="preserve">(jei žinių ištekliai inovatyviai taikomi). Rinkoms globalėjant atsiranda galimybės plačiam bendradarbiavimui, taip pat mažėja galimybės sėkmingai individualiai veiklai, todėl pradedama </w:t>
      </w:r>
      <w:r w:rsidRPr="006740E5">
        <w:rPr>
          <w:rFonts w:ascii="Times New Roman" w:hAnsi="Times New Roman"/>
          <w:sz w:val="24"/>
          <w:szCs w:val="24"/>
        </w:rPr>
        <w:br/>
        <w:t xml:space="preserve">vis dažniau naujų žinių kūrimą sieti su kolektyviškumu. Kol kas autoriai kolektyvinį žinių kūrimą </w:t>
      </w:r>
      <w:r w:rsidRPr="006740E5">
        <w:rPr>
          <w:rFonts w:ascii="Times New Roman" w:hAnsi="Times New Roman"/>
          <w:sz w:val="24"/>
          <w:szCs w:val="24"/>
        </w:rPr>
        <w:br/>
        <w:t xml:space="preserve">dar akcentuoja kaip organizacijos vidinį procesą, tačiau į tai jau žvelgia iš visos ekonomikos perspektyvos taip pamažu įvesdami naują ekonomikos sampratą kaip Wiki ekonomiką. </w:t>
      </w:r>
      <w:r w:rsidRPr="006740E5">
        <w:rPr>
          <w:rFonts w:ascii="Times New Roman" w:hAnsi="Times New Roman"/>
          <w:sz w:val="24"/>
          <w:szCs w:val="24"/>
        </w:rPr>
        <w:br/>
        <w:t>Pašto sektoriaus tyrimų šia tematika aptikti nepavyko.</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8 lentelė. Naujų žinių taikymo komercinei naudai gauti procesų suvokimo analizė</w:t>
      </w:r>
      <w:r w:rsidRPr="006740E5">
        <w:rPr>
          <w:rFonts w:ascii="Times New Roman" w:hAnsi="Times New Roman"/>
          <w:b/>
          <w:sz w:val="24"/>
          <w:szCs w:val="24"/>
        </w:rPr>
        <w:br/>
        <w:t>pagal orientaciją į strategijos kūrimą</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2694"/>
        <w:gridCol w:w="3827"/>
        <w:gridCol w:w="3402"/>
      </w:tblGrid>
      <w:tr w:rsidR="00C66C7D" w:rsidRPr="006740E5" w:rsidTr="008222E8">
        <w:trPr>
          <w:trHeight w:val="210"/>
        </w:trPr>
        <w:tc>
          <w:tcPr>
            <w:tcW w:w="2694"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3827"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c>
          <w:tcPr>
            <w:tcW w:w="3402"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ekonomikos studijose</w:t>
            </w:r>
          </w:p>
        </w:tc>
      </w:tr>
      <w:tr w:rsidR="00C66C7D" w:rsidRPr="006740E5" w:rsidTr="008222E8">
        <w:trPr>
          <w:trHeight w:val="207"/>
        </w:trPr>
        <w:tc>
          <w:tcPr>
            <w:tcW w:w="2694"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3827"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3402"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r>
      <w:tr w:rsidR="00C66C7D" w:rsidRPr="006740E5" w:rsidTr="008222E8">
        <w:trPr>
          <w:trHeight w:val="395"/>
        </w:trPr>
        <w:tc>
          <w:tcPr>
            <w:tcW w:w="2694"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Inovacijų vadyba tai strateginis inovacijų diegimas organizacijoje. Wei ir Ismail (2009)</w:t>
            </w:r>
          </w:p>
        </w:tc>
        <w:tc>
          <w:tcPr>
            <w:tcW w:w="3827"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Žiniomis paremtos strategijos kūrimas organizacijai palengvina užsibrėžtos misijos ir vizijos įgyvendinimą.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Ahmad ir Idris (2008)</w:t>
            </w:r>
          </w:p>
        </w:tc>
        <w:tc>
          <w:tcPr>
            <w:tcW w:w="3402"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ekonomikoje siekiant sėkmingai dalyvauti yra būtina kurti žiniomis paremtas ir visus verslo procesus integruojančias strategijas. Taib et al. (2008)</w:t>
            </w:r>
          </w:p>
        </w:tc>
      </w:tr>
      <w:tr w:rsidR="00C66C7D" w:rsidRPr="006740E5" w:rsidTr="008222E8">
        <w:trPr>
          <w:trHeight w:val="70"/>
        </w:trPr>
        <w:tc>
          <w:tcPr>
            <w:tcW w:w="2694"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Aukštųjų technologijų inovacijos versle yra būtinos paremti inovatyvias strategijas.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Micu et al. (2009)</w:t>
            </w:r>
          </w:p>
        </w:tc>
        <w:tc>
          <w:tcPr>
            <w:tcW w:w="3827"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yra sąmoninga, </w:t>
            </w:r>
            <w:r w:rsidR="0004279E">
              <w:rPr>
                <w:rFonts w:ascii="Times New Roman" w:hAnsi="Times New Roman"/>
                <w:sz w:val="18"/>
                <w:szCs w:val="18"/>
              </w:rPr>
              <w:t>sisteminė</w:t>
            </w:r>
            <w:r w:rsidRPr="006740E5">
              <w:rPr>
                <w:rFonts w:ascii="Times New Roman" w:hAnsi="Times New Roman"/>
                <w:sz w:val="18"/>
                <w:szCs w:val="18"/>
              </w:rPr>
              <w:t xml:space="preserve"> verslo optimizavimo strategija, kuri tokiu būdu tvarko subjekto žinių srautus, kuris leidžia darbuotojams efektyviau atlikti užduotis ir įmonei sėkmingiau konkuruoti rinkoje. Bergaron (2003)</w:t>
            </w:r>
          </w:p>
        </w:tc>
        <w:tc>
          <w:tcPr>
            <w:tcW w:w="3402"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ekonomikoje </w:t>
            </w:r>
            <w:r w:rsidR="0004279E">
              <w:rPr>
                <w:rFonts w:ascii="Times New Roman" w:hAnsi="Times New Roman"/>
                <w:sz w:val="18"/>
                <w:szCs w:val="18"/>
              </w:rPr>
              <w:t>val</w:t>
            </w:r>
            <w:r w:rsidR="0004279E" w:rsidRPr="006740E5">
              <w:rPr>
                <w:rFonts w:ascii="Times New Roman" w:hAnsi="Times New Roman"/>
                <w:sz w:val="18"/>
                <w:szCs w:val="18"/>
              </w:rPr>
              <w:t>stybės</w:t>
            </w:r>
            <w:r w:rsidRPr="006740E5">
              <w:rPr>
                <w:rFonts w:ascii="Times New Roman" w:hAnsi="Times New Roman"/>
                <w:sz w:val="18"/>
                <w:szCs w:val="18"/>
              </w:rPr>
              <w:t xml:space="preserve"> veikia pagal strateginius planus žinių, inovacijų, technologijų ir sprendimo procesų efektyvumo siekimui taikant jau turimas žinias. Nejati ir Nejati (2009)</w:t>
            </w:r>
          </w:p>
        </w:tc>
      </w:tr>
      <w:tr w:rsidR="00C66C7D" w:rsidRPr="006740E5" w:rsidTr="008222E8">
        <w:trPr>
          <w:trHeight w:val="70"/>
        </w:trPr>
        <w:tc>
          <w:tcPr>
            <w:tcW w:w="2694"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Strateginio valdymo priemonės yra būtinos siekiant efektyvaus inovatyvių sprendimų įgyvendinimo.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Munian ir Subramanian (2009)</w:t>
            </w:r>
          </w:p>
        </w:tc>
        <w:tc>
          <w:tcPr>
            <w:tcW w:w="3827"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Žinių vadyba yra metodai taikomi siekiant sėkmingos veiklos, kurių taikymui yra būtinas strateginis žinių vadybos, atskirų verslo procesų ir organizacinės infrastruktūros integravimas.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Masa’deh et al. (2008)</w:t>
            </w:r>
          </w:p>
        </w:tc>
        <w:tc>
          <w:tcPr>
            <w:tcW w:w="3402" w:type="dxa"/>
            <w:vAlign w:val="center"/>
          </w:tcPr>
          <w:p w:rsidR="00C66C7D" w:rsidRPr="006740E5" w:rsidRDefault="00C66C7D" w:rsidP="008222E8">
            <w:pPr>
              <w:spacing w:after="0" w:line="240" w:lineRule="auto"/>
              <w:jc w:val="both"/>
              <w:rPr>
                <w:rFonts w:ascii="Times New Roman" w:hAnsi="Times New Roman"/>
                <w:sz w:val="18"/>
                <w:szCs w:val="18"/>
              </w:rPr>
            </w:pPr>
          </w:p>
        </w:tc>
      </w:tr>
      <w:tr w:rsidR="00C66C7D" w:rsidRPr="006740E5" w:rsidTr="008222E8">
        <w:trPr>
          <w:trHeight w:val="70"/>
        </w:trPr>
        <w:tc>
          <w:tcPr>
            <w:tcW w:w="2694"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c>
          <w:tcPr>
            <w:tcW w:w="3827"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vadybos taikymas organizacijos veikloje ir jo efektyvumo pasėkoje sukuriamos naujos žinios tampančios organizacijos filosofijos gairėmis, kurios tam tikra linkme nukreipia organizacijos kuriamas strategijas. Ling ir Nasurdin (2009)</w:t>
            </w:r>
          </w:p>
        </w:tc>
        <w:tc>
          <w:tcPr>
            <w:tcW w:w="3402"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B3003B">
      <w:pPr>
        <w:spacing w:after="0" w:line="360" w:lineRule="auto"/>
        <w:ind w:firstLine="567"/>
        <w:jc w:val="both"/>
        <w:rPr>
          <w:rFonts w:ascii="Times New Roman" w:hAnsi="Times New Roman"/>
          <w:sz w:val="12"/>
          <w:szCs w:val="12"/>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w:t>
      </w:r>
      <w:r w:rsidRPr="006740E5">
        <w:rPr>
          <w:rFonts w:ascii="Times New Roman" w:hAnsi="Times New Roman"/>
          <w:sz w:val="24"/>
          <w:szCs w:val="24"/>
        </w:rPr>
        <w:br/>
        <w:t xml:space="preserve">į strategijos kūrimą (žr. 8 lentelę) atskleidė, kad vadybinėse, kaip labiau su organizacijos vidaus procesais susijusiose, studijose naujų žinių taikymas yra plačiau analizuojamas nei ekonominėse studijose. Šioje analizėje, priešingai nei pirmiau atliktose (žr. 2, 3, 4, 5, 6, 7 lenteles), pastebimas ryškus skirtumas tarp analizuojamų vadybinių studijų – inovacijų vadybos studijos labiau akcentuoja strateginį inovacijų diegimą, kai žinių vadybos studijos daugiau orientuojasi į pačių strategijų kūrimą inovatyviais būdais. Baptiste (2004) ir Collard (1972) analizuodami pašto paslaugų teikimo efektyvumą didžiausią dėmesį skyrė veiklos strategijoms. Baptiste (2004) įvardijo keturias esmines strategijas, kurios turi būti įgyvendinamos siekiant efektyvios veiklos ir aukštos pašto paslaugų kokybės, tai: a) Mūsų žmonės (darbuotojai ir jų atliekamos pareigos turi būti suderinti optimaliausiai, užtikrinta laisvė veikti, tačiau paliekant atskaitomybę ir t. t.); b) Mūsų klientai </w:t>
      </w:r>
      <w:r w:rsidRPr="006740E5">
        <w:rPr>
          <w:rFonts w:ascii="Times New Roman" w:hAnsi="Times New Roman"/>
          <w:sz w:val="24"/>
          <w:szCs w:val="24"/>
        </w:rPr>
        <w:br/>
        <w:t xml:space="preserve">(siekis užtikrinti klientų poreikius, teikti aukštos kokybės paslaugas ir t. t.); c) Mūsų verslumas (aktyvios komercinės veiklos vykdymas, pelno siekimas ir t. t.); d) Mūsų ateitis (inovacijų diegimas – </w:t>
      </w:r>
      <w:r w:rsidRPr="006740E5">
        <w:rPr>
          <w:rFonts w:ascii="Times New Roman" w:hAnsi="Times New Roman"/>
          <w:sz w:val="24"/>
          <w:szCs w:val="24"/>
        </w:rPr>
        <w:lastRenderedPageBreak/>
        <w:t xml:space="preserve">patalpų modernizavimas, naujų idėjų plėtra ir t. t.). Collard (1972) analizavo pašto paslaugų teikėjų veiklos liberalizavimą, išskyrė naudas ir nustatė, kad visiems valstybiniams pašto paslaugų teikėjams gali būti taikomas vienas reformos tipas, nes visiems valstybiniams pašto paslaugų teikėjams yra būdingas organizacijos biurokratizmas, kurį ir reikia panaikinti siekiant efektyvios veiklos. </w:t>
      </w:r>
      <w:r w:rsidRPr="006740E5">
        <w:rPr>
          <w:rFonts w:ascii="Times New Roman" w:hAnsi="Times New Roman"/>
          <w:sz w:val="24"/>
          <w:szCs w:val="24"/>
        </w:rPr>
        <w:br/>
        <w:t xml:space="preserve">Parker (1994), Geddes (2005), Kenny (2005), Maclachlan (2006) savo tyrimuose akcentavo privatizavimo būtinybę siekiant efektyvaus valstybinio pašto paslaugų teikėjo veiklos organizavimo </w:t>
      </w:r>
      <w:r w:rsidRPr="006740E5">
        <w:rPr>
          <w:rFonts w:ascii="Times New Roman" w:hAnsi="Times New Roman"/>
          <w:sz w:val="24"/>
          <w:szCs w:val="24"/>
        </w:rPr>
        <w:br/>
        <w:t xml:space="preserve">ir paslaugų teikimo, tačiau Collard (1972) ištyrė Belgijos, Jungtinių Amerikos Valstijų ir Didžiosios Britanijos atvejus, kuriuose buvo įvykdytos reformos siekiant panaikinti biurokratines pašto paslaugų teikimo procedūras ir tyrimo rezultatų pasėkoje autoriaus pateiktos prielaidos dėl biurokratinių pašto paslaugų teikimo organizavimo procedūrų kaip reikšmingiausio trukdžio sėkmingoje pašto paslaugų teikėjų veikloje visiškai pasitvirtino – visose tirtose valstybėse šiuo metu pašto paslaugos </w:t>
      </w:r>
      <w:r w:rsidRPr="006740E5">
        <w:rPr>
          <w:rFonts w:ascii="Times New Roman" w:hAnsi="Times New Roman"/>
          <w:sz w:val="24"/>
          <w:szCs w:val="24"/>
        </w:rPr>
        <w:br/>
        <w:t>yra teikiamos itin moderniai ir labai aukšto lyg. Didžiojoje Britanijoje ši sėkmė buvo pasiekta privatizavus valstybinį, pašto paslaugų teikėją, tačiau nustačius, kad didžiausias sėkmei kelią užkertantis veiksnys yra biurokratiniai procesai trukdantys taikyti inovatyvius sprendimus, Lietuvoje valstybinio pašto paslaugų teikėjo nėra būtina Valstijų gerąja praktika sprendžiant biurokratinių procesų sukeliamas problemas siekiant taikyti inovatyvias strategijas valstybinių pašto paslaugų teikėjų veiklos organizavime.</w:t>
      </w:r>
    </w:p>
    <w:p w:rsidR="00C66C7D" w:rsidRPr="006740E5" w:rsidRDefault="00C66C7D" w:rsidP="00AD36AA">
      <w:pPr>
        <w:spacing w:before="200" w:line="240" w:lineRule="auto"/>
        <w:jc w:val="center"/>
        <w:rPr>
          <w:rFonts w:ascii="Times New Roman" w:hAnsi="Times New Roman"/>
          <w:sz w:val="24"/>
          <w:szCs w:val="24"/>
        </w:rPr>
      </w:pPr>
      <w:r w:rsidRPr="006740E5">
        <w:rPr>
          <w:rFonts w:ascii="Times New Roman" w:hAnsi="Times New Roman"/>
          <w:b/>
          <w:sz w:val="24"/>
          <w:szCs w:val="24"/>
        </w:rPr>
        <w:t>9 lentelė. Naujų žinių taikymo komercinei naudai gauti procesų suvokimo analizė</w:t>
      </w:r>
      <w:r w:rsidRPr="006740E5">
        <w:rPr>
          <w:rFonts w:ascii="Times New Roman" w:hAnsi="Times New Roman"/>
          <w:b/>
          <w:sz w:val="24"/>
          <w:szCs w:val="24"/>
        </w:rPr>
        <w:br/>
        <w:t>pagal orientaciją į verslo procesų integravimą</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0A0"/>
      </w:tblPr>
      <w:tblGrid>
        <w:gridCol w:w="4962"/>
        <w:gridCol w:w="4961"/>
      </w:tblGrid>
      <w:tr w:rsidR="00C66C7D" w:rsidRPr="006740E5" w:rsidTr="008222E8">
        <w:trPr>
          <w:trHeight w:val="210"/>
        </w:trPr>
        <w:tc>
          <w:tcPr>
            <w:tcW w:w="4962"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Inovacijų vadybos studijose</w:t>
            </w:r>
          </w:p>
        </w:tc>
        <w:tc>
          <w:tcPr>
            <w:tcW w:w="4961" w:type="dxa"/>
            <w:vMerge w:val="restart"/>
            <w:tcBorders>
              <w:top w:val="single" w:sz="12" w:space="0" w:color="auto"/>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b/>
                <w:sz w:val="18"/>
                <w:szCs w:val="18"/>
              </w:rPr>
            </w:pPr>
            <w:r w:rsidRPr="006740E5">
              <w:rPr>
                <w:rFonts w:ascii="Times New Roman" w:hAnsi="Times New Roman"/>
                <w:b/>
                <w:sz w:val="18"/>
                <w:szCs w:val="18"/>
              </w:rPr>
              <w:t>Žinių vadybos studijose</w:t>
            </w:r>
          </w:p>
        </w:tc>
      </w:tr>
      <w:tr w:rsidR="00C66C7D" w:rsidRPr="006740E5" w:rsidTr="008222E8">
        <w:trPr>
          <w:trHeight w:val="207"/>
        </w:trPr>
        <w:tc>
          <w:tcPr>
            <w:tcW w:w="4962"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c>
          <w:tcPr>
            <w:tcW w:w="4961" w:type="dxa"/>
            <w:vMerge/>
            <w:tcBorders>
              <w:bottom w:val="single" w:sz="12" w:space="0" w:color="auto"/>
            </w:tcBorders>
            <w:shd w:val="pct5" w:color="auto" w:fill="auto"/>
            <w:vAlign w:val="center"/>
          </w:tcPr>
          <w:p w:rsidR="00C66C7D" w:rsidRPr="006740E5" w:rsidRDefault="00C66C7D" w:rsidP="008222E8">
            <w:pPr>
              <w:spacing w:after="0" w:line="240" w:lineRule="auto"/>
              <w:jc w:val="center"/>
              <w:rPr>
                <w:rFonts w:ascii="Times New Roman" w:hAnsi="Times New Roman"/>
                <w:sz w:val="18"/>
                <w:szCs w:val="18"/>
              </w:rPr>
            </w:pPr>
          </w:p>
        </w:tc>
      </w:tr>
      <w:tr w:rsidR="00C66C7D" w:rsidRPr="006740E5" w:rsidTr="008222E8">
        <w:trPr>
          <w:trHeight w:val="706"/>
        </w:trPr>
        <w:tc>
          <w:tcPr>
            <w:tcW w:w="4962"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Inovacijų vadybos taikymas organizacijoje sukurią nuoseklų visos organizacijos tobulėjimą ir leidžia veikti pelningiau nei tiesiog kruopščiai dirbančioms įmonėms.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Shetty ir Shingi (2009)</w:t>
            </w:r>
          </w:p>
        </w:tc>
        <w:tc>
          <w:tcPr>
            <w:tcW w:w="4961" w:type="dxa"/>
            <w:tcBorders>
              <w:top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vadyba yra žinių, glūdinčių organizacijos procesuose, technologijose ir darbuotojuose, atpažinimas ir apsikeitimas siekiant paskatinti organizacijos sėkmingą konkuravimą, žinių vadybos procesas gali būti paremtas informacinėmis technologijomis. Žinių vadybos sėkmę lemiantys veiksniai: lyderystė, organizacijos kultūra, darbuotojų veikla, informacinės technologijos. Ahmad et al. (2009)</w:t>
            </w:r>
          </w:p>
        </w:tc>
      </w:tr>
      <w:tr w:rsidR="00C66C7D" w:rsidRPr="006740E5" w:rsidTr="008222E8">
        <w:trPr>
          <w:trHeight w:val="547"/>
        </w:trPr>
        <w:tc>
          <w:tcPr>
            <w:tcW w:w="4962"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|Inovacijų vadyba yra procesas atnešantis staigius ir reikšmingus teigiamus pokyčius visai organizacijai (vidaus procesų sureguliavimui, santykių su klientais palaikymui ir t. t.).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Arina (2009)</w:t>
            </w:r>
          </w:p>
        </w:tc>
        <w:tc>
          <w:tcPr>
            <w:tcW w:w="4961" w:type="dxa"/>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Žinių vadybos taikymas organizacijos veikloje sukuria galimybes pilnai išnaudoti organizacijos žinių potencialą, taip sukuriant sąlygas organizacijai mokytis iš aplinkos ir integruoti jau turimas ir iš aplinkos gaunamas naujas žinias į verslo procesus siekiant didesnio jų efektyvumo. Razak (2009)</w:t>
            </w:r>
          </w:p>
        </w:tc>
      </w:tr>
      <w:tr w:rsidR="00C66C7D" w:rsidRPr="006740E5" w:rsidTr="008222E8">
        <w:trPr>
          <w:trHeight w:val="396"/>
        </w:trPr>
        <w:tc>
          <w:tcPr>
            <w:tcW w:w="4962"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 xml:space="preserve">Vadybiniai procesai organizacijoje turi reikšmingą poveikį technologinių inovacijų sukuriamai naudai. </w:t>
            </w:r>
          </w:p>
          <w:p w:rsidR="00C66C7D" w:rsidRPr="006740E5" w:rsidRDefault="00C66C7D" w:rsidP="008222E8">
            <w:pPr>
              <w:spacing w:after="0" w:line="240" w:lineRule="auto"/>
              <w:jc w:val="both"/>
              <w:rPr>
                <w:rFonts w:ascii="Times New Roman" w:hAnsi="Times New Roman"/>
                <w:sz w:val="18"/>
                <w:szCs w:val="18"/>
              </w:rPr>
            </w:pPr>
            <w:r w:rsidRPr="006740E5">
              <w:rPr>
                <w:rFonts w:ascii="Times New Roman" w:hAnsi="Times New Roman"/>
                <w:sz w:val="18"/>
                <w:szCs w:val="18"/>
              </w:rPr>
              <w:t>Annavarjula et al. (2008)</w:t>
            </w:r>
          </w:p>
        </w:tc>
        <w:tc>
          <w:tcPr>
            <w:tcW w:w="4961" w:type="dxa"/>
            <w:tcBorders>
              <w:bottom w:val="single" w:sz="12" w:space="0" w:color="auto"/>
            </w:tcBorders>
            <w:vAlign w:val="center"/>
          </w:tcPr>
          <w:p w:rsidR="00C66C7D" w:rsidRPr="006740E5" w:rsidRDefault="00C66C7D" w:rsidP="008222E8">
            <w:pPr>
              <w:spacing w:after="0" w:line="240" w:lineRule="auto"/>
              <w:jc w:val="both"/>
              <w:rPr>
                <w:rFonts w:ascii="Times New Roman" w:hAnsi="Times New Roman"/>
                <w:sz w:val="18"/>
                <w:szCs w:val="18"/>
              </w:rPr>
            </w:pPr>
          </w:p>
        </w:tc>
      </w:tr>
    </w:tbl>
    <w:p w:rsidR="00C66C7D" w:rsidRPr="006740E5" w:rsidRDefault="00C66C7D" w:rsidP="007C0CB8">
      <w:pPr>
        <w:spacing w:after="0" w:line="360" w:lineRule="auto"/>
        <w:ind w:firstLine="567"/>
        <w:jc w:val="both"/>
        <w:rPr>
          <w:rFonts w:ascii="Times New Roman" w:hAnsi="Times New Roman"/>
          <w:sz w:val="24"/>
          <w:szCs w:val="24"/>
        </w:rPr>
      </w:pPr>
    </w:p>
    <w:p w:rsidR="00C66C7D" w:rsidRPr="006740E5" w:rsidRDefault="00C66C7D" w:rsidP="009F36F4">
      <w:pPr>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pagal orientaciją į verslo procesų integravimą (žr. 9 lentelę) atskleidė, kad verslo procesų integravimo teigiamas poveikis analizuojamas tik organizacijos lygmeniu – verslo procesų integravimo poveikis ekonominių lygmeniu dar nėra laikomas aktualiu. Visų verslo procesų integravimas taikant naujas žinias organizacijoje sukuria sinerginį efektą, kurio pasėkoje ne tik inovacija tampa sėkmingesnė, tačiau ir visos organizacijos veikla tampa sisteminė, todėl ir efektyvesnė ne tik inovacijos taikymo sferoje, </w:t>
      </w:r>
      <w:r w:rsidRPr="006740E5">
        <w:rPr>
          <w:rFonts w:ascii="Times New Roman" w:hAnsi="Times New Roman"/>
          <w:sz w:val="24"/>
          <w:szCs w:val="24"/>
        </w:rPr>
        <w:br/>
      </w:r>
      <w:r w:rsidRPr="006740E5">
        <w:rPr>
          <w:rFonts w:ascii="Times New Roman" w:hAnsi="Times New Roman"/>
          <w:sz w:val="24"/>
          <w:szCs w:val="24"/>
        </w:rPr>
        <w:lastRenderedPageBreak/>
        <w:t xml:space="preserve">bet ir kitose organizacijos veiklos srityse. Autorių nustatytas teigiamas verslo procesų integravimo poveikis ne tik inovacijos taikymui, bet ir visai organizacijos veiklai, leidžia daryti išvadą, </w:t>
      </w:r>
      <w:r w:rsidR="00D9662F" w:rsidRPr="006740E5">
        <w:rPr>
          <w:rFonts w:ascii="Times New Roman" w:hAnsi="Times New Roman"/>
          <w:sz w:val="24"/>
          <w:szCs w:val="24"/>
        </w:rPr>
        <w:br/>
      </w:r>
      <w:r w:rsidRPr="006740E5">
        <w:rPr>
          <w:rFonts w:ascii="Times New Roman" w:hAnsi="Times New Roman"/>
          <w:sz w:val="24"/>
          <w:szCs w:val="24"/>
        </w:rPr>
        <w:t>kad reikšmingai daliai verslo subjektų rinkoje integravus visus jų veiklos procesus, kiekvieno jų individualiai gaunama nauda sumuojant bendrai patirtų tokį patį sinerginį poveikį ekonomikoje, kaip atskirų procesų integravimas sukuria organizacijos lygmenyje. Tačiau siekiant patvirtinti šią išvadą yra būtini gilesni verslo subjektų vidaus procesų integravimo suteikiamos naudos jiems ir tų naudų sinerginio poveikio ekonominio augimo rinkoje ryšiui nustatyti. Fish (1988) analizuodamas strategijų kūrimą ir pokyčių valdymą pašto sektoriuje didelį dėmesį atkreipė į visų, pašto paslaugų organizavime, atliekamų procesų integravimo svarbą siekiant sėkmingai prisitaikyti prie aplinkos pokyčių.</w:t>
      </w:r>
    </w:p>
    <w:p w:rsidR="00C66C7D" w:rsidRPr="006740E5" w:rsidRDefault="00C66C7D" w:rsidP="00352D64">
      <w:pPr>
        <w:spacing w:line="360" w:lineRule="auto"/>
        <w:ind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parodė, kad naujų žinių taikymą versle siekiant konkurencinio pranašumo, autoriai literatūroje įvardija net penkiomis skirtingomis sąvokomis. Visos sąvokos yra daugiau ar mažiau artimos viena kitai. </w:t>
      </w:r>
      <w:r w:rsidR="00D9662F" w:rsidRPr="006740E5">
        <w:rPr>
          <w:rFonts w:ascii="Times New Roman" w:hAnsi="Times New Roman"/>
          <w:sz w:val="24"/>
          <w:szCs w:val="24"/>
        </w:rPr>
        <w:br/>
      </w:r>
      <w:r w:rsidRPr="006740E5">
        <w:rPr>
          <w:rFonts w:ascii="Times New Roman" w:hAnsi="Times New Roman"/>
          <w:sz w:val="24"/>
          <w:szCs w:val="24"/>
        </w:rPr>
        <w:t>Vasauskaitė ir Krušinskas (2009) inovacijų ekonomiką ir žinių ekonomiką netgi įvardija kaip sinonimus, tačiau daugiau nagrinėjamų studijų įvardijimų sutapatinimų aptikti nepavyko. Autorių pateiktos naujų žinių taikymo komercinei naudai gauti studijų sampratos, naujų žinių taikymo komercinei naudai gauti studijas leidžia susisteminti hierarchiniu požiūriu atskaitos tašku imant pačias inovacijas (žr. 1 pav.).</w:t>
      </w:r>
    </w:p>
    <w:p w:rsidR="00C66C7D" w:rsidRPr="006740E5" w:rsidRDefault="00FB614B" w:rsidP="006D605D">
      <w:pPr>
        <w:spacing w:after="0" w:line="360" w:lineRule="auto"/>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3838575" cy="2021569"/>
            <wp:effectExtent l="19050" t="0" r="9525" b="0"/>
            <wp:docPr id="1" name="Picture 19" descr="s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r1.jpg"/>
                    <pic:cNvPicPr>
                      <a:picLocks noChangeAspect="1" noChangeArrowheads="1"/>
                    </pic:cNvPicPr>
                  </pic:nvPicPr>
                  <pic:blipFill>
                    <a:blip r:embed="rId9"/>
                    <a:srcRect/>
                    <a:stretch>
                      <a:fillRect/>
                    </a:stretch>
                  </pic:blipFill>
                  <pic:spPr bwMode="auto">
                    <a:xfrm>
                      <a:off x="0" y="0"/>
                      <a:ext cx="3838575" cy="2021569"/>
                    </a:xfrm>
                    <a:prstGeom prst="rect">
                      <a:avLst/>
                    </a:prstGeom>
                    <a:noFill/>
                    <a:ln w="9525">
                      <a:noFill/>
                      <a:miter lim="800000"/>
                      <a:headEnd/>
                      <a:tailEnd/>
                    </a:ln>
                  </pic:spPr>
                </pic:pic>
              </a:graphicData>
            </a:graphic>
          </wp:inline>
        </w:drawing>
      </w:r>
    </w:p>
    <w:p w:rsidR="00C66C7D" w:rsidRPr="006740E5" w:rsidRDefault="00C66C7D" w:rsidP="002A05BA">
      <w:pPr>
        <w:tabs>
          <w:tab w:val="left" w:pos="-6379"/>
        </w:tabs>
        <w:spacing w:after="0" w:line="240" w:lineRule="auto"/>
        <w:ind w:firstLine="2268"/>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6D605D">
      <w:pPr>
        <w:spacing w:line="240" w:lineRule="auto"/>
        <w:jc w:val="center"/>
        <w:rPr>
          <w:rFonts w:ascii="Times New Roman" w:hAnsi="Times New Roman"/>
          <w:sz w:val="24"/>
          <w:szCs w:val="24"/>
        </w:rPr>
      </w:pPr>
      <w:r w:rsidRPr="006740E5">
        <w:rPr>
          <w:rFonts w:ascii="Times New Roman" w:hAnsi="Times New Roman"/>
          <w:sz w:val="24"/>
          <w:szCs w:val="24"/>
        </w:rPr>
        <w:t xml:space="preserve">1pav. </w:t>
      </w:r>
      <w:r w:rsidRPr="006740E5">
        <w:rPr>
          <w:rFonts w:ascii="Times New Roman" w:hAnsi="Times New Roman"/>
          <w:b/>
          <w:sz w:val="24"/>
          <w:szCs w:val="24"/>
        </w:rPr>
        <w:t>Naujų žinių taikymo komercinei naudai gauti procesus nusakančių studijų ryšių analizė</w:t>
      </w:r>
    </w:p>
    <w:p w:rsidR="00C66C7D" w:rsidRPr="006740E5" w:rsidRDefault="00C66C7D" w:rsidP="000B1174">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procesų suvokimo analizė (žr. 1 lentelę) </w:t>
      </w:r>
      <w:r w:rsidRPr="006740E5">
        <w:rPr>
          <w:rFonts w:ascii="Times New Roman" w:hAnsi="Times New Roman"/>
          <w:sz w:val="24"/>
          <w:szCs w:val="24"/>
        </w:rPr>
        <w:br/>
        <w:t xml:space="preserve">ir naujų žinių taikymo komercinei naudai gauti procesų ir juos nusakančių studijų ryšių analizė </w:t>
      </w:r>
      <w:r w:rsidRPr="006740E5">
        <w:rPr>
          <w:rFonts w:ascii="Times New Roman" w:hAnsi="Times New Roman"/>
          <w:sz w:val="24"/>
          <w:szCs w:val="24"/>
        </w:rPr>
        <w:br/>
        <w:t xml:space="preserve">(žr. 1 pav.) parodė, kad inovacijos literatūroje yra analizuojamos keliais lygmenimis – inovacijos gali būti taikomos tiek ekonomikos plėtrai, tiek atskiriems ekonominės veiklos elementams, o tiksliau: ekonominiu (mėlyna spalva), organizacijos (žalia spalva) ir individo lygmenimis (geltona spalva) </w:t>
      </w:r>
      <w:r w:rsidRPr="006740E5">
        <w:rPr>
          <w:rFonts w:ascii="Times New Roman" w:hAnsi="Times New Roman"/>
          <w:sz w:val="24"/>
          <w:szCs w:val="24"/>
        </w:rPr>
        <w:br/>
        <w:t>(žr. 2 pav.).</w:t>
      </w:r>
    </w:p>
    <w:p w:rsidR="00C66C7D" w:rsidRPr="006740E5" w:rsidRDefault="00FB614B" w:rsidP="006D605D">
      <w:pPr>
        <w:pStyle w:val="ListParagraph"/>
        <w:spacing w:after="0" w:line="360" w:lineRule="auto"/>
        <w:ind w:left="0"/>
        <w:jc w:val="center"/>
        <w:rPr>
          <w:rFonts w:ascii="Times New Roman" w:hAnsi="Times New Roman"/>
          <w:sz w:val="24"/>
          <w:szCs w:val="24"/>
        </w:rPr>
      </w:pPr>
      <w:r w:rsidRPr="006740E5">
        <w:rPr>
          <w:rFonts w:ascii="Times New Roman" w:hAnsi="Times New Roman"/>
          <w:sz w:val="24"/>
          <w:szCs w:val="24"/>
          <w:lang w:eastAsia="lt-LT"/>
        </w:rPr>
        <w:lastRenderedPageBreak/>
        <w:drawing>
          <wp:inline distT="0" distB="0" distL="0" distR="0">
            <wp:extent cx="3770539" cy="1943100"/>
            <wp:effectExtent l="19050" t="0" r="1361" b="0"/>
            <wp:docPr id="2" name="Picture 21" descr="s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r2.jpg"/>
                    <pic:cNvPicPr>
                      <a:picLocks noChangeAspect="1" noChangeArrowheads="1"/>
                    </pic:cNvPicPr>
                  </pic:nvPicPr>
                  <pic:blipFill>
                    <a:blip r:embed="rId10"/>
                    <a:srcRect/>
                    <a:stretch>
                      <a:fillRect/>
                    </a:stretch>
                  </pic:blipFill>
                  <pic:spPr bwMode="auto">
                    <a:xfrm>
                      <a:off x="0" y="0"/>
                      <a:ext cx="3770539" cy="1943100"/>
                    </a:xfrm>
                    <a:prstGeom prst="rect">
                      <a:avLst/>
                    </a:prstGeom>
                    <a:noFill/>
                    <a:ln w="9525">
                      <a:noFill/>
                      <a:miter lim="800000"/>
                      <a:headEnd/>
                      <a:tailEnd/>
                    </a:ln>
                  </pic:spPr>
                </pic:pic>
              </a:graphicData>
            </a:graphic>
          </wp:inline>
        </w:drawing>
      </w:r>
    </w:p>
    <w:p w:rsidR="00C66C7D" w:rsidRPr="006740E5" w:rsidRDefault="00C66C7D" w:rsidP="009B65AD">
      <w:pPr>
        <w:tabs>
          <w:tab w:val="left" w:pos="-6379"/>
        </w:tabs>
        <w:spacing w:after="0" w:line="240" w:lineRule="auto"/>
        <w:ind w:firstLine="2268"/>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6D605D">
      <w:pPr>
        <w:pStyle w:val="ListParagraph"/>
        <w:spacing w:line="360" w:lineRule="auto"/>
        <w:ind w:left="0"/>
        <w:contextualSpacing w:val="0"/>
        <w:jc w:val="center"/>
        <w:rPr>
          <w:rFonts w:ascii="Times New Roman" w:hAnsi="Times New Roman"/>
          <w:b/>
          <w:sz w:val="24"/>
          <w:szCs w:val="24"/>
        </w:rPr>
      </w:pPr>
      <w:r w:rsidRPr="006740E5">
        <w:rPr>
          <w:rFonts w:ascii="Times New Roman" w:hAnsi="Times New Roman"/>
          <w:sz w:val="24"/>
          <w:szCs w:val="24"/>
        </w:rPr>
        <w:t xml:space="preserve">2 pav. </w:t>
      </w:r>
      <w:r w:rsidRPr="006740E5">
        <w:rPr>
          <w:rFonts w:ascii="Times New Roman" w:hAnsi="Times New Roman"/>
          <w:b/>
          <w:sz w:val="24"/>
          <w:szCs w:val="24"/>
        </w:rPr>
        <w:t>Naujų žinių taikymo komercinei naudai gauti procesus nusakančių studijų ryšių ir tyrimo lygmenų analizė</w:t>
      </w:r>
    </w:p>
    <w:p w:rsidR="00C66C7D" w:rsidRPr="006740E5" w:rsidRDefault="00C66C7D" w:rsidP="00E81563">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 xml:space="preserve">Naujų žinių taikymo komercinei naudai gauti procesus nusakančių studijų ryšių ir tyrimo lygmenų analizė parodė, kad autoriai tirdami inovacijas: jų poreikį ir būtinas sąlygas, didesnį dėmesį teikia inovacijoms organizaciniu lygmeniu be jau analizuotų autorių ir Aras ir Crowther (2009), Bagdoniene ir Jakstaite (2009), Gatautis (2009), Maydeu-Olivares ir Lado (2003), Banyte ir Salickaite (2008), Urbonas ir Maksvytienė (2009), Katiliūtė ir Stanikūnienė (2009), Keršienė (2009), Ibrahim et al. (2009), Koellinger (2008), Levent ir Mehmet (2004), Wang ir Pervaiz (2004), Szymanski (2001), Sandberg ir Hanson (2004), Lam (2004), Salavou (2004), North ir Smallbone (2000). Aras ir Crowther (2009) ir Gatautis (2009) analizavo inovacijų taikymo organizacijose aplinkybes. Aras ir Crowther (2009) pastebėjo, kad inovacijų taikymas paspartėja išaugus poreikiui pasiekti kuo aukštesnių rezultatų minimaliomis sąlygomis (nors verslo subjektai visuomet siekia sąnaudų minimumo, tačiau priverstinis ekonomizavimas tampa itin aktualus ekonominiu sunkmečiu). Gatautis (2009) inovacijų taikymas įmonėje paspartėja, jei: teikiamo produkto rinka yra lanksti, žemos įėjimo ir išėjimo iš rinkos sąnaudos, varžybiška aplinka. Autorius taip pat pastebi, kad e. verslo subjektai labiau linkę į inovacijas ir IKT inovacijas taikyti jaučia didesnę motyvaciją jei inovacijos grąža yra akivaizdžiai tikėtina. Bagdoniene ir Jakstaite (2009) analizuodamos inovacijų taikymą organizacijoje pastebėjo, </w:t>
      </w:r>
      <w:r w:rsidRPr="006740E5">
        <w:rPr>
          <w:rFonts w:ascii="Times New Roman" w:hAnsi="Times New Roman"/>
          <w:sz w:val="24"/>
          <w:szCs w:val="24"/>
        </w:rPr>
        <w:br/>
        <w:t xml:space="preserve">kad pasitikėjimu paremta verslo subjekto ir vartotojo sąveika padeda kurti inovatyvius, abi puses tenkinančius produktus. Banyte ir Salickaite (2008) ir Keršienė (2009) inovacijas analizavo kaip konkurencingumo rinkoje didinimo priemonę. Ekonominį (be jau analizuotų autorių ir Makogon et al., 2009; Mets, 2009; Bernatonyte et al., 2009) ir individo (be jau analizuotų autorių ir Mets, 2006; Dumciuviene, 2009; Kocak ir Zeytinili, 2009; Viederyte, 2009) lygmenis analizė atskleidė kaip menkiau ištirtus. Makogon et al. (2009) savo tyrimu nustatė, kad inovacijos organizacijose diegiamos dažniau jei subjektai veikia inovatyvioje ekonomikoje, o tai reiškia, kad valstybės valdžia turi priimti atitinkamus sprendimus ir nubrėžti inovacijų skatinimo gaires. Mets (2009) pastebi, kad technologijų inovacijos yra ne tik verslo inovacijos, bet ir visos visuomenės, nes naujos technologijos sukuria naują </w:t>
      </w:r>
      <w:r w:rsidRPr="006740E5">
        <w:rPr>
          <w:rFonts w:ascii="Times New Roman" w:hAnsi="Times New Roman"/>
          <w:sz w:val="24"/>
          <w:szCs w:val="24"/>
        </w:rPr>
        <w:lastRenderedPageBreak/>
        <w:t>individų elgesį, kuris atveda iki visos visuomenės ,,atsinaujinimo‘‘. Bernatonyte et al. (2009) analizuodami inovacijų taikymą produktų plėtrai pastebėjo, kad inovacijų taikymas turi teigiamos reikšmės tiesioginių užsienio investicijų pritraukimui. Inovacijų tyrimai ekonomikos lygmeniu atskleidė, kokį platų poveikį gali turėti koordinuotas inovacijų kūrimas regione. Individo lygmeniu atliktos analizės išsiskyrė į dvi grupes: a) inovacijų kūrimui būtinas aukštas darbuotojų išsilavinimas (Dumciuviene, 2009; Kocak ir Zeytinili, 2009; Viederyte, 2009); b) inovacijų kūrimui nėra svarbus išsilavinimas (Mets, 2006).</w:t>
      </w:r>
    </w:p>
    <w:p w:rsidR="00C66C7D" w:rsidRPr="006740E5" w:rsidRDefault="00C66C7D" w:rsidP="00E81563">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Autorių darbų tiesiogiai nagrinėjančių naujų žinių kūrimą ir taikymą pašto sektoriuje aptikti nepavyko. Atlikta naujų žinių kūrimo ir taikymo suvokimo analizė, parodė, kad e. priemonių taikymas tradicinių paslaugų įmonėje (tiriamu atveju – pašto sektoriaus įmonėje) būtų priskiriamas prie tiek vidinei, tiek išorinei verslo aplinkai poveikį darančių organizacijos veiklos procesų įgyvendinamų pritaikant subjekto veikloje anksčiau nenaudotas žinias.</w:t>
      </w:r>
    </w:p>
    <w:p w:rsidR="007E25E9" w:rsidRPr="006740E5" w:rsidRDefault="007E25E9" w:rsidP="007E25E9">
      <w:pPr>
        <w:spacing w:line="360" w:lineRule="auto"/>
        <w:jc w:val="center"/>
        <w:rPr>
          <w:rFonts w:ascii="Times New Roman" w:hAnsi="Times New Roman"/>
          <w:sz w:val="24"/>
          <w:szCs w:val="24"/>
        </w:rPr>
      </w:pPr>
      <w:r w:rsidRPr="006740E5">
        <w:rPr>
          <w:rFonts w:ascii="Times New Roman" w:hAnsi="Times New Roman"/>
          <w:sz w:val="24"/>
          <w:szCs w:val="24"/>
        </w:rPr>
        <w:t>***</w:t>
      </w:r>
    </w:p>
    <w:p w:rsidR="007E25E9" w:rsidRPr="006740E5" w:rsidRDefault="007E25E9" w:rsidP="007E25E9">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 xml:space="preserve">Analizės metu išryškėjusios studijų kryptingumai leidžia susieti atskirus tyrimų lygmenis, verslo veikimo aplinkas ir naujų žinių taikymo orientacijas į vieną sistemą pateiktą 6 paveiksle, </w:t>
      </w:r>
      <w:r w:rsidRPr="006740E5">
        <w:rPr>
          <w:rFonts w:ascii="Times New Roman" w:hAnsi="Times New Roman"/>
          <w:sz w:val="24"/>
          <w:szCs w:val="24"/>
        </w:rPr>
        <w:br/>
        <w:t>kuris atskleidė dvilypį organizacijos vaidmenį:</w:t>
      </w:r>
    </w:p>
    <w:p w:rsidR="007E25E9" w:rsidRPr="006740E5" w:rsidRDefault="00FB614B" w:rsidP="007E25E9">
      <w:pPr>
        <w:pStyle w:val="ListParagraph"/>
        <w:spacing w:after="0" w:line="360" w:lineRule="auto"/>
        <w:ind w:left="0"/>
        <w:contextualSpacing w:val="0"/>
        <w:jc w:val="center"/>
        <w:rPr>
          <w:rFonts w:ascii="Times New Roman" w:hAnsi="Times New Roman"/>
          <w:b/>
          <w:sz w:val="24"/>
          <w:szCs w:val="24"/>
        </w:rPr>
      </w:pPr>
      <w:r w:rsidRPr="006740E5">
        <w:rPr>
          <w:rFonts w:ascii="Times New Roman" w:hAnsi="Times New Roman"/>
          <w:b/>
          <w:sz w:val="24"/>
          <w:szCs w:val="24"/>
          <w:lang w:eastAsia="lt-LT"/>
        </w:rPr>
        <w:drawing>
          <wp:inline distT="0" distB="0" distL="0" distR="0">
            <wp:extent cx="4943475" cy="1990725"/>
            <wp:effectExtent l="19050" t="0" r="9525" b="0"/>
            <wp:docPr id="3" name="Picture 4"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titled.jpg"/>
                    <pic:cNvPicPr>
                      <a:picLocks noChangeAspect="1" noChangeArrowheads="1"/>
                    </pic:cNvPicPr>
                  </pic:nvPicPr>
                  <pic:blipFill>
                    <a:blip r:embed="rId11"/>
                    <a:srcRect/>
                    <a:stretch>
                      <a:fillRect/>
                    </a:stretch>
                  </pic:blipFill>
                  <pic:spPr bwMode="auto">
                    <a:xfrm>
                      <a:off x="0" y="0"/>
                      <a:ext cx="4943475" cy="1990725"/>
                    </a:xfrm>
                    <a:prstGeom prst="rect">
                      <a:avLst/>
                    </a:prstGeom>
                    <a:noFill/>
                    <a:ln w="9525">
                      <a:noFill/>
                      <a:miter lim="800000"/>
                      <a:headEnd/>
                      <a:tailEnd/>
                    </a:ln>
                  </pic:spPr>
                </pic:pic>
              </a:graphicData>
            </a:graphic>
          </wp:inline>
        </w:drawing>
      </w:r>
    </w:p>
    <w:p w:rsidR="007E25E9" w:rsidRPr="006740E5" w:rsidRDefault="007E25E9" w:rsidP="007E25E9">
      <w:pPr>
        <w:tabs>
          <w:tab w:val="left" w:pos="-6379"/>
        </w:tabs>
        <w:spacing w:after="0" w:line="240" w:lineRule="auto"/>
        <w:ind w:firstLine="993"/>
        <w:rPr>
          <w:rFonts w:ascii="Times New Roman" w:hAnsi="Times New Roman"/>
          <w:sz w:val="16"/>
          <w:szCs w:val="16"/>
          <w:lang w:eastAsia="lt-LT"/>
        </w:rPr>
      </w:pPr>
      <w:r w:rsidRPr="006740E5">
        <w:rPr>
          <w:rFonts w:ascii="Times New Roman" w:hAnsi="Times New Roman"/>
          <w:sz w:val="16"/>
          <w:szCs w:val="16"/>
          <w:lang w:eastAsia="lt-LT"/>
        </w:rPr>
        <w:t>Sudaryta autorės</w:t>
      </w:r>
    </w:p>
    <w:p w:rsidR="007E25E9" w:rsidRPr="006740E5" w:rsidRDefault="00CA1A3B" w:rsidP="007E25E9">
      <w:pPr>
        <w:pStyle w:val="ListParagraph"/>
        <w:spacing w:after="0" w:line="360" w:lineRule="auto"/>
        <w:ind w:left="0"/>
        <w:contextualSpacing w:val="0"/>
        <w:jc w:val="center"/>
        <w:rPr>
          <w:rFonts w:ascii="Times New Roman" w:hAnsi="Times New Roman"/>
          <w:b/>
          <w:sz w:val="24"/>
          <w:szCs w:val="24"/>
        </w:rPr>
      </w:pPr>
      <w:r w:rsidRPr="006740E5">
        <w:rPr>
          <w:rFonts w:ascii="Times New Roman" w:hAnsi="Times New Roman"/>
          <w:sz w:val="24"/>
          <w:szCs w:val="24"/>
        </w:rPr>
        <w:t>3</w:t>
      </w:r>
      <w:r w:rsidR="007E25E9" w:rsidRPr="006740E5">
        <w:rPr>
          <w:rFonts w:ascii="Times New Roman" w:hAnsi="Times New Roman"/>
          <w:sz w:val="24"/>
          <w:szCs w:val="24"/>
        </w:rPr>
        <w:t xml:space="preserve"> pav.</w:t>
      </w:r>
      <w:r w:rsidR="007E25E9" w:rsidRPr="006740E5">
        <w:rPr>
          <w:rFonts w:ascii="Times New Roman" w:hAnsi="Times New Roman"/>
          <w:b/>
          <w:sz w:val="24"/>
          <w:szCs w:val="24"/>
        </w:rPr>
        <w:t xml:space="preserve"> Atskirų tyrimų lygmenų, verslo veikimo aplinkos ir naujų žinių taikymo orientacijų </w:t>
      </w:r>
      <w:r w:rsidR="007E25E9" w:rsidRPr="006740E5">
        <w:rPr>
          <w:rFonts w:ascii="Times New Roman" w:hAnsi="Times New Roman"/>
          <w:b/>
          <w:sz w:val="24"/>
          <w:szCs w:val="24"/>
        </w:rPr>
        <w:br/>
        <w:t>sisteminė ryšių analizė</w:t>
      </w:r>
    </w:p>
    <w:p w:rsidR="007E25E9" w:rsidRPr="006740E5" w:rsidRDefault="007E25E9" w:rsidP="006F224D">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 xml:space="preserve">Atskirų tyrimų lygmenų, verslo veikimo aplinkos ir naujų žinių taikymo orientacijų sisteminė ryšių analizė pateikta </w:t>
      </w:r>
      <w:r w:rsidR="00377B1C" w:rsidRPr="006740E5">
        <w:rPr>
          <w:rFonts w:ascii="Times New Roman" w:hAnsi="Times New Roman"/>
          <w:sz w:val="24"/>
          <w:szCs w:val="24"/>
        </w:rPr>
        <w:t>3</w:t>
      </w:r>
      <w:r w:rsidRPr="006740E5">
        <w:rPr>
          <w:rFonts w:ascii="Times New Roman" w:hAnsi="Times New Roman"/>
          <w:sz w:val="24"/>
          <w:szCs w:val="24"/>
        </w:rPr>
        <w:t xml:space="preserve"> paveiksle organizacinį tyrimo lygmenį atskleidžia kaip tarpinį, kurį iš išorės veikia susidariusi ekonominė situacija, o iš vidaus atskirų individų susijusių su organizacija kontekstas, todėl ši analizė leidžia daryti išvadą, kad siekiant paveikt tiek visą visuomenę (darant poveikį ekonominei situacijai), tiek atskirus individus (darant poveikį turimiems žmogiškiesiems ištekliams </w:t>
      </w:r>
      <w:r w:rsidRPr="006740E5">
        <w:rPr>
          <w:rFonts w:ascii="Times New Roman" w:hAnsi="Times New Roman"/>
          <w:sz w:val="24"/>
          <w:szCs w:val="24"/>
        </w:rPr>
        <w:br/>
        <w:t xml:space="preserve">ir kitiems konkretaus verslo procesų dalyviams ne organizacijos viduje), galima tai pasiekti renkant, kuriant ir taikant naujas žinias visuose verslo subjekto veiklos procesuose. Naujų žinių taikymo pašto sektoriuje analizė parodė, kad ši sritis dar labai silpnai tiriama – per pastaruosius 25-erius metus atliktų </w:t>
      </w:r>
      <w:r w:rsidRPr="006740E5">
        <w:rPr>
          <w:rFonts w:ascii="Times New Roman" w:hAnsi="Times New Roman"/>
          <w:sz w:val="24"/>
          <w:szCs w:val="24"/>
        </w:rPr>
        <w:lastRenderedPageBreak/>
        <w:t xml:space="preserve">tyrimų nėra daug, nors praktikoje susidariusios aplinkybės rodo didelį šių tyrimų aktualumą. Globaliose rinkose veikiant subjektams, ištekliams geografiškai plačiai pasiskirsčius verslo subjektams siekiant sėkmingai veikti prie šių ekonomikos aplinkybių yra būtina inovuoti (Whitty et al., 2009). Lietuvos pašto rinkoje konkurencija tampa vis intensyvesnė – Estijos pašto paslaugų bendrovė </w:t>
      </w:r>
      <w:r w:rsidRPr="006740E5">
        <w:rPr>
          <w:rFonts w:ascii="Times New Roman" w:hAnsi="Times New Roman"/>
          <w:sz w:val="24"/>
          <w:szCs w:val="24"/>
        </w:rPr>
        <w:br/>
        <w:t xml:space="preserve">,,Eesti Post" 2010 m. kovo mėnesį paskelbė ketinanti plėsti verslą į Lietuvos ir Latvijos rinkas – Lietuvos valstybinis pašto paslaugų teikėjas greitu metu turės ne tik privačius Lietuvos ir užsienio pašto paslaugų teikimo konkurentus, bet ir kitos šalies valstybinį pašto paslaugų teikėją. </w:t>
      </w:r>
      <w:r w:rsidRPr="006740E5">
        <w:rPr>
          <w:rFonts w:ascii="Times New Roman" w:hAnsi="Times New Roman"/>
          <w:sz w:val="24"/>
          <w:szCs w:val="24"/>
        </w:rPr>
        <w:br/>
      </w:r>
      <w:r w:rsidR="0004279E" w:rsidRPr="006740E5">
        <w:rPr>
          <w:rFonts w:ascii="Times New Roman" w:hAnsi="Times New Roman"/>
          <w:sz w:val="24"/>
          <w:szCs w:val="24"/>
        </w:rPr>
        <w:t>Kai AB ,,Esti Post‘‘ plečia veiklą į užsienio rinkas, AB ,,Lietuvos paštas‘‘ praranda šiuo metu turimas, todėl Lietuvos valstybiniam pašto paslaugų teikėjui rekomenduojama pasitelkiant naujas žin</w:t>
      </w:r>
      <w:r w:rsidR="0004279E">
        <w:rPr>
          <w:rFonts w:ascii="Times New Roman" w:hAnsi="Times New Roman"/>
          <w:sz w:val="24"/>
          <w:szCs w:val="24"/>
        </w:rPr>
        <w:t>i</w:t>
      </w:r>
      <w:r w:rsidR="0004279E" w:rsidRPr="006740E5">
        <w:rPr>
          <w:rFonts w:ascii="Times New Roman" w:hAnsi="Times New Roman"/>
          <w:sz w:val="24"/>
          <w:szCs w:val="24"/>
        </w:rPr>
        <w:t>as ieškoti inovatyvių konkuravimo rinkoje problemų sprendimo būdų.</w:t>
      </w:r>
      <w:r w:rsidRPr="006740E5">
        <w:rPr>
          <w:rFonts w:ascii="Times New Roman" w:hAnsi="Times New Roman"/>
          <w:iCs/>
          <w:sz w:val="24"/>
          <w:szCs w:val="24"/>
        </w:rPr>
        <w:br w:type="page"/>
      </w:r>
      <w:r w:rsidRPr="006740E5">
        <w:rPr>
          <w:rFonts w:ascii="Times New Roman" w:hAnsi="Times New Roman"/>
          <w:b/>
          <w:iCs/>
          <w:sz w:val="24"/>
          <w:szCs w:val="24"/>
        </w:rPr>
        <w:lastRenderedPageBreak/>
        <w:t xml:space="preserve">2. </w:t>
      </w:r>
      <w:r w:rsidRPr="006740E5">
        <w:rPr>
          <w:rFonts w:ascii="Times New Roman" w:hAnsi="Times New Roman"/>
          <w:b/>
          <w:sz w:val="24"/>
          <w:szCs w:val="24"/>
          <w:lang w:eastAsia="lt-LT"/>
        </w:rPr>
        <w:t>LIETUVOS PAŠTO SEKTORIUS EUROPOS SĄJUNGOS PAŠTO RINKOS KONTEKSTE</w:t>
      </w:r>
    </w:p>
    <w:p w:rsidR="007E25E9" w:rsidRPr="006740E5" w:rsidRDefault="007E25E9" w:rsidP="00E81563">
      <w:pPr>
        <w:pStyle w:val="ListParagraph"/>
        <w:spacing w:line="360" w:lineRule="auto"/>
        <w:ind w:left="0" w:firstLine="567"/>
        <w:jc w:val="both"/>
        <w:rPr>
          <w:rFonts w:ascii="Times New Roman" w:hAnsi="Times New Roman"/>
          <w:sz w:val="24"/>
          <w:szCs w:val="24"/>
        </w:rPr>
      </w:pPr>
    </w:p>
    <w:p w:rsidR="00C66C7D" w:rsidRPr="006740E5" w:rsidRDefault="00C66C7D" w:rsidP="002B21E6">
      <w:pPr>
        <w:pStyle w:val="ListParagraph"/>
        <w:tabs>
          <w:tab w:val="left" w:pos="-6379"/>
        </w:tabs>
        <w:spacing w:before="20" w:after="40" w:line="360" w:lineRule="auto"/>
        <w:ind w:left="0"/>
        <w:jc w:val="center"/>
        <w:rPr>
          <w:rFonts w:ascii="Times New Roman" w:hAnsi="Times New Roman"/>
          <w:b/>
          <w:sz w:val="24"/>
          <w:szCs w:val="24"/>
        </w:rPr>
      </w:pPr>
      <w:r w:rsidRPr="006740E5">
        <w:rPr>
          <w:rFonts w:ascii="Times New Roman" w:hAnsi="Times New Roman"/>
          <w:b/>
          <w:sz w:val="24"/>
          <w:szCs w:val="24"/>
        </w:rPr>
        <w:t>2.</w:t>
      </w:r>
      <w:r w:rsidR="007E25E9" w:rsidRPr="006740E5">
        <w:rPr>
          <w:rFonts w:ascii="Times New Roman" w:hAnsi="Times New Roman"/>
          <w:b/>
          <w:sz w:val="24"/>
          <w:szCs w:val="24"/>
        </w:rPr>
        <w:t>1. AB ,,Lietuvos paštas’’ paslaugų konkurencingumas liberalėjančioje rinkoje</w:t>
      </w:r>
    </w:p>
    <w:p w:rsidR="00C66C7D" w:rsidRPr="006740E5" w:rsidRDefault="00C66C7D" w:rsidP="002B21E6">
      <w:pPr>
        <w:pStyle w:val="ListParagraph"/>
        <w:tabs>
          <w:tab w:val="left" w:pos="-6379"/>
        </w:tabs>
        <w:spacing w:before="20" w:after="40" w:line="360" w:lineRule="auto"/>
        <w:ind w:left="0" w:firstLine="567"/>
        <w:jc w:val="both"/>
        <w:rPr>
          <w:rFonts w:ascii="Times New Roman" w:hAnsi="Times New Roman"/>
          <w:sz w:val="24"/>
          <w:szCs w:val="24"/>
        </w:rPr>
      </w:pPr>
    </w:p>
    <w:p w:rsidR="00C66C7D" w:rsidRPr="006740E5" w:rsidRDefault="00C66C7D" w:rsidP="00D9662F">
      <w:pPr>
        <w:pStyle w:val="ListParagraph"/>
        <w:tabs>
          <w:tab w:val="left" w:pos="-6379"/>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 xml:space="preserve">Pašto paslaugos Europoje Sąjungoje (toliau – ES) vertinamos kaip itin reikšmingos ir yra klasifikuojamos kartu su kitomis svarbiausiomis visuomenės funkcionavimui tinklinėmis paslaugomis (energetika, transportas, telekomunikacijos ir kt.). Bendrijos steigimo sutartyje numatyti bendros rinkos kūrimo ir laisvo kapitalo judėjimo siekiai tikintis pagerinti paslaugų kokybę. Pašto sektorius </w:t>
      </w:r>
      <w:r w:rsidR="00D9662F" w:rsidRPr="006740E5">
        <w:rPr>
          <w:rFonts w:ascii="Times New Roman" w:hAnsi="Times New Roman"/>
          <w:sz w:val="24"/>
          <w:szCs w:val="24"/>
        </w:rPr>
        <w:br/>
      </w:r>
      <w:r w:rsidRPr="006740E5">
        <w:rPr>
          <w:rFonts w:ascii="Times New Roman" w:hAnsi="Times New Roman"/>
          <w:sz w:val="24"/>
          <w:szCs w:val="24"/>
        </w:rPr>
        <w:t xml:space="preserve">ES vertinamas kaip svarbi ryšių ir prekybos priemonė. Ekonominiu aspektu ypatingai svarbi – per 2008 m. ES pašto sektoriaus apyvarta siekė 90 milijardų eurų (apie 1 proc. ES bendrojo vidaus produkto). Pašto paslaugos, būdamos tinklinės prigimties sukuria gyvybiškai būtiną prekių gabenimo infrastruktūrą smulkiam ir vidutiniam verslui (toliau – SVV). Pašto rinkos liberalizavimą </w:t>
      </w:r>
      <w:r w:rsidR="00D9662F" w:rsidRPr="006740E5">
        <w:rPr>
          <w:rFonts w:ascii="Times New Roman" w:hAnsi="Times New Roman"/>
          <w:sz w:val="24"/>
          <w:szCs w:val="24"/>
        </w:rPr>
        <w:br/>
      </w:r>
      <w:r w:rsidRPr="006740E5">
        <w:rPr>
          <w:rFonts w:ascii="Times New Roman" w:hAnsi="Times New Roman"/>
          <w:sz w:val="24"/>
          <w:szCs w:val="24"/>
        </w:rPr>
        <w:t>ES institucijos vertina kaip priemonę stiprinti SVV, tokiu būdų dar prisidedant prie ekonomikos stiprėjimo. ES institucijose padėjus pagrindus pašto sektoriaus liberalizavimui, tolesnis įgyvendinimas buvo paliktas valstybėms narėms (siekiančios narystės šalys taip pat turėjo ES nuostatas įvesti į savo teisės sistemą, Lietuva šioje pašto rinkos liberalizavimo stadijoje buvo siekianti narystės valstybė). Valstybėms narėms (ir valstybėms kandidatėms į nares) buvo palikta savo teisę priderinti prie bendrijos teisės, naujais teisės aktais sukurti palankias sąlygas naujiems pašto paslaugų teikėjams kurtis. ES pašto paslaugų reguliavimo sistemą sudaro trys direktyvos: 1) 1997 m. gruodžio 15 d. Europos Parlamento ir Tarybos direktyva 97/67/EB dėl Bendrijos pašto paslaugų vidaus rinkos plėtros bendrųjų taisyklų ir paslaugų kokybės gerinimo; 2) 2002 m. birželio 10 d. Europos Parlamento ir Tarybos direktyva 200</w:t>
      </w:r>
      <w:r w:rsidRPr="006740E5">
        <w:rPr>
          <w:rFonts w:ascii="Times New Roman" w:hAnsi="Times New Roman"/>
          <w:bCs/>
          <w:sz w:val="24"/>
          <w:szCs w:val="24"/>
        </w:rPr>
        <w:t>2/39/EB iš</w:t>
      </w:r>
      <w:r w:rsidRPr="006740E5">
        <w:rPr>
          <w:rFonts w:ascii="Times New Roman" w:hAnsi="Times New Roman"/>
          <w:sz w:val="24"/>
          <w:szCs w:val="24"/>
        </w:rPr>
        <w:t xml:space="preserve"> dalies pakeičiančią direktyvą 97/67/EB dėl Bendrijos pašto paslaugų rinkos tolesnio atvėrimo konkurencijai; 3) 2008 m. vasario 20 d. Europos Parlamento ir Tarybos direktyva 2008/6/EC iš dalies keičianti Direktyvą 97/67/EB, siekiant visiško Bendrijos pašto paslaugų vidaus rinkos suformavimo. ES institucijoms kuriant pašto rinkos liberalizavimą bendrai visai sąjungai, praktikoje šis procesas vyksta labai skirtingai. Švedijoje pašto rinka buvo atverta 1993 m. (dveji metai iki įstojimo į ES ir ketveri metai iki pirmosios ES institucijų pašto paslaugų direktyvos) sėkmingu valstybinio pašto paslaugų teikėjo spurtu. Cohen et al (2007) atlikto monopolinės ir konkurencingos pašto rinkų Švedijoje tyrimo rezultatų analizė parodė valstybinį pašto paslaugų teikėją stipriu, konkurencingu, o pašto sektorių pristato kaip labai rizikingą sritį verslo subjektams siekiantiems įeiti į rinką. Lietuvoje pašto paslaugų ir valstybinio pašto paslaugų teikėjo svarba ne tokia aukšta kaip ES. Lietuvai atgavus nepriklausomybę 1991 m. visos viešojo intereso sritys turėjo būti sureguliuotos iš naujo. Pašto sektoriaus reglamentavimas pasirodė tik 1995 m. Lietuvos Respublikos Ryšių įstatyme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1995, 102−220</w:t>
      </w:r>
      <w:r w:rsidRPr="006740E5">
        <w:rPr>
          <w:rFonts w:ascii="Times New Roman" w:hAnsi="Times New Roman"/>
          <w:sz w:val="24"/>
          <w:szCs w:val="24"/>
        </w:rPr>
        <w:t xml:space="preserve">), kuriuo buvo nustatoma visa šalies susisiekimo tinklų infrastruktūra. Šiame įstatyme pašto paslaugoms įforminti skirti vos keli straipsniai numatantys siuntų </w:t>
      </w:r>
      <w:r w:rsidRPr="006740E5">
        <w:rPr>
          <w:rFonts w:ascii="Times New Roman" w:hAnsi="Times New Roman"/>
          <w:sz w:val="24"/>
          <w:szCs w:val="24"/>
        </w:rPr>
        <w:lastRenderedPageBreak/>
        <w:t xml:space="preserve">pervežimą, pristatymą, kontrolę ir slaptumą bei pašto atsakomybę. Taip pat analizuojamame įstatyme buvo numatyta vienintelis pašto paslaugų teikėjas – valstybinis paštas, kuriam priskirta išimtinė teisė </w:t>
      </w:r>
      <w:r w:rsidRPr="006740E5">
        <w:rPr>
          <w:rFonts w:ascii="Times New Roman" w:hAnsi="Times New Roman"/>
          <w:sz w:val="24"/>
          <w:szCs w:val="24"/>
        </w:rPr>
        <w:br/>
        <w:t>ir pareiga organizuoti ir vykdyti pašto paslaugų teikimą Lietuvoje. Valstybinį pašto paslaugų teikėją 1997 m. buvo nuspręsta pristatyti vienoje moderniausių to meto aplinkų – internete. Jame buvo pateikta informacija apie pašto paslaugas, tarifus, pašto ženklus ir kt. Periode kol Lietuvoje paštas buvo vertinamas tik kaip vienas iš ryšių tinklų segmentų, Vokietijoje paštas jau buvo suvokiamas kaip svarbi viešojo sektoriaus dalis turinti specifinę rinką ir daranti įtaką visos šalies ekonomikai. 1998 m. Vokietijoje buvo įvesta universaliųjų pašto paslaugų sąvoka, privatizuotas nacionalinis paštas ir atverta pašto rinka kitiems pašto paslaugų teikėjams. Kaip kontrolinė priemonė buvo pasirinktas licencijavimas, tačiau pašto paslaugas teikti pageidaujantiems subjektams retai ji buvo neišduodama.</w:t>
      </w:r>
    </w:p>
    <w:p w:rsidR="00C66C7D" w:rsidRPr="006740E5" w:rsidRDefault="00C66C7D" w:rsidP="002B21E6">
      <w:pPr>
        <w:pStyle w:val="ListParagraph"/>
        <w:tabs>
          <w:tab w:val="left" w:pos="-6379"/>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 xml:space="preserve">Lietuvoje valdžios institucijos rimčiau atsižvelgė į pašto sektorių tik 1999 m. – prieš pat oficialiųjų stojimo į ES derybų pradžią. Buvo priimtas pirmasis Lietuvos Respublikos </w:t>
      </w:r>
      <w:r w:rsidRPr="006740E5">
        <w:rPr>
          <w:rFonts w:ascii="Times New Roman" w:hAnsi="Times New Roman"/>
          <w:sz w:val="24"/>
          <w:szCs w:val="24"/>
        </w:rPr>
        <w:br/>
        <w:t>Pašto įstatymas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xml:space="preserve">., 1999, </w:t>
      </w:r>
      <w:r w:rsidRPr="006740E5">
        <w:rPr>
          <w:rFonts w:ascii="Times New Roman" w:hAnsi="Times New Roman"/>
          <w:bCs/>
          <w:sz w:val="24"/>
          <w:szCs w:val="24"/>
        </w:rPr>
        <w:t>36−1070</w:t>
      </w:r>
      <w:r w:rsidRPr="006740E5">
        <w:rPr>
          <w:rFonts w:ascii="Times New Roman" w:hAnsi="Times New Roman"/>
          <w:sz w:val="24"/>
          <w:szCs w:val="24"/>
        </w:rPr>
        <w:t xml:space="preserve">) sudarytas jau atsižvelgiant į ES institucijose priimtą direktyvą (97/67/EB) dėl Bendrijos pašto paslaugų vidaus rinkos plėtros bendrųjų taisyklių </w:t>
      </w:r>
      <w:r w:rsidRPr="006740E5">
        <w:rPr>
          <w:rFonts w:ascii="Times New Roman" w:hAnsi="Times New Roman"/>
          <w:sz w:val="24"/>
          <w:szCs w:val="24"/>
        </w:rPr>
        <w:br/>
        <w:t>ir paslaugų kokybės gerinimo. Pirmasis pašto įstatymas gan nuosekliai įformina pašto paslaugų teikimo pareigą. Įstatyme (šalia Lietuvos Respublikos Ryšių įstatyme jau reglamentuotų sričių) konkrečiai apibrėžtos sąvokos, išskirti teisiniai pašto veiklos pagrindai, smulkiau (administravimas, teisės, pareigos, pajamos ir kt.) reglamentuotas valstybinis paštas. Pagrindinės naujienos pašto reglamentavimo srityje (esminiai 97/67/EB direktyvos akcentai) – apibrėžiama universaliųjų pašto paslaugų sąvoka ir atveriamas kelias privačių pašto paslaugų teikėjų įėjimui į rinką. Priėmus pirmąjį Lietuvos Respublikos Pašto įstatymą (iki jo išdėstymo nauja redakcija 2001 m.) pašto paslaugų teikimu nepradėjo užsiimti nei vienas privatus subjektas. Pašto rinka Lietuvoje liko VĮ Lietuvos pašto monopoliu. Palyginimui: Lietuvoje dar tik pradedant pašto rinkos atvėrimo procesus, Švedijoje ir Jungtinėje Karalystėje pašto rinkos liberalizavimo procesas jau buvo užbaigtas sėkmingu valstybinio pašto paslaugų teikėjo išsilaikymu rinkoje. Brant (2007) analizuodamas Jungtinės Karalystės pašto rinkos atvėrimą pastebėjo, kad valstybinis pašto paslaugų teikėjas išsaugojo savo dominuojančia padėtį rinkoje, grindžiamą įvestu aukštos kokybės ir kuklių kainų santykio principu teikiant pašto paslaugas. Lietuvoje praėjus vos dvejiems metams po antrosios Lietuvos Respublikos Pašto paslaugų įstatymo redakcijos, teisės aktas buvo išdėstytas nauja redakcija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xml:space="preserve">., 2001, </w:t>
      </w:r>
      <w:r w:rsidRPr="006740E5">
        <w:rPr>
          <w:rFonts w:ascii="Times New Roman" w:hAnsi="Times New Roman"/>
          <w:bCs/>
          <w:sz w:val="24"/>
          <w:szCs w:val="24"/>
        </w:rPr>
        <w:t>94−3306</w:t>
      </w:r>
      <w:r w:rsidRPr="006740E5">
        <w:rPr>
          <w:rFonts w:ascii="Times New Roman" w:hAnsi="Times New Roman"/>
          <w:sz w:val="24"/>
          <w:szCs w:val="24"/>
        </w:rPr>
        <w:t xml:space="preserve">). Naujoji redakcija pastebimai apribojo, pirmuoju įstatymu sukurtą, įėjimo į pašto rinką laisvumą: atsirado nuostata įpareigojanti privačius pašto paslaugų teikėjus gauti Vyriausybės ar jos įgaliotos institucijos leidimą teikti pašto paslaugas; atsirado nauja sąvoka – rezervuotosios pašto paslaugos (ES institucijų siūloma priemonė, saugant valstybinį pašto paslaugų teikėją nuo staiga atsirasiančios didelės konkurencijos leidus privatiems subjektams teikti pašto paslaugas). Kitas svarbus pokytis įstatyme – niša privatiems subjektams norintiems teikti pašto paslaugas – pasiuntinių pašto paslaugos. Palyginimui: Lietuvoje vis </w:t>
      </w:r>
      <w:r w:rsidRPr="006740E5">
        <w:rPr>
          <w:rFonts w:ascii="Times New Roman" w:hAnsi="Times New Roman"/>
          <w:sz w:val="24"/>
          <w:szCs w:val="24"/>
        </w:rPr>
        <w:lastRenderedPageBreak/>
        <w:t xml:space="preserve">dar beieškant nacionalinėmis sąlygomis efektyvaus pašto rinkos liberalizavimo proceso reglamentavimo, Belgijoje buvo įvykdyta pašto sektoriaus reforma. Naujuoju pašto rinkos reglamentavimu Belgijoje valstybiniam pašto paslaugų teikėjui De Post buvo palikta universaliųjų paslaugų laiškų rinkos monopolis, tačiau nustatytos stiprią konkurenciją skatinančios sąlygos spaudinių, reklaminio pašto ir kt. segmentuose (Brant, 2007). Priėmus Lietuvos Respublikos pašto įstatymo pakeitimus (iki jo išdėstymo nauja redakcija 2004 m.) buvo užregistruoti 43 privatūs pašto paslaugų teikėjai (iš jų iki aktyvias licencijas turi 38 subjektai). Nors įstatyme buvo dar daug pakeistų nuostatų, tačiau nepaminėti pakeitimai nedarė įtakos Lietuvos pašto rinkos laisvumui. Apskritai šioje pašto sektorių reglamentuojančio įstatymo redakcijoje nebuvo įtraukta daugiau esminių 97/67/EB direktyvos nuostatų, o buvo sugrąžinta dalis rinkos ribojimų, dėl ankstesnėje redakcijoje neapgalvotai staigaus pašto rinkos atvėrimo. </w:t>
      </w:r>
    </w:p>
    <w:p w:rsidR="00C66C7D" w:rsidRPr="006740E5" w:rsidRDefault="00C66C7D" w:rsidP="002B21E6">
      <w:pPr>
        <w:pStyle w:val="ListParagraph"/>
        <w:tabs>
          <w:tab w:val="left" w:pos="-6379"/>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Priešpaskutinė Lietuvos Respublikos Pašto įstatymo redakcija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xml:space="preserve">., 2004, </w:t>
      </w:r>
      <w:r w:rsidRPr="006740E5">
        <w:rPr>
          <w:rFonts w:ascii="Times New Roman" w:hAnsi="Times New Roman"/>
          <w:bCs/>
          <w:sz w:val="24"/>
          <w:szCs w:val="24"/>
        </w:rPr>
        <w:t>60−2125</w:t>
      </w:r>
      <w:r w:rsidRPr="006740E5">
        <w:rPr>
          <w:rFonts w:ascii="Times New Roman" w:hAnsi="Times New Roman"/>
          <w:sz w:val="24"/>
          <w:szCs w:val="24"/>
        </w:rPr>
        <w:t xml:space="preserve">) buvo patvirtinta ES institucijose priėmus direktyvą </w:t>
      </w:r>
      <w:r w:rsidRPr="006740E5">
        <w:rPr>
          <w:rFonts w:ascii="Times New Roman" w:hAnsi="Times New Roman"/>
          <w:bCs/>
          <w:sz w:val="24"/>
          <w:szCs w:val="24"/>
        </w:rPr>
        <w:t xml:space="preserve">2002/39/EB iš dalies keičią Direktyvą 97/67/EB </w:t>
      </w:r>
      <w:r w:rsidRPr="006740E5">
        <w:rPr>
          <w:rFonts w:ascii="Times New Roman" w:hAnsi="Times New Roman"/>
          <w:bCs/>
          <w:sz w:val="24"/>
          <w:szCs w:val="24"/>
        </w:rPr>
        <w:br/>
        <w:t xml:space="preserve">dėl Bendrijos pašto paslaugų rinkos tolesnio atvėrimo konkurencijai. Šis įstatymo keitimas tiesiogiai susijęs su Lietuvos įstojimu į Europos Sąjungą. Nors šį kartą įstatymas nebuvo dėstomas nauja redakcija, tačiau pateikė daug svarbių naujovių. Visiškai pakito universaliųjų pašto paslaugų sąvoka – tapo artimesnė ES siūlomai. Buvo išbraukti teisiniai pašto veiklos pagrindai (iki tol puoselėti visose redakcijose), tačiau buvo pristatyti pašto veiklos reguliavimo principai: konkurencijos, laisvės teikti pašto paslaugas, laipsniško ir kontroliuojamo pašto rinkos liberalizavimo – sudarantys pagrindą ES direktyvos 2002/39/EB tikslui įgyvendinti – sukurti kokybiškų pašto paslaugų teikimo sistemą bendrijoje. Naująja redakcija reikšmingai sumažinta (ir numatytas laipsniškas mažėjimas) rezervuotųjų pašto paslaugų apimtis. Taip pat atskiras straipsnis skirtas pašto paslaugų reglamentavimui. Ankstesnėje įstatymo redakcijoje buvo numatytas įpareigojimas gauti valstybės institucijų leidimą norint teikti bet kurias pašto paslaugas, o ši redakcija išlaisvina pasiuntinių paslaugas nuo minėto įpareigojimo – leisti pasiuntinių pašto paslaugas teikti visiems norintiems subjektams yra didelis žingsnis laisvos pašto rinkos link, ji įsigaliojo Lietuvos įstojimo į ES dieną. Vakarų Europoje šiuo laikotarpiu įsibėgėjo ar baigėsi daug (tiek teisinių, tiek praktinių) pašto rinkos liberalizavimo procesų: Austrijoje, Vokietijoje, Belgijoje nacionaliniuose paštuose buvo sumažintas darbuotojų skaičius </w:t>
      </w:r>
      <w:r w:rsidRPr="006740E5">
        <w:rPr>
          <w:rFonts w:ascii="Times New Roman" w:hAnsi="Times New Roman"/>
          <w:bCs/>
          <w:sz w:val="24"/>
          <w:szCs w:val="24"/>
        </w:rPr>
        <w:br/>
        <w:t xml:space="preserve">10−15 proc., optimizuotas pašto skyrių skaičius ir darbo organizavimas, sukurtos sąlyginai savarankiškos pašto sektorių reguliuojančios institucijos ir kt. </w:t>
      </w:r>
      <w:r w:rsidRPr="006740E5">
        <w:rPr>
          <w:rFonts w:ascii="Times New Roman" w:hAnsi="Times New Roman"/>
          <w:sz w:val="24"/>
          <w:szCs w:val="24"/>
        </w:rPr>
        <w:t>(Brant, 2007)</w:t>
      </w:r>
      <w:r w:rsidRPr="006740E5">
        <w:rPr>
          <w:rFonts w:ascii="Times New Roman" w:hAnsi="Times New Roman"/>
          <w:bCs/>
          <w:sz w:val="24"/>
          <w:szCs w:val="24"/>
        </w:rPr>
        <w:t xml:space="preserve">. Šveicarija sekdama ES šalių pavyzdžiu taip pat palengva ėjo pašto rinkos liberalizavimo link: 2006 m. sumažinta rezervuotųjų paslaugų apimtis. Šveicarijoje buvo nustatytas itin aktyvus siekis užtikrinti universaliųjų paslaugų teikimo įsipareigojimo vykdymą – atveriant rinką labiau orientuojamasi į šio įsipareigojimo vykdymą, nei paslaugų teikėjų konkurenciją besidalijant rinką (Jaag, </w:t>
      </w:r>
      <w:r w:rsidRPr="006740E5">
        <w:rPr>
          <w:rFonts w:ascii="Times New Roman" w:hAnsi="Times New Roman"/>
          <w:sz w:val="24"/>
          <w:szCs w:val="24"/>
        </w:rPr>
        <w:t>2007</w:t>
      </w:r>
      <w:r w:rsidRPr="006740E5">
        <w:rPr>
          <w:rFonts w:ascii="Times New Roman" w:hAnsi="Times New Roman"/>
          <w:bCs/>
          <w:sz w:val="24"/>
          <w:szCs w:val="24"/>
        </w:rPr>
        <w:t xml:space="preserve">). </w:t>
      </w:r>
      <w:r w:rsidRPr="006740E5">
        <w:rPr>
          <w:rFonts w:ascii="Times New Roman" w:hAnsi="Times New Roman"/>
          <w:sz w:val="24"/>
          <w:szCs w:val="24"/>
        </w:rPr>
        <w:t xml:space="preserve">Priėmus 2004 m. LR Pašto įstatymo pakeitimus buvo užregistruoti 45 privatūs pašto paslaugų teikėjai (iš jų iki šiol aktyvias licencijas turi </w:t>
      </w:r>
      <w:r w:rsidRPr="006740E5">
        <w:rPr>
          <w:rFonts w:ascii="Times New Roman" w:hAnsi="Times New Roman"/>
          <w:sz w:val="24"/>
          <w:szCs w:val="24"/>
        </w:rPr>
        <w:lastRenderedPageBreak/>
        <w:t xml:space="preserve">36 subjektai). AB ,,Lietuvos paštas’’ 2009 m. pradėtas pašto skyrių skaičiaus mažinimas įvertinus informacinių technologijų teikiamas galimybes centralizuojant dalį procesų: iš dešimties filialų paskirstytų po visą šalies teritorija, stambinant regionus buvo sudaryta jau tik penki filialai. 2006 m. </w:t>
      </w:r>
      <w:r w:rsidRPr="006740E5">
        <w:rPr>
          <w:rFonts w:ascii="Times New Roman" w:hAnsi="Times New Roman"/>
          <w:sz w:val="24"/>
          <w:szCs w:val="24"/>
        </w:rPr>
        <w:br/>
        <w:t>VĮ ,,Lietuvos paštas’’ buvo reorganizuotas į AB Lietuvos paštą. 2007 m. buvo centralizuotoji paštų veiklos valdymo sistema (toliau – CVVS), kuri veikia kaip bendra centralizuota verslo valdymo sistema – darbuotojai dirbami naudojas viena duomenų baze ir ją pildo savo veiklos eigoje.</w:t>
      </w:r>
    </w:p>
    <w:p w:rsidR="00C66C7D" w:rsidRPr="006740E5" w:rsidRDefault="00C66C7D" w:rsidP="002B21E6">
      <w:pPr>
        <w:pStyle w:val="ListParagraph"/>
        <w:tabs>
          <w:tab w:val="left" w:pos="-6379"/>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Siekdama prisitaikyti prie modernėjančios aplinkos įmonės po truputi pradeda taikyti elektroninio verslo (toliau – e. verslo) metodus, tačiau AB ,,Lietuvos paštas’’ tai daro per lėtai ir ne visuomet atsižvelgdama į vartotojų poreikius, tad nėra pasiekiamas pageidautinas efektas. ES institucijose 2008 m. buvo priimta trečioji direktyva susijusi su pašto paslaugomis (</w:t>
      </w:r>
      <w:r w:rsidRPr="006740E5">
        <w:rPr>
          <w:rFonts w:ascii="Times New Roman" w:eastAsia="EUAlbertina-Regular-Identity-H" w:hAnsi="Times New Roman"/>
          <w:sz w:val="24"/>
          <w:szCs w:val="24"/>
        </w:rPr>
        <w:t xml:space="preserve">2008/6/EB iš dalies keičianti direktyvą 97/67/EB </w:t>
      </w:r>
      <w:r w:rsidRPr="006740E5">
        <w:rPr>
          <w:rFonts w:ascii="Times New Roman" w:eastAsia="EUAlbertina-Regular-Identity-H" w:hAnsi="Times New Roman"/>
          <w:bCs/>
          <w:sz w:val="24"/>
          <w:szCs w:val="24"/>
        </w:rPr>
        <w:t>siekiant visiško Bendrijos pašto paslaugų vidaus rinkos suformavimo</w:t>
      </w:r>
      <w:r w:rsidRPr="006740E5">
        <w:rPr>
          <w:rFonts w:ascii="Times New Roman" w:hAnsi="Times New Roman"/>
          <w:sz w:val="24"/>
          <w:szCs w:val="24"/>
        </w:rPr>
        <w:t xml:space="preserve">). </w:t>
      </w:r>
      <w:r w:rsidRPr="006740E5">
        <w:rPr>
          <w:rFonts w:ascii="Times New Roman" w:hAnsi="Times New Roman"/>
          <w:sz w:val="24"/>
          <w:szCs w:val="24"/>
        </w:rPr>
        <w:br/>
        <w:t xml:space="preserve">Ši direktyva buvo priimta valstybėms narėms dėl vienokių ar kitokių priežasčių nespėjant liberalizuoti pašto rinkų pagal numatytą Bendrijos tvarkaraštį. Nespėjančioms buvo leista atidėti visišką rinkos atvėrimą (atverti rinką ne vėliau kaip 2013 m. sausio 1 d.) ir sušvelnintos sąlygos (paliktas paslaugų rezervavimas, panaikintos kai kurios pareigos UPP teikėjui ir kt.). Lietuva buvo viena iš 11 valstybių narių, kurios iki 2008 m. rugpjūčio 27 d. pranešė Komisijai apie savo pasirinktą tolimesnę rinkos atvėrimo datą. Nors ir atidėjusi visišką pašto rinkos atvėrimą Lietuva savo įsipareigojimą palaipsniui </w:t>
      </w:r>
      <w:r w:rsidRPr="006740E5">
        <w:rPr>
          <w:rFonts w:ascii="Times New Roman" w:hAnsi="Times New Roman"/>
          <w:sz w:val="24"/>
          <w:szCs w:val="24"/>
        </w:rPr>
        <w:br/>
        <w:t xml:space="preserve">ir toliau vykdo – artėjant prie visiško rinkos atvėrimo buvo patvirtintas naujas LR Pašto įstatymas </w:t>
      </w:r>
      <w:r w:rsidRPr="006740E5">
        <w:rPr>
          <w:rFonts w:ascii="Times New Roman" w:hAnsi="Times New Roman"/>
          <w:sz w:val="24"/>
          <w:szCs w:val="24"/>
        </w:rPr>
        <w:br/>
        <w:t xml:space="preserve">dar šiek tiek atlaisvinantis rinkos apribojimus. Aktuali LR Pašto įstatymo redakcija, įsigaliojusi </w:t>
      </w:r>
      <w:r w:rsidRPr="006740E5">
        <w:rPr>
          <w:rFonts w:ascii="Times New Roman" w:hAnsi="Times New Roman"/>
          <w:sz w:val="24"/>
          <w:szCs w:val="24"/>
        </w:rPr>
        <w:br/>
        <w:t xml:space="preserve">2010 m. sausio 5 d., buvo patvirtinta ES institucijose priėmus direktyvą </w:t>
      </w:r>
      <w:r w:rsidRPr="006740E5">
        <w:rPr>
          <w:rFonts w:ascii="Times New Roman" w:eastAsia="EUAlbertina-Regular-Identity-H" w:hAnsi="Times New Roman"/>
          <w:sz w:val="24"/>
          <w:szCs w:val="24"/>
        </w:rPr>
        <w:t xml:space="preserve">2008/6/EB iš dalies keičianti direktyvą 97/67/EB </w:t>
      </w:r>
      <w:r w:rsidRPr="006740E5">
        <w:rPr>
          <w:rFonts w:ascii="Times New Roman" w:eastAsia="EUAlbertina-Regular-Identity-H" w:hAnsi="Times New Roman"/>
          <w:bCs/>
          <w:sz w:val="24"/>
          <w:szCs w:val="24"/>
        </w:rPr>
        <w:t>siekiant visiško Bendrijos pašto paslaugų vidaus rinkos suformavimo</w:t>
      </w:r>
      <w:r w:rsidRPr="006740E5">
        <w:rPr>
          <w:rFonts w:ascii="Times New Roman" w:hAnsi="Times New Roman"/>
          <w:bCs/>
          <w:sz w:val="24"/>
          <w:szCs w:val="24"/>
        </w:rPr>
        <w:t xml:space="preserve">. Šis įstatymo keitimas dar labiau priartina Lietuvos pašto rinką prie siekiamo visiško rinkos liberalizavimo. Įstatymas nebuvo dėstomas nauja redakcija ir nepateikė daug naujovių. Papildytas sąvokų sąrašas, pakito UPP sąvoka – tapo atitinanti ES siūlomą papildant galimų UPP teikėjų sąrašą– UPP teikėju Lietuvoje dabar gali būti ir bet kuris Lietuvoje įregistruotas ES UPP teikėjas ar jo filialas. </w:t>
      </w:r>
      <w:r w:rsidRPr="006740E5">
        <w:rPr>
          <w:rFonts w:ascii="Times New Roman" w:hAnsi="Times New Roman"/>
          <w:bCs/>
          <w:sz w:val="24"/>
          <w:szCs w:val="24"/>
        </w:rPr>
        <w:br/>
        <w:t xml:space="preserve">Naujoji redakcija dar nepakeitė valstybiniam pašto paslaugų teikėjui rezervuotųjų pašto paslaugų apimties. Straipsnis ankstesnėje redakcijoje skirtas pašto paslaugų reglamentavimui visiškai išlaisvino pašto paslaugų teikimo teisę nuo valstybinio licencijavimo. Ankstesnėje įstatymo redakcijoje buvo numatytas laisva pasiuntinių paslaugų teikimo pradžia (su būtinybe informuoti atsakingąją institucija RRT) ir įpareigojimas gauti valstybės institucijų leidimą norint teikti pašto korespondencijos paslaugas, o ši redakcija išlaisvina ir pašto korespondencijos paslaugas nuo minėto įpareigojimo jų teikimo pradžios sąlygas sulygindama su pasiuntinių paslaugų teikimo pradžios tvarka – leisti visas pašto paslaugas teikti visiems norintiems subjektams yra didelis žingsnis laisvos pašto rinkos link. Išlaisvinus visų pašto paslaugų teikimą nuo licencijavimo, tai reiškia nuo griežtos valstybinės priežiūros, valstybė vis tiek turi užtikrinti vartotojams teikiamų paslaugų kokybę, todėl naujoji </w:t>
      </w:r>
      <w:r w:rsidRPr="006740E5">
        <w:rPr>
          <w:rFonts w:ascii="Times New Roman" w:hAnsi="Times New Roman"/>
          <w:bCs/>
          <w:sz w:val="24"/>
          <w:szCs w:val="24"/>
        </w:rPr>
        <w:lastRenderedPageBreak/>
        <w:t>redakcija pateikia ilgą sąrašą pareigų, kurias vykdydami veiklą privalo vykdyti pašto paslaugų teikėjai. Šios pareigos yra paantrintos ir pašto paslaugų teikimo taisyklėse, kurių laikytis įsipareigoja būsimasis pašto paslaugų teikėjas pateikdamas pranešimą RRT apie ketinamą teikti pašto paslaugas.</w:t>
      </w:r>
      <w:r w:rsidR="007629E2" w:rsidRPr="006740E5">
        <w:rPr>
          <w:rFonts w:ascii="Times New Roman" w:hAnsi="Times New Roman"/>
          <w:bCs/>
          <w:sz w:val="24"/>
          <w:szCs w:val="24"/>
        </w:rPr>
        <w:t xml:space="preserve"> LR Seimas 2010 m. rugsėjo 28 d. paskelbė naujo LR Pašto įstatymo projektą, tačiau jame dėmesį atkreipia tik į besikeičiančias pašto veiklos reguliavimo institucijas, o ne pašto paslaugų teikimo sąlygas.</w:t>
      </w:r>
    </w:p>
    <w:p w:rsidR="00C66C7D" w:rsidRPr="006740E5" w:rsidRDefault="00C66C7D" w:rsidP="002B21E6">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Pajamų pasiskirstymo pašto paslaugų rinkoje tarp valstybinio ir kitų pašto paslaugų teikėjų 2004–2010 m. II ketv. proc. </w:t>
      </w:r>
      <w:r w:rsidR="00377B1C" w:rsidRPr="006740E5">
        <w:rPr>
          <w:rFonts w:ascii="Times New Roman" w:hAnsi="Times New Roman"/>
          <w:sz w:val="24"/>
          <w:szCs w:val="24"/>
        </w:rPr>
        <w:t xml:space="preserve">analizė (žr. 4 pav.) </w:t>
      </w:r>
      <w:r w:rsidRPr="006740E5">
        <w:rPr>
          <w:rFonts w:ascii="Times New Roman" w:hAnsi="Times New Roman"/>
          <w:sz w:val="24"/>
          <w:szCs w:val="24"/>
        </w:rPr>
        <w:t>parodė, kad ne laikas yra reikalingas valstybiniam pašto paslaugų teikėjui siekiant išlaikyti tvirtą poziciją rinkoje – AB ,,Lietuvos paštas’’ net ir gavęs daugiau laiko pasiruošti visiškam rinkos atvėrimui nesinaudoja šia galimybe taip efektyviai kaip galėtų. Valstybės įmonė AB ,,Lietuvos paštas’’ vis dar laikosi rinkoje, tačiau netvirtai net ir turėdamas plačiausią paslaugų teikimo tinklą ir valstybės suteiktą mono</w:t>
      </w:r>
      <w:r w:rsidR="00B233A5" w:rsidRPr="006740E5">
        <w:rPr>
          <w:rFonts w:ascii="Times New Roman" w:hAnsi="Times New Roman"/>
          <w:sz w:val="24"/>
          <w:szCs w:val="24"/>
        </w:rPr>
        <w:t xml:space="preserve">polija teikiant dalį paslaugų. </w:t>
      </w:r>
      <w:r w:rsidRPr="006740E5">
        <w:rPr>
          <w:rFonts w:ascii="Times New Roman" w:hAnsi="Times New Roman"/>
          <w:sz w:val="24"/>
          <w:szCs w:val="24"/>
        </w:rPr>
        <w:t>Lietuvos pašto rinkos pokytis pavaizduotas 3 paveiksle leidžia daryti prielaidą, kad AB ,,Lietuvos paštas’’ pagal gaunamų pajamų kiekį yra solidus konkurentas privatiems pašto paslaugų teikėjams, tačiau valstybinio pašto paslaugų teikėjo finansinė gan pastovi ir nedžiuginanti – per pirmąjį 2009 m. pusmetį įmonė patyrė per 20 mln. lt nuostolį, o per 2010 m. nuostolių dar padidėjo.</w:t>
      </w:r>
    </w:p>
    <w:p w:rsidR="00C66C7D" w:rsidRPr="006740E5" w:rsidRDefault="00C66C7D" w:rsidP="002B21E6">
      <w:pPr>
        <w:tabs>
          <w:tab w:val="left" w:pos="-6379"/>
        </w:tabs>
        <w:spacing w:before="20" w:after="40" w:line="360" w:lineRule="auto"/>
        <w:jc w:val="center"/>
        <w:rPr>
          <w:rFonts w:ascii="Times New Roman" w:hAnsi="Times New Roman"/>
          <w:sz w:val="6"/>
          <w:szCs w:val="6"/>
          <w:lang w:eastAsia="lt-LT"/>
        </w:rPr>
      </w:pPr>
    </w:p>
    <w:p w:rsidR="00C66C7D" w:rsidRPr="006740E5" w:rsidRDefault="00FB614B" w:rsidP="002B21E6">
      <w:pPr>
        <w:tabs>
          <w:tab w:val="left" w:pos="-6379"/>
        </w:tabs>
        <w:spacing w:before="20" w:after="40" w:line="240" w:lineRule="auto"/>
        <w:jc w:val="center"/>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4837430" cy="1508760"/>
            <wp:effectExtent l="19050" t="0" r="20320"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66C7D" w:rsidRPr="006740E5" w:rsidRDefault="00C66C7D" w:rsidP="002B21E6">
      <w:pPr>
        <w:tabs>
          <w:tab w:val="left" w:pos="-6379"/>
        </w:tabs>
        <w:spacing w:after="120" w:line="360" w:lineRule="auto"/>
        <w:ind w:firstLine="1134"/>
        <w:rPr>
          <w:rFonts w:ascii="Times New Roman" w:hAnsi="Times New Roman"/>
          <w:sz w:val="16"/>
          <w:szCs w:val="16"/>
          <w:lang w:eastAsia="lt-LT"/>
        </w:rPr>
      </w:pPr>
      <w:r w:rsidRPr="006740E5">
        <w:rPr>
          <w:rFonts w:ascii="Times New Roman" w:hAnsi="Times New Roman"/>
          <w:sz w:val="16"/>
          <w:szCs w:val="16"/>
          <w:lang w:eastAsia="lt-LT"/>
        </w:rPr>
        <w:t>Sudaryta autorės remiantis: LR RRT pašto sektoriaus 2002−2010 m. II ketv. ataskaitomis</w:t>
      </w:r>
    </w:p>
    <w:p w:rsidR="00C66C7D" w:rsidRPr="006740E5" w:rsidRDefault="00597826" w:rsidP="002B21E6">
      <w:pPr>
        <w:tabs>
          <w:tab w:val="left" w:pos="-6379"/>
        </w:tabs>
        <w:spacing w:after="240"/>
        <w:jc w:val="center"/>
        <w:rPr>
          <w:rFonts w:ascii="Times New Roman" w:hAnsi="Times New Roman"/>
          <w:b/>
          <w:sz w:val="24"/>
          <w:szCs w:val="24"/>
        </w:rPr>
      </w:pPr>
      <w:r w:rsidRPr="006740E5">
        <w:rPr>
          <w:rFonts w:ascii="Times New Roman" w:hAnsi="Times New Roman"/>
          <w:sz w:val="24"/>
          <w:szCs w:val="24"/>
        </w:rPr>
        <w:t>4</w:t>
      </w:r>
      <w:r w:rsidR="00C66C7D" w:rsidRPr="006740E5">
        <w:rPr>
          <w:rFonts w:ascii="Times New Roman" w:hAnsi="Times New Roman"/>
          <w:sz w:val="24"/>
          <w:szCs w:val="24"/>
        </w:rPr>
        <w:t xml:space="preserve"> pav.</w:t>
      </w:r>
      <w:r w:rsidR="00C66C7D" w:rsidRPr="006740E5">
        <w:rPr>
          <w:rFonts w:ascii="Times New Roman" w:hAnsi="Times New Roman"/>
          <w:b/>
          <w:sz w:val="24"/>
          <w:szCs w:val="24"/>
        </w:rPr>
        <w:t xml:space="preserve"> Pajamų pasiskirstymo pašto paslaugų rinkoje tarp valstybinio ir kitų pašto paslaugų </w:t>
      </w:r>
      <w:r w:rsidR="00C66C7D" w:rsidRPr="006740E5">
        <w:rPr>
          <w:rFonts w:ascii="Times New Roman" w:hAnsi="Times New Roman"/>
          <w:b/>
          <w:sz w:val="24"/>
          <w:szCs w:val="24"/>
        </w:rPr>
        <w:br/>
        <w:t>teikėjų 2004–2010 m. II ketv. proc. analizė</w:t>
      </w:r>
    </w:p>
    <w:p w:rsidR="00C66C7D" w:rsidRPr="006740E5" w:rsidRDefault="00C66C7D" w:rsidP="002B21E6">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 xml:space="preserve">Pajamų pasiskirstymo pasiuntinių paslaugų teikimo rinkoje tarp valstybinio ir kitų pasiuntinių paslaugų teikėjų 2004−2010 m. II ketv. proc. analizė (žr. </w:t>
      </w:r>
      <w:r w:rsidR="00377B1C" w:rsidRPr="006740E5">
        <w:rPr>
          <w:rFonts w:ascii="Times New Roman" w:hAnsi="Times New Roman"/>
          <w:sz w:val="24"/>
          <w:szCs w:val="24"/>
        </w:rPr>
        <w:t>5</w:t>
      </w:r>
      <w:r w:rsidRPr="006740E5">
        <w:rPr>
          <w:rFonts w:ascii="Times New Roman" w:hAnsi="Times New Roman"/>
          <w:sz w:val="24"/>
          <w:szCs w:val="24"/>
        </w:rPr>
        <w:t xml:space="preserve"> pav.) parodė, kad</w:t>
      </w:r>
      <w:r w:rsidRPr="006740E5">
        <w:rPr>
          <w:rFonts w:ascii="Times New Roman" w:hAnsi="Times New Roman"/>
          <w:b/>
          <w:sz w:val="24"/>
          <w:szCs w:val="24"/>
        </w:rPr>
        <w:t xml:space="preserve"> </w:t>
      </w:r>
      <w:r w:rsidRPr="006740E5">
        <w:rPr>
          <w:rFonts w:ascii="Times New Roman" w:hAnsi="Times New Roman"/>
          <w:sz w:val="24"/>
          <w:szCs w:val="24"/>
        </w:rPr>
        <w:t xml:space="preserve">valstybinis pašto paslaugų teikėjas iš pasiuntinių paslaugų rinkos yra sparčiai išstumiamas. Nuo 2004 m. pasiuntinių paslaugų teikimas buvo išlaisvintas nuo licencijavimo, paliekant būsimam pasiuntinių paslaugų teikėjui pareigą tik informuoti apie planuojamą veiklą RRT. AB ,,Lietuvos paštas’’ pasiuntinių paslaugas teikiant neefektyviai ir to pasėkoje susikūrus poreikiui pradėjo sparčiai steigtis privatūs pasiuntinių paslaugų teikėjai greitai perėmę didžiąją dalį šios rinkos, kuri pamažu vis didėja ir toliau. Pajamų pasiskirstymo pasiuntinių paslaugų teikimo rinkoje analizės atskleista tendencija leidžia daryti prielaidą, kad nepasikeitus aplinkybėms AB ,,Lietuvos paštas’’ iš pasiuntinių paslaugų rinkos bus išstumta po 15–20 m. AB ,,Lietuvos paštas’’ pasiuntinių veiklai sėkmingai vykdyti turi puikią </w:t>
      </w:r>
      <w:r w:rsidRPr="006740E5">
        <w:rPr>
          <w:rFonts w:ascii="Times New Roman" w:hAnsi="Times New Roman"/>
          <w:sz w:val="24"/>
          <w:szCs w:val="24"/>
        </w:rPr>
        <w:lastRenderedPageBreak/>
        <w:t>infrastruktūrą ir gausius išteklius, todėl tokį lengvą rinkos atidavimą konkurentams reikėtų vertinti jau ne iš materialinių bendrovės pajėgumų , o iš vadybinių aukščiausio lygio vadovų gebėjimų pusės.</w:t>
      </w:r>
    </w:p>
    <w:p w:rsidR="00C66C7D" w:rsidRPr="006740E5" w:rsidRDefault="00C66C7D" w:rsidP="002B21E6">
      <w:pPr>
        <w:pStyle w:val="ListParagraph"/>
        <w:tabs>
          <w:tab w:val="left" w:pos="-6379"/>
        </w:tabs>
        <w:spacing w:after="0" w:line="360" w:lineRule="auto"/>
        <w:ind w:left="0"/>
        <w:rPr>
          <w:rFonts w:ascii="Times New Roman" w:hAnsi="Times New Roman"/>
          <w:sz w:val="12"/>
          <w:szCs w:val="12"/>
        </w:rPr>
      </w:pPr>
    </w:p>
    <w:p w:rsidR="00C66C7D" w:rsidRPr="006740E5" w:rsidRDefault="00B233A5" w:rsidP="00B233A5">
      <w:pPr>
        <w:pStyle w:val="ListParagraph"/>
        <w:tabs>
          <w:tab w:val="left" w:pos="-6379"/>
        </w:tabs>
        <w:spacing w:after="0" w:line="360" w:lineRule="auto"/>
        <w:ind w:left="0"/>
        <w:jc w:val="center"/>
        <w:rPr>
          <w:rFonts w:ascii="Times New Roman" w:hAnsi="Times New Roman"/>
          <w:sz w:val="12"/>
          <w:szCs w:val="12"/>
        </w:rPr>
      </w:pPr>
      <w:r w:rsidRPr="006740E5">
        <w:rPr>
          <w:rFonts w:ascii="Times New Roman" w:hAnsi="Times New Roman"/>
          <w:sz w:val="12"/>
          <w:szCs w:val="12"/>
          <w:lang w:eastAsia="lt-LT"/>
        </w:rPr>
        <w:drawing>
          <wp:inline distT="0" distB="0" distL="0" distR="0">
            <wp:extent cx="4913630" cy="1590675"/>
            <wp:effectExtent l="19050" t="0" r="127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4913630" cy="1590675"/>
                    </a:xfrm>
                    <a:prstGeom prst="rect">
                      <a:avLst/>
                    </a:prstGeom>
                    <a:noFill/>
                  </pic:spPr>
                </pic:pic>
              </a:graphicData>
            </a:graphic>
          </wp:inline>
        </w:drawing>
      </w:r>
    </w:p>
    <w:p w:rsidR="00C66C7D" w:rsidRPr="006740E5" w:rsidRDefault="00C66C7D" w:rsidP="002B21E6">
      <w:pPr>
        <w:tabs>
          <w:tab w:val="left" w:pos="-6379"/>
        </w:tabs>
        <w:spacing w:after="120" w:line="360" w:lineRule="auto"/>
        <w:ind w:firstLine="1134"/>
        <w:rPr>
          <w:rFonts w:ascii="Times New Roman" w:hAnsi="Times New Roman"/>
          <w:sz w:val="16"/>
          <w:szCs w:val="16"/>
          <w:lang w:eastAsia="lt-LT"/>
        </w:rPr>
      </w:pPr>
      <w:r w:rsidRPr="006740E5">
        <w:rPr>
          <w:rFonts w:ascii="Times New Roman" w:hAnsi="Times New Roman"/>
          <w:sz w:val="16"/>
          <w:szCs w:val="16"/>
          <w:lang w:eastAsia="lt-LT"/>
        </w:rPr>
        <w:t>Sudaryta autorės remiantis: LR RRT pašto sektoriaus 2004−2010 m. II ketv. ataskaitomis</w:t>
      </w:r>
    </w:p>
    <w:p w:rsidR="00C66C7D" w:rsidRPr="006740E5" w:rsidRDefault="00597826" w:rsidP="002B21E6">
      <w:pPr>
        <w:pStyle w:val="ListParagraph"/>
        <w:tabs>
          <w:tab w:val="left" w:pos="-6379"/>
        </w:tabs>
        <w:spacing w:after="240"/>
        <w:ind w:left="0"/>
        <w:jc w:val="center"/>
        <w:rPr>
          <w:rFonts w:ascii="Times New Roman" w:hAnsi="Times New Roman"/>
          <w:b/>
          <w:sz w:val="24"/>
          <w:szCs w:val="24"/>
        </w:rPr>
      </w:pPr>
      <w:r w:rsidRPr="006740E5">
        <w:rPr>
          <w:rFonts w:ascii="Times New Roman" w:hAnsi="Times New Roman"/>
          <w:sz w:val="24"/>
          <w:szCs w:val="24"/>
        </w:rPr>
        <w:t>5</w:t>
      </w:r>
      <w:r w:rsidR="00C66C7D" w:rsidRPr="006740E5">
        <w:rPr>
          <w:rFonts w:ascii="Times New Roman" w:hAnsi="Times New Roman"/>
          <w:sz w:val="24"/>
          <w:szCs w:val="24"/>
        </w:rPr>
        <w:t xml:space="preserve"> pav. </w:t>
      </w:r>
      <w:r w:rsidR="00C66C7D" w:rsidRPr="006740E5">
        <w:rPr>
          <w:rFonts w:ascii="Times New Roman" w:hAnsi="Times New Roman"/>
          <w:b/>
          <w:sz w:val="24"/>
          <w:szCs w:val="24"/>
        </w:rPr>
        <w:t xml:space="preserve">Pajamų pasiskirstymo pasiuntinių paslaugų teikimo rinkoje tarp valstybinio </w:t>
      </w:r>
      <w:r w:rsidR="00C66C7D" w:rsidRPr="006740E5">
        <w:rPr>
          <w:rFonts w:ascii="Times New Roman" w:hAnsi="Times New Roman"/>
          <w:b/>
          <w:sz w:val="24"/>
          <w:szCs w:val="24"/>
        </w:rPr>
        <w:br/>
        <w:t>ir kitų pasiuntinių paslaugų teikėjų 2004−2010 m. II ketv. proc. analizė</w:t>
      </w:r>
    </w:p>
    <w:p w:rsidR="00C66C7D" w:rsidRPr="006740E5" w:rsidRDefault="00C66C7D" w:rsidP="002B21E6">
      <w:pPr>
        <w:pStyle w:val="ListParagraph"/>
        <w:tabs>
          <w:tab w:val="left" w:pos="-6379"/>
        </w:tabs>
        <w:spacing w:after="240" w:line="360" w:lineRule="auto"/>
        <w:ind w:left="0"/>
        <w:jc w:val="center"/>
        <w:rPr>
          <w:rFonts w:ascii="Times New Roman" w:hAnsi="Times New Roman"/>
          <w:b/>
          <w:sz w:val="12"/>
          <w:szCs w:val="12"/>
        </w:rPr>
      </w:pPr>
    </w:p>
    <w:p w:rsidR="00C66C7D" w:rsidRPr="006740E5" w:rsidRDefault="00C66C7D" w:rsidP="002B21E6">
      <w:pPr>
        <w:pStyle w:val="ListParagraph"/>
        <w:spacing w:line="360" w:lineRule="auto"/>
        <w:ind w:left="0" w:firstLine="567"/>
        <w:jc w:val="both"/>
        <w:rPr>
          <w:rFonts w:ascii="Times New Roman" w:hAnsi="Times New Roman"/>
          <w:sz w:val="24"/>
          <w:szCs w:val="24"/>
        </w:rPr>
      </w:pPr>
      <w:r w:rsidRPr="006740E5">
        <w:rPr>
          <w:rFonts w:ascii="Times New Roman" w:hAnsi="Times New Roman"/>
          <w:sz w:val="24"/>
          <w:szCs w:val="24"/>
        </w:rPr>
        <w:t>Pajamų pasiskirstymo pašto korespondencijos paslaugų teikimo rinkoje tarp valstybinio ir kitų pasiuntinių paslaugų teikėjų 2004−2010 m. II ketv. proc. analizė</w:t>
      </w:r>
      <w:r w:rsidR="00377B1C" w:rsidRPr="006740E5">
        <w:rPr>
          <w:rFonts w:ascii="Times New Roman" w:hAnsi="Times New Roman"/>
          <w:sz w:val="24"/>
          <w:szCs w:val="24"/>
        </w:rPr>
        <w:t xml:space="preserve"> (žr. 6 pav.)</w:t>
      </w:r>
      <w:r w:rsidRPr="006740E5">
        <w:rPr>
          <w:rFonts w:ascii="Times New Roman" w:hAnsi="Times New Roman"/>
          <w:sz w:val="24"/>
          <w:szCs w:val="24"/>
        </w:rPr>
        <w:t xml:space="preserve"> atskleidė kaip Valstybinis pašto paslaugų teikėjas turėdamas tokią mažytę pasiuntinių paslaugų rinkos dalį bendrame rinkos kontekste surenka apie 50 proc. rinkoje gaunamų pajamų – išsilaikymą rinkoje atsveria subjekto teikiamos pašto korespondencijos paslaugos. AB ,,Lietuvos paštas’’ turi užėmęs ypatingai didelę pašto korespondencijos rinkos dalį. RRT duomenimis pajamos iš pašto korespondencijos paslaugų Lietuvoje sudaro arti pusės visų šioje rinkoje gaunamų pajamų. AB ,,Lietuvos paštas’’ taip sėkmingai veikia pašto korespondencijos paslaugų rinkoje, nes valstybiniam pašto paslaugų teikėjui leista pasilikti dalį rezervuotų pašto korespondencijos paslaugų pašto rinkos liberalizavimą įgyvendinant palaipsniui. Privatūs pašto paslaugų teikėjai jau įvertino pašto korespondencijos paslaugų naudą – 2008 m. netgi buvo suaktyvėjimas šių paslaugų teikimo tarp privačių pašto paslaugų teikėjų, tačiau pastarųjų veiklą apsunkina tai, kad valstybiniam pašto paslaugų teikėjui yra rezervuotos populiariausios pašto korespondencijos paslaugos taip pat tai, kad šių paslaugų teikimui būtinas platus pašto tinklas, kurį kurti neturint galimybės teikti populiariausias pašto korespondencijos paslaugas privatiems pašto paslaugų teikėjams nėra pelninga. Visiškai atvėrus pašto rinką 2013 m. nebeliks rezervuotųjų paslaugų ir jei AB ,,Lietuvos paštas’’ ir toliau laikysis šiuo metu taikomų neefektyvių verslo organizavimo metodų, visiškai atvėrus rinką privataus sektoriaus pašto paslaugų teikėjai pašto korespondencijos paslaugų teikimą perims taip pat sėkmingai kaip tai šiuo metu vyksta su pasiuntinių paslaugų teikimo rinka. AB ,,Lietuvos paštas’’ šiuo metu laikosi tik dėl jam rezervuotosios pašto korespondencijos paslaugų dalies, praradus šį saugumo garantą, bendrovei reikės savarankiškai ieškoti būdų vien išlaikyti turimą klientų apimti, dar net nekalbant apie naujų pritraukimą. Likęs laikas iki visiško pašto rinkos liberalizavimo yra labai trumpas tinkamai pasiruošti, iki šiol turėtas laikas ir gausūs ištekliai nebuvo tinkamai išnaudoti, tai leidžia daryti prielaidą, kad valstybinis pašto paslaugų teikėjas </w:t>
      </w:r>
      <w:r w:rsidRPr="006740E5">
        <w:rPr>
          <w:rFonts w:ascii="Times New Roman" w:hAnsi="Times New Roman"/>
          <w:sz w:val="24"/>
          <w:szCs w:val="24"/>
        </w:rPr>
        <w:lastRenderedPageBreak/>
        <w:t>nesuvokia savo realios padėties pašto rinkoje ir/ar net nesistengia suvokti veikdamas iš inercijos ir pasitikėdamas esamų klientų ištikimybe.</w:t>
      </w:r>
    </w:p>
    <w:p w:rsidR="00C66C7D" w:rsidRPr="006740E5" w:rsidRDefault="00C66C7D" w:rsidP="002B21E6">
      <w:pPr>
        <w:pStyle w:val="ListParagraph"/>
        <w:tabs>
          <w:tab w:val="left" w:pos="-6379"/>
        </w:tabs>
        <w:spacing w:before="20" w:after="40" w:line="360" w:lineRule="auto"/>
        <w:ind w:left="0" w:firstLine="567"/>
        <w:jc w:val="both"/>
        <w:rPr>
          <w:rFonts w:ascii="Times New Roman" w:hAnsi="Times New Roman"/>
          <w:sz w:val="6"/>
          <w:szCs w:val="6"/>
        </w:rPr>
      </w:pPr>
    </w:p>
    <w:p w:rsidR="00C66C7D" w:rsidRPr="006740E5" w:rsidRDefault="00FB614B" w:rsidP="002B21E6">
      <w:pPr>
        <w:pStyle w:val="ListParagraph"/>
        <w:tabs>
          <w:tab w:val="left" w:pos="-6379"/>
          <w:tab w:val="left" w:pos="8222"/>
        </w:tabs>
        <w:spacing w:before="20" w:after="40" w:line="360" w:lineRule="auto"/>
        <w:ind w:left="0"/>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4511675" cy="1381125"/>
            <wp:effectExtent l="19050" t="0" r="22225" b="0"/>
            <wp:docPr id="6" name="Picture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66C7D" w:rsidRPr="006740E5" w:rsidRDefault="00C66C7D" w:rsidP="000A6F86">
      <w:pPr>
        <w:tabs>
          <w:tab w:val="left" w:pos="-6379"/>
        </w:tabs>
        <w:spacing w:after="60" w:line="360" w:lineRule="auto"/>
        <w:ind w:firstLine="1418"/>
        <w:rPr>
          <w:rFonts w:ascii="Times New Roman" w:hAnsi="Times New Roman"/>
          <w:sz w:val="16"/>
          <w:szCs w:val="16"/>
          <w:lang w:eastAsia="lt-LT"/>
        </w:rPr>
      </w:pPr>
      <w:r w:rsidRPr="006740E5">
        <w:rPr>
          <w:rFonts w:ascii="Times New Roman" w:hAnsi="Times New Roman"/>
          <w:sz w:val="16"/>
          <w:szCs w:val="16"/>
          <w:lang w:eastAsia="lt-LT"/>
        </w:rPr>
        <w:t>Sudaryta autorės remiantis: RRT pašto sektoriaus 2004−2010 m. II ketv. ataskaitomis</w:t>
      </w:r>
    </w:p>
    <w:p w:rsidR="00C66C7D" w:rsidRPr="006740E5" w:rsidRDefault="00597826" w:rsidP="002B21E6">
      <w:pPr>
        <w:pStyle w:val="ListParagraph"/>
        <w:tabs>
          <w:tab w:val="left" w:pos="-6379"/>
        </w:tabs>
        <w:spacing w:before="20" w:after="40"/>
        <w:ind w:left="0"/>
        <w:jc w:val="center"/>
        <w:rPr>
          <w:rFonts w:ascii="Times New Roman" w:hAnsi="Times New Roman"/>
          <w:b/>
          <w:sz w:val="24"/>
          <w:szCs w:val="24"/>
        </w:rPr>
      </w:pPr>
      <w:r w:rsidRPr="006740E5">
        <w:rPr>
          <w:rFonts w:ascii="Times New Roman" w:hAnsi="Times New Roman"/>
          <w:sz w:val="24"/>
          <w:szCs w:val="24"/>
        </w:rPr>
        <w:t>6</w:t>
      </w:r>
      <w:r w:rsidR="00C66C7D" w:rsidRPr="006740E5">
        <w:rPr>
          <w:rFonts w:ascii="Times New Roman" w:hAnsi="Times New Roman"/>
          <w:sz w:val="24"/>
          <w:szCs w:val="24"/>
        </w:rPr>
        <w:t xml:space="preserve"> pav. </w:t>
      </w:r>
      <w:r w:rsidR="00C66C7D" w:rsidRPr="006740E5">
        <w:rPr>
          <w:rFonts w:ascii="Times New Roman" w:hAnsi="Times New Roman"/>
          <w:b/>
          <w:sz w:val="24"/>
          <w:szCs w:val="24"/>
        </w:rPr>
        <w:t xml:space="preserve">Pajamų pasiskirstymo pašto korespondencijos paslaugų teikimo rinkoje tarp </w:t>
      </w:r>
      <w:r w:rsidR="00C66C7D" w:rsidRPr="006740E5">
        <w:rPr>
          <w:rFonts w:ascii="Times New Roman" w:hAnsi="Times New Roman"/>
          <w:b/>
          <w:sz w:val="24"/>
          <w:szCs w:val="24"/>
        </w:rPr>
        <w:br/>
        <w:t>valstybinio ir kitų pasiuntinių paslaugų teikėjų 2004−2010 m. II ketv. proc. analizė</w:t>
      </w:r>
    </w:p>
    <w:p w:rsidR="00C66C7D" w:rsidRPr="006740E5" w:rsidRDefault="00C66C7D" w:rsidP="002B21E6">
      <w:pPr>
        <w:pStyle w:val="ListParagraph"/>
        <w:tabs>
          <w:tab w:val="left" w:pos="-6379"/>
        </w:tabs>
        <w:spacing w:before="20" w:after="40" w:line="360" w:lineRule="auto"/>
        <w:ind w:left="0" w:firstLine="567"/>
        <w:jc w:val="center"/>
        <w:rPr>
          <w:rFonts w:ascii="Times New Roman" w:hAnsi="Times New Roman"/>
          <w:b/>
          <w:sz w:val="12"/>
          <w:szCs w:val="12"/>
        </w:rPr>
      </w:pPr>
    </w:p>
    <w:p w:rsidR="00C66C7D" w:rsidRPr="006740E5" w:rsidRDefault="00C66C7D" w:rsidP="002B21E6">
      <w:pPr>
        <w:tabs>
          <w:tab w:val="left" w:pos="-6379"/>
          <w:tab w:val="left" w:pos="-142"/>
          <w:tab w:val="left" w:pos="70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Lietuvos pašto rinkos raidos analizė parodė, koks nestabilus šalies pašto paslaugų reglamentavimas per pastaruosius 20 m. Kiekvienas teisinis pokytis reglamentavime darė reikšmingą įtaką valstybinio pašto paslaugų teikėjo vaidmeniui rinkoje. Lietuvos pašto sektoriaus reglamentavimui artėjant prie ES nurodomos pašto rinkos atvėrimo krypties, teisinis reglamentavimas praranda savo reikšmę – pašto rinka yra liberalizuojama, tad iškyla kitų veiksnių svarba subjekto gyvavimo sėkmingumui.</w:t>
      </w:r>
    </w:p>
    <w:p w:rsidR="00C66C7D" w:rsidRPr="006740E5" w:rsidRDefault="00C66C7D" w:rsidP="00FB15B3">
      <w:pPr>
        <w:pStyle w:val="ListParagraph"/>
        <w:tabs>
          <w:tab w:val="left" w:pos="-6379"/>
        </w:tabs>
        <w:spacing w:after="0"/>
        <w:ind w:left="450" w:firstLine="567"/>
        <w:rPr>
          <w:rFonts w:ascii="Times New Roman" w:hAnsi="Times New Roman"/>
          <w:b/>
          <w:sz w:val="16"/>
          <w:szCs w:val="16"/>
        </w:rPr>
      </w:pPr>
    </w:p>
    <w:p w:rsidR="00C66C7D" w:rsidRPr="006740E5" w:rsidRDefault="007E25E9" w:rsidP="00C3503C">
      <w:pPr>
        <w:pStyle w:val="ListParagraph"/>
        <w:tabs>
          <w:tab w:val="left" w:pos="-6379"/>
        </w:tabs>
        <w:ind w:left="0"/>
        <w:jc w:val="center"/>
        <w:rPr>
          <w:rFonts w:ascii="Times New Roman" w:hAnsi="Times New Roman"/>
          <w:b/>
          <w:sz w:val="24"/>
          <w:szCs w:val="24"/>
        </w:rPr>
      </w:pPr>
      <w:r w:rsidRPr="006740E5">
        <w:rPr>
          <w:rFonts w:ascii="Times New Roman" w:hAnsi="Times New Roman"/>
          <w:b/>
          <w:sz w:val="24"/>
          <w:szCs w:val="24"/>
        </w:rPr>
        <w:t xml:space="preserve">2.2. </w:t>
      </w:r>
      <w:r w:rsidR="00C3503C" w:rsidRPr="006740E5">
        <w:rPr>
          <w:rFonts w:ascii="Times New Roman" w:hAnsi="Times New Roman"/>
          <w:b/>
          <w:sz w:val="24"/>
          <w:szCs w:val="24"/>
        </w:rPr>
        <w:t>V</w:t>
      </w:r>
      <w:r w:rsidR="00C66C7D" w:rsidRPr="006740E5">
        <w:rPr>
          <w:rFonts w:ascii="Times New Roman" w:hAnsi="Times New Roman"/>
          <w:b/>
          <w:sz w:val="24"/>
          <w:szCs w:val="24"/>
        </w:rPr>
        <w:t xml:space="preserve">eikiančio AB ,,Lietuvos paštas’’ paslaugų teikimo modelis </w:t>
      </w:r>
      <w:r w:rsidR="00C66C7D" w:rsidRPr="006740E5">
        <w:rPr>
          <w:rFonts w:ascii="Times New Roman" w:hAnsi="Times New Roman"/>
          <w:b/>
          <w:sz w:val="24"/>
          <w:szCs w:val="24"/>
        </w:rPr>
        <w:br/>
        <w:t>ir probleminės subjekto veiklos sritys</w:t>
      </w:r>
    </w:p>
    <w:p w:rsidR="00C66C7D" w:rsidRPr="006740E5" w:rsidRDefault="00C66C7D" w:rsidP="00FB15B3">
      <w:pPr>
        <w:pStyle w:val="ListParagraph"/>
        <w:tabs>
          <w:tab w:val="left" w:pos="-6379"/>
        </w:tabs>
        <w:ind w:left="360" w:firstLine="567"/>
        <w:rPr>
          <w:rFonts w:ascii="Times New Roman" w:hAnsi="Times New Roman"/>
          <w:b/>
          <w:sz w:val="16"/>
          <w:szCs w:val="16"/>
        </w:rPr>
      </w:pPr>
    </w:p>
    <w:p w:rsidR="00C66C7D" w:rsidRPr="006740E5" w:rsidRDefault="00C66C7D" w:rsidP="00FB15B3">
      <w:pPr>
        <w:pStyle w:val="ListParagraph"/>
        <w:tabs>
          <w:tab w:val="left" w:pos="-6379"/>
        </w:tabs>
        <w:spacing w:after="0" w:line="360" w:lineRule="auto"/>
        <w:ind w:left="0" w:firstLine="567"/>
        <w:jc w:val="both"/>
        <w:rPr>
          <w:rFonts w:ascii="Times New Roman" w:hAnsi="Times New Roman"/>
          <w:sz w:val="24"/>
          <w:szCs w:val="24"/>
        </w:rPr>
      </w:pPr>
      <w:r w:rsidRPr="006740E5">
        <w:rPr>
          <w:rFonts w:ascii="Times New Roman" w:hAnsi="Times New Roman"/>
          <w:sz w:val="24"/>
          <w:szCs w:val="24"/>
        </w:rPr>
        <w:t xml:space="preserve">Siekiant pristatyti subjekto paslaugų teikimo modelį svarbu pirmiausia išskirti esminius elementus sukuriančius paslaugų teikimo aplinką ir nustatyti jų ryšius. Tiek teorinės, tiek empirinės pašto rinkos analizės metu buvo pastebėta, kad ekonominės veiklos subjektų aplinkos pagrindą sudaro keturi elementai: a) valstybės veiksmai teisiškai reguliuojant ekonominę veiklą; b) pats ekonominės veiklos subjektas ir jo vykdoma veikla; c) siūlomų paslaugų/prekių rinka, kurioje veiklą vykdo </w:t>
      </w:r>
      <w:r w:rsidRPr="006740E5">
        <w:rPr>
          <w:rFonts w:ascii="Times New Roman" w:hAnsi="Times New Roman"/>
          <w:sz w:val="24"/>
          <w:szCs w:val="24"/>
        </w:rPr>
        <w:br/>
        <w:t xml:space="preserve">ir kiti ekonominės veiklos subjektai; d) paslaugą/prekę gaunantis vartotojas. Šie keturi elementai sąveikauja sąlyginai uždarame rate, kurio pirminis elementas yra vartotojas. Subjektas siekdamas ekonominės naudos stengiasi patenkinti vartotojo poreikius, tuo pačiu subjektas teikdamas paslaugą/prekę naudojasi jam palankia informacijos asimetrija santykyje su vartotoju, todėl išryškėja valstybės svarba apsaugoti piliečių (vartotojų) teisę į kokybišką paslaugą/prekę. Atitinkamai vartotojas ir pats gali tiesiogiai išreikšti savo pageidavimus susijusius su paslauga/preke jas siūlančiam ekonominės veiklos subjektui. Uždaras santykių ratas atsiranda, nes vartotojo poreikių, išreikštų įpareigojimu valstybei saugoti vartotojus nuo nekokybiškų paslaugų/prekių ir pageidavimu teikti </w:t>
      </w:r>
      <w:r w:rsidRPr="006740E5">
        <w:rPr>
          <w:rFonts w:ascii="Times New Roman" w:hAnsi="Times New Roman"/>
          <w:sz w:val="24"/>
          <w:szCs w:val="24"/>
        </w:rPr>
        <w:br/>
        <w:t xml:space="preserve">tam tikras paslaugas/prekes ekonominės veiklos subjektui, patenkinimas yra atskleidžiamas per rinkoje atsirandančią paslaugų/prekių pasiūlą ir tos pasiūlos kokybę, kuri šiuos poreikius atitinka arba ne </w:t>
      </w:r>
      <w:r w:rsidRPr="006740E5">
        <w:rPr>
          <w:rFonts w:ascii="Times New Roman" w:hAnsi="Times New Roman"/>
          <w:sz w:val="24"/>
          <w:szCs w:val="24"/>
        </w:rPr>
        <w:br/>
        <w:t xml:space="preserve">(žr. </w:t>
      </w:r>
      <w:r w:rsidRPr="006740E5">
        <w:rPr>
          <w:rFonts w:ascii="Times New Roman" w:hAnsi="Times New Roman"/>
          <w:sz w:val="24"/>
          <w:szCs w:val="24"/>
          <w:lang w:eastAsia="lt-LT"/>
        </w:rPr>
        <w:t>7 pav.</w:t>
      </w:r>
      <w:r w:rsidRPr="006740E5">
        <w:rPr>
          <w:rFonts w:ascii="Times New Roman" w:hAnsi="Times New Roman"/>
          <w:sz w:val="24"/>
          <w:szCs w:val="24"/>
        </w:rPr>
        <w:t>).</w:t>
      </w:r>
    </w:p>
    <w:p w:rsidR="00C66C7D" w:rsidRPr="006740E5" w:rsidRDefault="00FB614B" w:rsidP="00FB15B3">
      <w:pPr>
        <w:tabs>
          <w:tab w:val="left" w:pos="-6379"/>
        </w:tabs>
        <w:spacing w:before="20" w:after="40" w:line="240" w:lineRule="auto"/>
        <w:jc w:val="center"/>
        <w:rPr>
          <w:rFonts w:ascii="Times New Roman" w:hAnsi="Times New Roman"/>
          <w:sz w:val="24"/>
          <w:szCs w:val="24"/>
          <w:lang w:eastAsia="lt-LT"/>
        </w:rPr>
      </w:pPr>
      <w:r w:rsidRPr="006740E5">
        <w:rPr>
          <w:rFonts w:ascii="Times New Roman" w:hAnsi="Times New Roman"/>
          <w:sz w:val="24"/>
          <w:szCs w:val="24"/>
          <w:lang w:eastAsia="lt-LT"/>
        </w:rPr>
        <w:lastRenderedPageBreak/>
        <w:drawing>
          <wp:inline distT="0" distB="0" distL="0" distR="0">
            <wp:extent cx="2076450" cy="833787"/>
            <wp:effectExtent l="0" t="0" r="0" b="0"/>
            <wp:docPr id="7" name="Picture 0" descr="Schem_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Schem_1.wmf"/>
                    <pic:cNvPicPr>
                      <a:picLocks noChangeAspect="1" noChangeArrowheads="1"/>
                    </pic:cNvPicPr>
                  </pic:nvPicPr>
                  <pic:blipFill>
                    <a:blip r:embed="rId15"/>
                    <a:srcRect/>
                    <a:stretch>
                      <a:fillRect/>
                    </a:stretch>
                  </pic:blipFill>
                  <pic:spPr bwMode="auto">
                    <a:xfrm>
                      <a:off x="0" y="0"/>
                      <a:ext cx="2076450" cy="833787"/>
                    </a:xfrm>
                    <a:prstGeom prst="rect">
                      <a:avLst/>
                    </a:prstGeom>
                    <a:noFill/>
                    <a:ln w="9525">
                      <a:noFill/>
                      <a:miter lim="800000"/>
                      <a:headEnd/>
                      <a:tailEnd/>
                    </a:ln>
                  </pic:spPr>
                </pic:pic>
              </a:graphicData>
            </a:graphic>
          </wp:inline>
        </w:drawing>
      </w:r>
    </w:p>
    <w:p w:rsidR="00C66C7D" w:rsidRPr="006740E5" w:rsidRDefault="00C66C7D" w:rsidP="00530DC3">
      <w:pPr>
        <w:tabs>
          <w:tab w:val="left" w:pos="-6379"/>
        </w:tabs>
        <w:spacing w:before="20" w:after="0" w:line="240" w:lineRule="auto"/>
        <w:ind w:firstLine="3260"/>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4962"/>
        </w:tabs>
        <w:spacing w:after="240" w:line="360" w:lineRule="auto"/>
        <w:jc w:val="center"/>
        <w:rPr>
          <w:rFonts w:ascii="Times New Roman" w:hAnsi="Times New Roman"/>
          <w:sz w:val="24"/>
          <w:szCs w:val="24"/>
          <w:lang w:eastAsia="lt-LT"/>
        </w:rPr>
      </w:pPr>
      <w:r w:rsidRPr="006740E5">
        <w:rPr>
          <w:rFonts w:ascii="Times New Roman" w:hAnsi="Times New Roman"/>
          <w:sz w:val="24"/>
          <w:szCs w:val="24"/>
          <w:lang w:eastAsia="lt-LT"/>
        </w:rPr>
        <w:t xml:space="preserve">7 pav. </w:t>
      </w:r>
      <w:r w:rsidRPr="006740E5">
        <w:rPr>
          <w:rFonts w:ascii="Times New Roman" w:hAnsi="Times New Roman"/>
          <w:b/>
          <w:sz w:val="24"/>
          <w:szCs w:val="24"/>
          <w:lang w:eastAsia="lt-LT"/>
        </w:rPr>
        <w:t>Principinis ekonominės veiklos subjekto, valstybės ir vartojo santykių modelis</w:t>
      </w:r>
    </w:p>
    <w:p w:rsidR="00C66C7D" w:rsidRPr="006740E5" w:rsidRDefault="00C66C7D" w:rsidP="00FB15B3">
      <w:pPr>
        <w:tabs>
          <w:tab w:val="left" w:pos="-6379"/>
          <w:tab w:val="left" w:pos="-4962"/>
        </w:tabs>
        <w:spacing w:before="20" w:after="40" w:line="360" w:lineRule="auto"/>
        <w:ind w:firstLine="567"/>
        <w:jc w:val="both"/>
        <w:rPr>
          <w:rFonts w:ascii="Times New Roman" w:hAnsi="Times New Roman"/>
          <w:sz w:val="24"/>
          <w:szCs w:val="24"/>
          <w:lang w:eastAsia="lt-LT"/>
        </w:rPr>
      </w:pPr>
      <w:r w:rsidRPr="006740E5">
        <w:rPr>
          <w:rFonts w:ascii="Times New Roman" w:hAnsi="Times New Roman"/>
          <w:sz w:val="24"/>
          <w:szCs w:val="24"/>
          <w:lang w:eastAsia="lt-LT"/>
        </w:rPr>
        <w:t xml:space="preserve">Pašto paslaugų teikimo rinka taip pat yra ekonominės veiklos sritis, todėl pašto paslaugų teikėjai veikia analogiškų elementų aplinkoje. Pašto paslaugų teikėjai į pateiktą Principinį ekonominės veiklos subjekto, valstybės ir vartojo santykių modelį 7 paveiksle negali būti visiškai tiesiogiai perkelti, </w:t>
      </w:r>
      <w:r w:rsidRPr="006740E5">
        <w:rPr>
          <w:rFonts w:ascii="Times New Roman" w:hAnsi="Times New Roman"/>
          <w:sz w:val="24"/>
          <w:szCs w:val="24"/>
          <w:lang w:eastAsia="lt-LT"/>
        </w:rPr>
        <w:br/>
        <w:t xml:space="preserve">nes pašto paslaugų teikėjų atveju valstybės dalyvavimo šiame santykių procese vaidmuo tampa dvilypis – valstybė yra: a) teisiškai reguliuojantis ekonominės veiklos vykdymą; </w:t>
      </w:r>
      <w:r w:rsidRPr="006740E5">
        <w:rPr>
          <w:rFonts w:ascii="Times New Roman" w:hAnsi="Times New Roman"/>
          <w:sz w:val="24"/>
          <w:szCs w:val="24"/>
          <w:lang w:eastAsia="lt-LT"/>
        </w:rPr>
        <w:br/>
        <w:t xml:space="preserve">b) vienas iš ekonominės veiklos subjektų teikiančių paslaugas (žr. 8 pav.). Šis valstybės vaidmens dvilypumas atsiranda, nes valstybė kaip piliečių interesų saugotoja ir būtinų paslaugų teikėja yra įpareigota užtikrinti: a) teikiamų paslaugų kokybę paslaugas teikiant privatiems paslaugų teikėjams; </w:t>
      </w:r>
      <w:r w:rsidRPr="006740E5">
        <w:rPr>
          <w:rFonts w:ascii="Times New Roman" w:hAnsi="Times New Roman"/>
          <w:sz w:val="24"/>
          <w:szCs w:val="24"/>
          <w:lang w:eastAsia="lt-LT"/>
        </w:rPr>
        <w:br/>
        <w:t>b) ryšių kūrimą ir palaikymą šalies gyventojams.</w:t>
      </w:r>
    </w:p>
    <w:p w:rsidR="00C66C7D" w:rsidRPr="006740E5" w:rsidRDefault="00FB614B" w:rsidP="00FB15B3">
      <w:pPr>
        <w:tabs>
          <w:tab w:val="left" w:pos="-6379"/>
        </w:tabs>
        <w:spacing w:before="20" w:after="120" w:line="240" w:lineRule="auto"/>
        <w:jc w:val="center"/>
        <w:rPr>
          <w:rFonts w:ascii="Times New Roman" w:hAnsi="Times New Roman"/>
          <w:sz w:val="16"/>
          <w:szCs w:val="16"/>
          <w:lang w:eastAsia="lt-LT"/>
        </w:rPr>
      </w:pPr>
      <w:r w:rsidRPr="006740E5">
        <w:rPr>
          <w:rFonts w:ascii="Times New Roman" w:hAnsi="Times New Roman"/>
          <w:sz w:val="16"/>
          <w:szCs w:val="16"/>
          <w:lang w:eastAsia="lt-LT"/>
        </w:rPr>
        <w:drawing>
          <wp:inline distT="0" distB="0" distL="0" distR="0">
            <wp:extent cx="2190750" cy="1078652"/>
            <wp:effectExtent l="19050" t="0" r="0" b="0"/>
            <wp:docPr id="8" name="Picture 13" descr="Schemos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hemos_2.jpg"/>
                    <pic:cNvPicPr>
                      <a:picLocks noChangeAspect="1" noChangeArrowheads="1"/>
                    </pic:cNvPicPr>
                  </pic:nvPicPr>
                  <pic:blipFill>
                    <a:blip r:embed="rId16"/>
                    <a:srcRect/>
                    <a:stretch>
                      <a:fillRect/>
                    </a:stretch>
                  </pic:blipFill>
                  <pic:spPr bwMode="auto">
                    <a:xfrm>
                      <a:off x="0" y="0"/>
                      <a:ext cx="2194894" cy="1080692"/>
                    </a:xfrm>
                    <a:prstGeom prst="rect">
                      <a:avLst/>
                    </a:prstGeom>
                    <a:noFill/>
                    <a:ln w="9525">
                      <a:noFill/>
                      <a:miter lim="800000"/>
                      <a:headEnd/>
                      <a:tailEnd/>
                    </a:ln>
                  </pic:spPr>
                </pic:pic>
              </a:graphicData>
            </a:graphic>
          </wp:inline>
        </w:drawing>
      </w:r>
    </w:p>
    <w:p w:rsidR="00C66C7D" w:rsidRPr="006740E5" w:rsidRDefault="00C66C7D" w:rsidP="00530DC3">
      <w:pPr>
        <w:tabs>
          <w:tab w:val="left" w:pos="-6379"/>
        </w:tabs>
        <w:spacing w:before="20" w:after="0" w:line="240" w:lineRule="auto"/>
        <w:ind w:firstLine="3260"/>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4962"/>
        </w:tabs>
        <w:spacing w:after="240" w:line="360" w:lineRule="auto"/>
        <w:jc w:val="center"/>
        <w:rPr>
          <w:rFonts w:ascii="Times New Roman" w:hAnsi="Times New Roman"/>
          <w:sz w:val="24"/>
          <w:szCs w:val="24"/>
          <w:lang w:eastAsia="lt-LT"/>
        </w:rPr>
      </w:pPr>
      <w:r w:rsidRPr="006740E5">
        <w:rPr>
          <w:rFonts w:ascii="Times New Roman" w:hAnsi="Times New Roman"/>
          <w:sz w:val="24"/>
          <w:szCs w:val="24"/>
          <w:lang w:eastAsia="lt-LT"/>
        </w:rPr>
        <w:t xml:space="preserve">8 pav. </w:t>
      </w:r>
      <w:r w:rsidRPr="006740E5">
        <w:rPr>
          <w:rFonts w:ascii="Times New Roman" w:hAnsi="Times New Roman"/>
          <w:b/>
          <w:sz w:val="24"/>
          <w:szCs w:val="24"/>
          <w:lang w:eastAsia="lt-LT"/>
        </w:rPr>
        <w:t>Principinis pašto paslaugų teikėjų, valstybės ir paslaugų gavėjo santykių modelis</w:t>
      </w:r>
    </w:p>
    <w:p w:rsidR="00C66C7D" w:rsidRPr="006740E5" w:rsidRDefault="00C66C7D" w:rsidP="00FB15B3">
      <w:pPr>
        <w:tabs>
          <w:tab w:val="left" w:pos="-6379"/>
          <w:tab w:val="left" w:pos="-4962"/>
        </w:tabs>
        <w:spacing w:before="20" w:after="40" w:line="360" w:lineRule="auto"/>
        <w:ind w:firstLine="567"/>
        <w:jc w:val="both"/>
        <w:rPr>
          <w:rFonts w:ascii="Times New Roman" w:hAnsi="Times New Roman"/>
          <w:sz w:val="24"/>
          <w:szCs w:val="24"/>
          <w:lang w:eastAsia="lt-LT"/>
        </w:rPr>
      </w:pPr>
      <w:r w:rsidRPr="006740E5">
        <w:rPr>
          <w:rFonts w:ascii="Times New Roman" w:hAnsi="Times New Roman"/>
          <w:sz w:val="24"/>
          <w:szCs w:val="24"/>
          <w:lang w:eastAsia="lt-LT"/>
        </w:rPr>
        <w:t xml:space="preserve">Dėl valstybės dvilypio vaidmens pašto rinkoje susidariusią situaciją tiksliau atskleidžia </w:t>
      </w:r>
      <w:r w:rsidRPr="006740E5">
        <w:rPr>
          <w:rFonts w:ascii="Times New Roman" w:hAnsi="Times New Roman"/>
          <w:sz w:val="24"/>
          <w:szCs w:val="24"/>
          <w:lang w:eastAsia="lt-LT"/>
        </w:rPr>
        <w:br/>
        <w:t xml:space="preserve">9 paveiksle pateiktas Detalizuotas pašto paslaugų teikėjų, valstybės ir paslaugų gavėjų santykių </w:t>
      </w:r>
      <w:r w:rsidRPr="006740E5">
        <w:rPr>
          <w:rFonts w:ascii="Times New Roman" w:hAnsi="Times New Roman"/>
          <w:sz w:val="24"/>
          <w:szCs w:val="24"/>
          <w:lang w:eastAsia="lt-LT"/>
        </w:rPr>
        <w:br/>
        <w:t xml:space="preserve">bei paslaugų teikimo modelis, kuriame pateikiamas patikslintas valstybės vaidmuo ir dėl jo susidariusi teikiamų pašto paslaugų padėtis rinkoje. Lietuvos pašto rinkos teisinio reglamentavimo ir raidos analizėje nustatyta, kad AB ,,Lietuvos paštas’’ yra pirmasis pašto paslaugų teikėjas Lietuvoje. Bendrovė būdama valstybinių pašto paslaugų teikėju ilgą laiką veikė monopolijos sąlygomis, kas leido laisvai veikti neanalizuojant vartotojų poreikių, tačiau ES institucijoms įpareigojus pradėti pašto rinkos liberalizavimo procesą pradėjo kurtis privatūs pašto paslaugų teikėjai, kurie paslaugų teikimą orientuoja į vartotojų poreikius ir sparčiai perima rinką. Nacionalinėse institucijose numačius </w:t>
      </w:r>
      <w:r w:rsidRPr="006740E5">
        <w:rPr>
          <w:rFonts w:ascii="Times New Roman" w:hAnsi="Times New Roman"/>
          <w:sz w:val="24"/>
          <w:szCs w:val="24"/>
          <w:lang w:eastAsia="lt-LT"/>
        </w:rPr>
        <w:br/>
        <w:t>šią galimybę dalis pašto paslaugų buvo rezervuota išimtinai AB ,,Lietuvos paštas’’, dėl šios priežasties dabartinė rinka yra šiek tiek iškreipta – veikianti ne pagal laisvos rinkos dėsnius. Atitinkamai, rezervuotoje pašto paslaugų dalyje, dėmesys vartotojui skiriamas minimaliai – rezervuotąją dalį paslaugų teikiančiam subjektui nėra būtinybės įdėti papildomus išteklius, nes tik jis vienintelis teikia šias paslaugas ir vartotojai neturi iš ko rinktis.</w:t>
      </w:r>
    </w:p>
    <w:p w:rsidR="00C66C7D" w:rsidRPr="006740E5" w:rsidRDefault="00FB614B" w:rsidP="00FB15B3">
      <w:pPr>
        <w:tabs>
          <w:tab w:val="left" w:pos="-6379"/>
          <w:tab w:val="left" w:pos="-4962"/>
        </w:tabs>
        <w:spacing w:before="20" w:after="40" w:line="240" w:lineRule="auto"/>
        <w:jc w:val="center"/>
        <w:rPr>
          <w:rFonts w:ascii="Times New Roman" w:hAnsi="Times New Roman"/>
          <w:sz w:val="24"/>
          <w:szCs w:val="24"/>
          <w:lang w:eastAsia="lt-LT"/>
        </w:rPr>
      </w:pPr>
      <w:r w:rsidRPr="006740E5">
        <w:rPr>
          <w:rFonts w:ascii="Times New Roman" w:hAnsi="Times New Roman"/>
          <w:sz w:val="24"/>
          <w:szCs w:val="24"/>
          <w:lang w:eastAsia="lt-LT"/>
        </w:rPr>
        <w:lastRenderedPageBreak/>
        <w:drawing>
          <wp:inline distT="0" distB="0" distL="0" distR="0">
            <wp:extent cx="3647209" cy="2743200"/>
            <wp:effectExtent l="19050" t="0" r="0" b="0"/>
            <wp:docPr id="9" name="Picture 6" descr="Schem_3.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hem_3.wmf"/>
                    <pic:cNvPicPr>
                      <a:picLocks noChangeAspect="1" noChangeArrowheads="1"/>
                    </pic:cNvPicPr>
                  </pic:nvPicPr>
                  <pic:blipFill>
                    <a:blip r:embed="rId17"/>
                    <a:srcRect/>
                    <a:stretch>
                      <a:fillRect/>
                    </a:stretch>
                  </pic:blipFill>
                  <pic:spPr bwMode="auto">
                    <a:xfrm>
                      <a:off x="0" y="0"/>
                      <a:ext cx="3649648" cy="2745035"/>
                    </a:xfrm>
                    <a:prstGeom prst="rect">
                      <a:avLst/>
                    </a:prstGeom>
                    <a:noFill/>
                    <a:ln w="9525">
                      <a:noFill/>
                      <a:miter lim="800000"/>
                      <a:headEnd/>
                      <a:tailEnd/>
                    </a:ln>
                  </pic:spPr>
                </pic:pic>
              </a:graphicData>
            </a:graphic>
          </wp:inline>
        </w:drawing>
      </w:r>
    </w:p>
    <w:p w:rsidR="00C66C7D" w:rsidRPr="006740E5" w:rsidRDefault="00C66C7D" w:rsidP="00530DC3">
      <w:pPr>
        <w:tabs>
          <w:tab w:val="left" w:pos="-6379"/>
        </w:tabs>
        <w:spacing w:after="0" w:line="240" w:lineRule="auto"/>
        <w:ind w:firstLine="2127"/>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4962"/>
        </w:tabs>
        <w:spacing w:after="240"/>
        <w:jc w:val="center"/>
        <w:rPr>
          <w:rFonts w:ascii="Times New Roman" w:hAnsi="Times New Roman"/>
          <w:sz w:val="24"/>
          <w:szCs w:val="24"/>
          <w:lang w:eastAsia="lt-LT"/>
        </w:rPr>
      </w:pPr>
      <w:r w:rsidRPr="006740E5">
        <w:rPr>
          <w:rFonts w:ascii="Times New Roman" w:hAnsi="Times New Roman"/>
          <w:sz w:val="24"/>
          <w:szCs w:val="24"/>
          <w:lang w:eastAsia="lt-LT"/>
        </w:rPr>
        <w:t xml:space="preserve">9 pav. </w:t>
      </w:r>
      <w:r w:rsidRPr="006740E5">
        <w:rPr>
          <w:rFonts w:ascii="Times New Roman" w:hAnsi="Times New Roman"/>
          <w:b/>
          <w:sz w:val="24"/>
          <w:szCs w:val="24"/>
          <w:lang w:eastAsia="lt-LT"/>
        </w:rPr>
        <w:t xml:space="preserve">Detalizuotas pašto paslaugų teikėjų, valstybės ir paslaugų gavėjų santykių </w:t>
      </w:r>
      <w:r w:rsidRPr="006740E5">
        <w:rPr>
          <w:rFonts w:ascii="Times New Roman" w:hAnsi="Times New Roman"/>
          <w:b/>
          <w:sz w:val="24"/>
          <w:szCs w:val="24"/>
          <w:lang w:eastAsia="lt-LT"/>
        </w:rPr>
        <w:br/>
        <w:t>bei paslaugų teikimo modelis</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lang w:eastAsia="lt-LT"/>
        </w:rPr>
      </w:pPr>
      <w:r w:rsidRPr="006740E5">
        <w:rPr>
          <w:rFonts w:ascii="Times New Roman" w:hAnsi="Times New Roman"/>
          <w:sz w:val="24"/>
          <w:szCs w:val="24"/>
        </w:rPr>
        <w:t xml:space="preserve">AB ,,Lietuvos paštas’’ siekdamas derintis prie kintančių aplinkos sąlygų yra įkūręs bendrą duomenų bazę, tuo pačių pašto skyriai yra sujungti į bendrą tinklą (CVVS), taip pat bendrovėje </w:t>
      </w:r>
      <w:r w:rsidRPr="006740E5">
        <w:rPr>
          <w:rFonts w:ascii="Times New Roman" w:hAnsi="Times New Roman"/>
          <w:sz w:val="24"/>
          <w:szCs w:val="24"/>
        </w:rPr>
        <w:br/>
        <w:t>yra įdiegta elektroninė paslaugų sąnaudų apskaitos sistema ABC (</w:t>
      </w:r>
      <w:r w:rsidRPr="006740E5">
        <w:rPr>
          <w:rFonts w:ascii="Times New Roman" w:hAnsi="Times New Roman"/>
          <w:i/>
          <w:iCs/>
          <w:sz w:val="24"/>
          <w:szCs w:val="24"/>
        </w:rPr>
        <w:t>angl</w:t>
      </w:r>
      <w:r w:rsidRPr="006740E5">
        <w:rPr>
          <w:rFonts w:ascii="Times New Roman" w:hAnsi="Times New Roman"/>
          <w:sz w:val="24"/>
          <w:szCs w:val="24"/>
        </w:rPr>
        <w:t xml:space="preserve">. Activity Based Costing), </w:t>
      </w:r>
      <w:r w:rsidRPr="006740E5">
        <w:rPr>
          <w:rFonts w:ascii="Times New Roman" w:hAnsi="Times New Roman"/>
          <w:sz w:val="24"/>
          <w:szCs w:val="24"/>
        </w:rPr>
        <w:br/>
        <w:t xml:space="preserve">kuri apskaičiuoja kiekvienos UPP sąnaudų savikainą – valstybinis pašto paslaugų teikėjas suvokia </w:t>
      </w:r>
      <w:r w:rsidRPr="006740E5">
        <w:rPr>
          <w:rFonts w:ascii="Times New Roman" w:hAnsi="Times New Roman"/>
          <w:sz w:val="24"/>
          <w:szCs w:val="24"/>
        </w:rPr>
        <w:br/>
        <w:t xml:space="preserve">IKT naudą, tačiau ją labiau orientuoja į vidinius procesus, nei į ryšio su vartotojais užmezgimą </w:t>
      </w:r>
      <w:r w:rsidRPr="006740E5">
        <w:rPr>
          <w:rFonts w:ascii="Times New Roman" w:hAnsi="Times New Roman"/>
          <w:sz w:val="24"/>
          <w:szCs w:val="24"/>
        </w:rPr>
        <w:br/>
        <w:t xml:space="preserve">ir potencialių bei esamų klientų poreikio tenkinimą. Šis faktas leidžia daryti prielaidą, </w:t>
      </w:r>
      <w:r w:rsidRPr="006740E5">
        <w:rPr>
          <w:rFonts w:ascii="Times New Roman" w:hAnsi="Times New Roman"/>
          <w:sz w:val="24"/>
          <w:szCs w:val="24"/>
        </w:rPr>
        <w:br/>
        <w:t>kad š</w:t>
      </w:r>
      <w:r w:rsidRPr="006740E5">
        <w:rPr>
          <w:rFonts w:ascii="Times New Roman" w:hAnsi="Times New Roman"/>
          <w:sz w:val="24"/>
          <w:szCs w:val="24"/>
          <w:lang w:eastAsia="lt-LT"/>
        </w:rPr>
        <w:t>iuo metu veikiantis AB ,,Lietuvos paštas’’ paslaugų teikimo modelis (žr. 10 pav.)</w:t>
      </w:r>
      <w:r w:rsidR="00312F86" w:rsidRPr="006740E5">
        <w:rPr>
          <w:rFonts w:ascii="Times New Roman" w:hAnsi="Times New Roman"/>
          <w:sz w:val="24"/>
          <w:szCs w:val="24"/>
          <w:lang w:eastAsia="lt-LT"/>
        </w:rPr>
        <w:t xml:space="preserve">, </w:t>
      </w:r>
      <w:r w:rsidRPr="006740E5">
        <w:rPr>
          <w:rFonts w:ascii="Times New Roman" w:hAnsi="Times New Roman"/>
          <w:sz w:val="24"/>
          <w:szCs w:val="24"/>
          <w:lang w:eastAsia="lt-LT"/>
        </w:rPr>
        <w:t>yra minimaliai orientuotas į informacinės visuomenės vartotoją ir varžymąsi su konkurentais dėl rinkos.</w:t>
      </w:r>
    </w:p>
    <w:p w:rsidR="00C66C7D" w:rsidRPr="006740E5" w:rsidRDefault="00FB614B" w:rsidP="00FB15B3">
      <w:pPr>
        <w:tabs>
          <w:tab w:val="left" w:pos="-6379"/>
          <w:tab w:val="left" w:pos="-4962"/>
        </w:tabs>
        <w:spacing w:before="20" w:after="40" w:line="240" w:lineRule="auto"/>
        <w:jc w:val="center"/>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4352925" cy="2909527"/>
            <wp:effectExtent l="19050" t="0" r="9525" b="0"/>
            <wp:docPr id="10" name="Picture 18" descr="Schem_4 - Cop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hem_4 - Copy.bmp"/>
                    <pic:cNvPicPr>
                      <a:picLocks noChangeAspect="1" noChangeArrowheads="1"/>
                    </pic:cNvPicPr>
                  </pic:nvPicPr>
                  <pic:blipFill>
                    <a:blip r:embed="rId18"/>
                    <a:srcRect/>
                    <a:stretch>
                      <a:fillRect/>
                    </a:stretch>
                  </pic:blipFill>
                  <pic:spPr bwMode="auto">
                    <a:xfrm>
                      <a:off x="0" y="0"/>
                      <a:ext cx="4355329" cy="2911134"/>
                    </a:xfrm>
                    <a:prstGeom prst="rect">
                      <a:avLst/>
                    </a:prstGeom>
                    <a:noFill/>
                    <a:ln w="9525">
                      <a:noFill/>
                      <a:miter lim="800000"/>
                      <a:headEnd/>
                      <a:tailEnd/>
                    </a:ln>
                  </pic:spPr>
                </pic:pic>
              </a:graphicData>
            </a:graphic>
          </wp:inline>
        </w:drawing>
      </w:r>
    </w:p>
    <w:p w:rsidR="00C66C7D" w:rsidRPr="006740E5" w:rsidRDefault="00C66C7D" w:rsidP="004E168C">
      <w:pPr>
        <w:tabs>
          <w:tab w:val="left" w:pos="-6379"/>
        </w:tabs>
        <w:spacing w:before="20" w:after="120" w:line="240" w:lineRule="auto"/>
        <w:ind w:firstLine="1701"/>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4962"/>
        </w:tabs>
        <w:spacing w:after="240"/>
        <w:jc w:val="center"/>
        <w:rPr>
          <w:rFonts w:ascii="Times New Roman" w:hAnsi="Times New Roman"/>
          <w:b/>
          <w:sz w:val="24"/>
          <w:szCs w:val="24"/>
          <w:lang w:eastAsia="lt-LT"/>
        </w:rPr>
      </w:pPr>
      <w:r w:rsidRPr="006740E5">
        <w:rPr>
          <w:rFonts w:ascii="Times New Roman" w:hAnsi="Times New Roman"/>
          <w:sz w:val="24"/>
          <w:szCs w:val="24"/>
          <w:lang w:eastAsia="lt-LT"/>
        </w:rPr>
        <w:t xml:space="preserve">10 pav. </w:t>
      </w:r>
      <w:r w:rsidRPr="006740E5">
        <w:rPr>
          <w:rFonts w:ascii="Times New Roman" w:hAnsi="Times New Roman"/>
          <w:b/>
          <w:sz w:val="24"/>
          <w:szCs w:val="24"/>
          <w:lang w:eastAsia="lt-LT"/>
        </w:rPr>
        <w:t>Šiuo metu vei</w:t>
      </w:r>
      <w:r w:rsidR="00D209B2" w:rsidRPr="006740E5">
        <w:rPr>
          <w:rFonts w:ascii="Times New Roman" w:hAnsi="Times New Roman"/>
          <w:b/>
          <w:sz w:val="24"/>
          <w:szCs w:val="24"/>
          <w:lang w:eastAsia="lt-LT"/>
        </w:rPr>
        <w:t>kiantis AB ,,Lietuvos paštas’’</w:t>
      </w:r>
      <w:r w:rsidRPr="006740E5">
        <w:rPr>
          <w:rFonts w:ascii="Times New Roman" w:hAnsi="Times New Roman"/>
          <w:b/>
          <w:sz w:val="24"/>
          <w:szCs w:val="24"/>
          <w:lang w:eastAsia="lt-LT"/>
        </w:rPr>
        <w:t xml:space="preserve"> paslaugų teikimo modelis</w:t>
      </w:r>
      <w:r w:rsidR="00312F86" w:rsidRPr="006740E5">
        <w:rPr>
          <w:rFonts w:ascii="Times New Roman" w:hAnsi="Times New Roman"/>
          <w:b/>
          <w:sz w:val="24"/>
          <w:szCs w:val="24"/>
          <w:lang w:eastAsia="lt-LT"/>
        </w:rPr>
        <w:t xml:space="preserve"> valstybės ir klientų kontekste</w:t>
      </w:r>
    </w:p>
    <w:p w:rsidR="00C66C7D" w:rsidRPr="006740E5" w:rsidRDefault="00C66C7D" w:rsidP="00FB15B3">
      <w:pPr>
        <w:tabs>
          <w:tab w:val="left" w:pos="-6379"/>
          <w:tab w:val="left" w:pos="-4962"/>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lastRenderedPageBreak/>
        <w:t xml:space="preserve">Šiuo metu veikiančiame AB ,,Lietuvos paštas’’ paslaugų teikimo modelyje vartotojas beveik visas jam reikiamas paslaugas gali gauti tik atvykęs į pašto skyrių. Mažiau nei 18 proc. galimų teikti nuotolinių būdu paslaugų yra perkelta į e. erdvę. Dalis e. erdvėje teikiamų paslaugų vartotojui </w:t>
      </w:r>
      <w:r w:rsidRPr="006740E5">
        <w:rPr>
          <w:rFonts w:ascii="Times New Roman" w:hAnsi="Times New Roman"/>
          <w:sz w:val="24"/>
          <w:szCs w:val="24"/>
        </w:rPr>
        <w:br/>
        <w:t>yra prieinamos per ,,Mokomatą‘‘ (plačiau apie šį paslaugų teikimo/gavimo įrankį 3</w:t>
      </w:r>
      <w:r w:rsidR="002B3997" w:rsidRPr="006740E5">
        <w:rPr>
          <w:rFonts w:ascii="Times New Roman" w:hAnsi="Times New Roman"/>
          <w:sz w:val="24"/>
          <w:szCs w:val="24"/>
        </w:rPr>
        <w:t>8</w:t>
      </w:r>
      <w:r w:rsidRPr="006740E5">
        <w:rPr>
          <w:rFonts w:ascii="Times New Roman" w:hAnsi="Times New Roman"/>
          <w:sz w:val="24"/>
          <w:szCs w:val="24"/>
        </w:rPr>
        <w:t xml:space="preserve"> puslapyje) </w:t>
      </w:r>
      <w:r w:rsidRPr="006740E5">
        <w:rPr>
          <w:rFonts w:ascii="Times New Roman" w:hAnsi="Times New Roman"/>
          <w:sz w:val="24"/>
          <w:szCs w:val="24"/>
        </w:rPr>
        <w:br/>
        <w:t xml:space="preserve">ir dalis paslaugų yra pasiekiama naudojantis interneto ryšiu. ,,Mokomate‘‘ pasiekiamos tik kelios finansinės AB Lietuvos paštas teikiamos paslaugos, o naudojantis interneto ryšiu yra pasiekiamos </w:t>
      </w:r>
      <w:r w:rsidRPr="006740E5">
        <w:rPr>
          <w:rFonts w:ascii="Times New Roman" w:hAnsi="Times New Roman"/>
          <w:sz w:val="24"/>
          <w:szCs w:val="24"/>
        </w:rPr>
        <w:br/>
        <w:t xml:space="preserve">su pašto paslaugomis artimiau susiję paslaugos: informacija apie bendrovės teikiamas </w:t>
      </w:r>
      <w:r w:rsidR="0004279E" w:rsidRPr="006740E5">
        <w:rPr>
          <w:rFonts w:ascii="Times New Roman" w:hAnsi="Times New Roman"/>
          <w:sz w:val="24"/>
          <w:szCs w:val="24"/>
        </w:rPr>
        <w:t>paslaugas</w:t>
      </w:r>
      <w:r w:rsidRPr="006740E5">
        <w:rPr>
          <w:rFonts w:ascii="Times New Roman" w:hAnsi="Times New Roman"/>
          <w:sz w:val="24"/>
          <w:szCs w:val="24"/>
        </w:rPr>
        <w:t xml:space="preserve">, informacijos paruošimo paslauga, registruotų siuntų paieška, tačiau per interneto prieigą vartotojui nėra pasiekiamos su finansiniais ištekliais susiję paslaugos. Šiuo metu veikiančiame </w:t>
      </w:r>
      <w:r w:rsidRPr="006740E5">
        <w:rPr>
          <w:rFonts w:ascii="Times New Roman" w:hAnsi="Times New Roman"/>
          <w:sz w:val="24"/>
          <w:szCs w:val="24"/>
        </w:rPr>
        <w:br/>
        <w:t>AB ,,Lietuvos paštas’’ paslaugų teikimo modelyje</w:t>
      </w:r>
      <w:r w:rsidRPr="006740E5">
        <w:rPr>
          <w:rFonts w:ascii="Times New Roman" w:hAnsi="Times New Roman"/>
          <w:b/>
          <w:sz w:val="24"/>
          <w:szCs w:val="24"/>
        </w:rPr>
        <w:t xml:space="preserve"> </w:t>
      </w:r>
      <w:r w:rsidRPr="006740E5">
        <w:rPr>
          <w:rFonts w:ascii="Times New Roman" w:hAnsi="Times New Roman"/>
          <w:sz w:val="24"/>
          <w:szCs w:val="24"/>
        </w:rPr>
        <w:t>e. erdvėje vartotojui pasiekiamų paslaugų analizė pateikta 10 lentelėje:</w:t>
      </w:r>
    </w:p>
    <w:p w:rsidR="00C66C7D" w:rsidRPr="006740E5" w:rsidRDefault="00C66C7D" w:rsidP="00FB15B3">
      <w:pPr>
        <w:tabs>
          <w:tab w:val="left" w:pos="-6379"/>
          <w:tab w:val="left" w:pos="-4962"/>
        </w:tabs>
        <w:spacing w:before="240" w:after="360"/>
        <w:ind w:firstLine="567"/>
        <w:jc w:val="center"/>
        <w:rPr>
          <w:rFonts w:ascii="Times New Roman" w:hAnsi="Times New Roman"/>
          <w:b/>
          <w:sz w:val="24"/>
          <w:szCs w:val="24"/>
        </w:rPr>
      </w:pPr>
      <w:r w:rsidRPr="006740E5">
        <w:rPr>
          <w:rFonts w:ascii="Times New Roman" w:hAnsi="Times New Roman"/>
          <w:b/>
          <w:sz w:val="24"/>
          <w:szCs w:val="24"/>
        </w:rPr>
        <w:t xml:space="preserve">10 lentelė. Šiuo metu veikiančiame AB ,,Lietuvos paštas’’ paslaugų teikimo modelyje </w:t>
      </w:r>
      <w:r w:rsidRPr="006740E5">
        <w:rPr>
          <w:rFonts w:ascii="Times New Roman" w:hAnsi="Times New Roman"/>
          <w:b/>
          <w:sz w:val="24"/>
          <w:szCs w:val="24"/>
        </w:rPr>
        <w:br/>
        <w:t>e.</w:t>
      </w:r>
      <w:r w:rsidRPr="006740E5">
        <w:rPr>
          <w:rFonts w:ascii="Times New Roman" w:hAnsi="Times New Roman"/>
          <w:sz w:val="24"/>
          <w:szCs w:val="24"/>
        </w:rPr>
        <w:t xml:space="preserve"> </w:t>
      </w:r>
      <w:r w:rsidRPr="006740E5">
        <w:rPr>
          <w:rFonts w:ascii="Times New Roman" w:hAnsi="Times New Roman"/>
          <w:b/>
          <w:sz w:val="24"/>
          <w:szCs w:val="24"/>
        </w:rPr>
        <w:t>erdvėje vartotojui pasiekiamų paslaugų analizė</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701"/>
        <w:gridCol w:w="2835"/>
        <w:gridCol w:w="1418"/>
        <w:gridCol w:w="1843"/>
        <w:gridCol w:w="2126"/>
      </w:tblGrid>
      <w:tr w:rsidR="00C66C7D" w:rsidRPr="006740E5" w:rsidTr="008222E8">
        <w:trPr>
          <w:trHeight w:val="368"/>
        </w:trPr>
        <w:tc>
          <w:tcPr>
            <w:tcW w:w="1701" w:type="dxa"/>
            <w:tcBorders>
              <w:top w:val="single" w:sz="12" w:space="0" w:color="auto"/>
              <w:left w:val="single" w:sz="12" w:space="0" w:color="auto"/>
              <w:bottom w:val="single" w:sz="12" w:space="0" w:color="auto"/>
            </w:tcBorders>
            <w:shd w:val="pct5" w:color="auto" w:fill="auto"/>
            <w:vAlign w:val="center"/>
          </w:tcPr>
          <w:p w:rsidR="00C66C7D" w:rsidRPr="006740E5" w:rsidRDefault="00C66C7D" w:rsidP="008222E8">
            <w:pPr>
              <w:tabs>
                <w:tab w:val="left" w:pos="-6379"/>
                <w:tab w:val="left" w:pos="-4962"/>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Paslauga</w:t>
            </w:r>
          </w:p>
        </w:tc>
        <w:tc>
          <w:tcPr>
            <w:tcW w:w="2835" w:type="dxa"/>
            <w:tcBorders>
              <w:top w:val="single" w:sz="12" w:space="0" w:color="auto"/>
              <w:bottom w:val="single" w:sz="12" w:space="0" w:color="auto"/>
            </w:tcBorders>
            <w:shd w:val="pct5" w:color="auto" w:fill="auto"/>
            <w:vAlign w:val="center"/>
          </w:tcPr>
          <w:p w:rsidR="00C66C7D" w:rsidRPr="006740E5" w:rsidRDefault="00C66C7D" w:rsidP="008222E8">
            <w:pPr>
              <w:tabs>
                <w:tab w:val="left" w:pos="-6379"/>
                <w:tab w:val="left" w:pos="-4962"/>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Paslaugos apibūdinimas</w:t>
            </w:r>
          </w:p>
        </w:tc>
        <w:tc>
          <w:tcPr>
            <w:tcW w:w="1418" w:type="dxa"/>
            <w:tcBorders>
              <w:top w:val="single" w:sz="12" w:space="0" w:color="auto"/>
              <w:bottom w:val="single" w:sz="12" w:space="0" w:color="auto"/>
            </w:tcBorders>
            <w:shd w:val="pct5" w:color="auto" w:fill="auto"/>
            <w:vAlign w:val="center"/>
          </w:tcPr>
          <w:p w:rsidR="00C66C7D" w:rsidRPr="006740E5" w:rsidRDefault="00C66C7D" w:rsidP="008222E8">
            <w:pPr>
              <w:tabs>
                <w:tab w:val="left" w:pos="-6379"/>
                <w:tab w:val="left" w:pos="-4962"/>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Paslaugos teikimo terpė</w:t>
            </w:r>
          </w:p>
        </w:tc>
        <w:tc>
          <w:tcPr>
            <w:tcW w:w="1843" w:type="dxa"/>
            <w:tcBorders>
              <w:top w:val="single" w:sz="12" w:space="0" w:color="auto"/>
              <w:bottom w:val="single" w:sz="12" w:space="0" w:color="auto"/>
            </w:tcBorders>
            <w:shd w:val="pct5" w:color="auto" w:fill="auto"/>
            <w:vAlign w:val="center"/>
          </w:tcPr>
          <w:p w:rsidR="00C66C7D" w:rsidRPr="006740E5" w:rsidRDefault="00C66C7D" w:rsidP="008222E8">
            <w:pPr>
              <w:tabs>
                <w:tab w:val="left" w:pos="-6379"/>
                <w:tab w:val="left" w:pos="-4962"/>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Paslaugos nauda paslaugos teikėjui</w:t>
            </w:r>
          </w:p>
        </w:tc>
        <w:tc>
          <w:tcPr>
            <w:tcW w:w="2126" w:type="dxa"/>
            <w:tcBorders>
              <w:top w:val="single" w:sz="12" w:space="0" w:color="auto"/>
              <w:bottom w:val="single" w:sz="12" w:space="0" w:color="auto"/>
              <w:right w:val="single" w:sz="12" w:space="0" w:color="auto"/>
            </w:tcBorders>
            <w:shd w:val="pct5" w:color="auto" w:fill="auto"/>
            <w:vAlign w:val="center"/>
          </w:tcPr>
          <w:p w:rsidR="00C66C7D" w:rsidRPr="006740E5" w:rsidRDefault="00C66C7D" w:rsidP="008222E8">
            <w:pPr>
              <w:tabs>
                <w:tab w:val="left" w:pos="-6379"/>
                <w:tab w:val="left" w:pos="-4962"/>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Paslaugos nauda paslaugos gavėjui</w:t>
            </w:r>
          </w:p>
        </w:tc>
      </w:tr>
      <w:tr w:rsidR="00C66C7D" w:rsidRPr="006740E5" w:rsidTr="008222E8">
        <w:trPr>
          <w:trHeight w:val="360"/>
        </w:trPr>
        <w:tc>
          <w:tcPr>
            <w:tcW w:w="1701" w:type="dxa"/>
            <w:tcBorders>
              <w:top w:val="single" w:sz="12" w:space="0" w:color="auto"/>
              <w:lef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Informavimas</w:t>
            </w:r>
          </w:p>
        </w:tc>
        <w:tc>
          <w:tcPr>
            <w:tcW w:w="2835" w:type="dxa"/>
            <w:tcBorders>
              <w:top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Informavimas apie pašto skyrių veiklą ir teikiamas paslaugas bendrovės tinklalapyje.</w:t>
            </w:r>
          </w:p>
        </w:tc>
        <w:tc>
          <w:tcPr>
            <w:tcW w:w="1418" w:type="dxa"/>
            <w:tcBorders>
              <w:top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Internetas</w:t>
            </w:r>
          </w:p>
        </w:tc>
        <w:tc>
          <w:tcPr>
            <w:tcW w:w="1843" w:type="dxa"/>
            <w:tcBorders>
              <w:top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Informavimo skyriaus apkrovimo mažinimas.</w:t>
            </w:r>
          </w:p>
        </w:tc>
        <w:tc>
          <w:tcPr>
            <w:tcW w:w="2126" w:type="dxa"/>
            <w:tcBorders>
              <w:top w:val="single" w:sz="12" w:space="0" w:color="auto"/>
              <w:righ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24 val. per parą pasiekiama informacija apie bendrovės veiklą.</w:t>
            </w:r>
          </w:p>
        </w:tc>
      </w:tr>
      <w:tr w:rsidR="00C66C7D" w:rsidRPr="006740E5" w:rsidTr="008222E8">
        <w:trPr>
          <w:trHeight w:val="1186"/>
        </w:trPr>
        <w:tc>
          <w:tcPr>
            <w:tcW w:w="1701" w:type="dxa"/>
            <w:tcBorders>
              <w:lef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Informacijos paruošimo paslauga (IPP)</w:t>
            </w:r>
          </w:p>
        </w:tc>
        <w:tc>
          <w:tcPr>
            <w:tcW w:w="2835"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Pagal tradicine forma parengtą išankstinę sutartį, užsakovas elektroniniu būdu gali pateikti informaciją ruošimui, kurią paruoš ir išsiųs bendrovės darbuotojai.</w:t>
            </w:r>
          </w:p>
        </w:tc>
        <w:tc>
          <w:tcPr>
            <w:tcW w:w="1418"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Internetas</w:t>
            </w:r>
          </w:p>
        </w:tc>
        <w:tc>
          <w:tcPr>
            <w:tcW w:w="1843"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Verslo klientų pritraukimas.</w:t>
            </w:r>
          </w:p>
        </w:tc>
        <w:tc>
          <w:tcPr>
            <w:tcW w:w="2126" w:type="dxa"/>
            <w:tcBorders>
              <w:righ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Žmogiškųjų išteklių nukreipimas nuo techninio prie kūrybinio darbo.</w:t>
            </w:r>
          </w:p>
        </w:tc>
      </w:tr>
      <w:tr w:rsidR="00C66C7D" w:rsidRPr="006740E5" w:rsidTr="008222E8">
        <w:trPr>
          <w:trHeight w:val="360"/>
        </w:trPr>
        <w:tc>
          <w:tcPr>
            <w:tcW w:w="1701" w:type="dxa"/>
            <w:tcBorders>
              <w:lef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Registruotų siuntų paieška</w:t>
            </w:r>
          </w:p>
        </w:tc>
        <w:tc>
          <w:tcPr>
            <w:tcW w:w="2835"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Registruotų siuntų paieška pagal siuntos kodą bendrovės tinklalapyje.</w:t>
            </w:r>
          </w:p>
        </w:tc>
        <w:tc>
          <w:tcPr>
            <w:tcW w:w="1418"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Internetas</w:t>
            </w:r>
          </w:p>
        </w:tc>
        <w:tc>
          <w:tcPr>
            <w:tcW w:w="1843" w:type="dxa"/>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Klientų pasitikėjimo kėlimas.</w:t>
            </w:r>
          </w:p>
        </w:tc>
        <w:tc>
          <w:tcPr>
            <w:tcW w:w="2126" w:type="dxa"/>
            <w:tcBorders>
              <w:righ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Galimybė sužinoti siuntos padėtį bet kuriuo metu.</w:t>
            </w:r>
          </w:p>
        </w:tc>
      </w:tr>
      <w:tr w:rsidR="00C66C7D" w:rsidRPr="006740E5" w:rsidTr="008222E8">
        <w:trPr>
          <w:trHeight w:val="644"/>
        </w:trPr>
        <w:tc>
          <w:tcPr>
            <w:tcW w:w="1701" w:type="dxa"/>
            <w:tcBorders>
              <w:left w:val="single" w:sz="12" w:space="0" w:color="auto"/>
              <w:bottom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Įmokų ir mokesčių priėmimas</w:t>
            </w:r>
          </w:p>
        </w:tc>
        <w:tc>
          <w:tcPr>
            <w:tcW w:w="2835" w:type="dxa"/>
            <w:tcBorders>
              <w:bottom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Telekomunikacijų, draudimo, komunalinių ir kitų įmokų bei valstybės mokesčių ir rinkliavų sumokėjimas.</w:t>
            </w:r>
          </w:p>
        </w:tc>
        <w:tc>
          <w:tcPr>
            <w:tcW w:w="1418" w:type="dxa"/>
            <w:tcBorders>
              <w:bottom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,,Mokomatas‘‘</w:t>
            </w:r>
          </w:p>
        </w:tc>
        <w:tc>
          <w:tcPr>
            <w:tcW w:w="1843" w:type="dxa"/>
            <w:tcBorders>
              <w:bottom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Klientų aptarnavimo optimizavimas</w:t>
            </w:r>
          </w:p>
        </w:tc>
        <w:tc>
          <w:tcPr>
            <w:tcW w:w="2126" w:type="dxa"/>
            <w:tcBorders>
              <w:bottom w:val="single" w:sz="12" w:space="0" w:color="auto"/>
              <w:right w:val="single" w:sz="12" w:space="0" w:color="auto"/>
            </w:tcBorders>
            <w:vAlign w:val="center"/>
          </w:tcPr>
          <w:p w:rsidR="00C66C7D" w:rsidRPr="006740E5" w:rsidRDefault="00C66C7D" w:rsidP="008222E8">
            <w:pPr>
              <w:tabs>
                <w:tab w:val="left" w:pos="-6379"/>
                <w:tab w:val="left" w:pos="-4962"/>
              </w:tabs>
              <w:spacing w:before="20" w:after="40" w:line="240" w:lineRule="auto"/>
              <w:rPr>
                <w:rFonts w:ascii="Times New Roman" w:hAnsi="Times New Roman"/>
                <w:sz w:val="20"/>
                <w:szCs w:val="20"/>
              </w:rPr>
            </w:pPr>
            <w:r w:rsidRPr="006740E5">
              <w:rPr>
                <w:rFonts w:ascii="Times New Roman" w:hAnsi="Times New Roman"/>
                <w:sz w:val="20"/>
                <w:szCs w:val="20"/>
              </w:rPr>
              <w:t>Patogus įmokų ir mokesčių sumokėjimas nestovint eilėse pašto skyriuje</w:t>
            </w:r>
          </w:p>
        </w:tc>
      </w:tr>
    </w:tbl>
    <w:p w:rsidR="00C66C7D" w:rsidRPr="006740E5" w:rsidRDefault="00C66C7D" w:rsidP="00FB15B3">
      <w:pPr>
        <w:tabs>
          <w:tab w:val="left" w:pos="-6379"/>
        </w:tabs>
        <w:spacing w:before="20" w:after="40" w:line="360" w:lineRule="auto"/>
        <w:jc w:val="both"/>
        <w:rPr>
          <w:rFonts w:ascii="Times New Roman" w:hAnsi="Times New Roman"/>
          <w:sz w:val="12"/>
          <w:szCs w:val="12"/>
        </w:rPr>
      </w:pPr>
    </w:p>
    <w:p w:rsidR="00C66C7D" w:rsidRPr="006740E5" w:rsidRDefault="0004279E"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Visos kitos paslaugos vartotojui prieinamos tik atvykus į artimiausią (o tokias paslaugas </w:t>
      </w:r>
      <w:r w:rsidRPr="006740E5">
        <w:rPr>
          <w:rFonts w:ascii="Times New Roman" w:hAnsi="Times New Roman"/>
          <w:sz w:val="24"/>
          <w:szCs w:val="24"/>
        </w:rPr>
        <w:br/>
        <w:t>kaip neadresuotoji reklama – tik apskričių centriniuose paštuose) pašto skyrių, tad sie</w:t>
      </w:r>
      <w:r>
        <w:rPr>
          <w:rFonts w:ascii="Times New Roman" w:hAnsi="Times New Roman"/>
          <w:sz w:val="24"/>
          <w:szCs w:val="24"/>
        </w:rPr>
        <w:t xml:space="preserve">kiant </w:t>
      </w:r>
      <w:r>
        <w:rPr>
          <w:rFonts w:ascii="Times New Roman" w:hAnsi="Times New Roman"/>
          <w:sz w:val="24"/>
          <w:szCs w:val="24"/>
        </w:rPr>
        <w:br/>
        <w:t>paversti įmonę konkure</w:t>
      </w:r>
      <w:r w:rsidRPr="006740E5">
        <w:rPr>
          <w:rFonts w:ascii="Times New Roman" w:hAnsi="Times New Roman"/>
          <w:sz w:val="24"/>
          <w:szCs w:val="24"/>
        </w:rPr>
        <w:t xml:space="preserve">ncingesne rinkoje, būtina perkelti į internetinę erdvę visas tas paslaugas, </w:t>
      </w:r>
      <w:r w:rsidRPr="006740E5">
        <w:rPr>
          <w:rFonts w:ascii="Times New Roman" w:hAnsi="Times New Roman"/>
          <w:sz w:val="24"/>
          <w:szCs w:val="24"/>
        </w:rPr>
        <w:br/>
        <w:t xml:space="preserve">kurių prigimtis tam suteikia galimybę. </w:t>
      </w:r>
      <w:r w:rsidR="00C66C7D" w:rsidRPr="006740E5">
        <w:rPr>
          <w:rFonts w:ascii="Times New Roman" w:hAnsi="Times New Roman"/>
          <w:sz w:val="24"/>
          <w:szCs w:val="24"/>
        </w:rPr>
        <w:t xml:space="preserve">Autoriai Crew ir Kleindorfer (2008) nagrinėdami </w:t>
      </w:r>
      <w:r w:rsidR="00C66C7D" w:rsidRPr="006740E5">
        <w:rPr>
          <w:rFonts w:ascii="Times New Roman" w:hAnsi="Times New Roman"/>
          <w:sz w:val="24"/>
          <w:szCs w:val="24"/>
        </w:rPr>
        <w:br/>
        <w:t xml:space="preserve">įvairių šalių universaliųjų paslaugų teikimo schemas, nustatė kad: neturi būti teikiamos valstybinės subsidijos nacionaliniam paštui; nacionaliniai paštai linkę paslaugų organizavimą kurti remdamiesi savo istorine patirtimi. Šiuo metu Lietuvoje kaip tik ir vyksta autorių numatyti neigiami procesai, </w:t>
      </w:r>
      <w:r w:rsidR="00C66C7D" w:rsidRPr="006740E5">
        <w:rPr>
          <w:rFonts w:ascii="Times New Roman" w:hAnsi="Times New Roman"/>
          <w:sz w:val="24"/>
          <w:szCs w:val="24"/>
        </w:rPr>
        <w:br/>
        <w:t xml:space="preserve">kurie iš dalies ir stabdo valstybinio pašto paslaugų teikėjo vystymąsi. AB ,,Lietuvos paštas’’ </w:t>
      </w:r>
      <w:r w:rsidR="00C66C7D" w:rsidRPr="006740E5">
        <w:rPr>
          <w:rFonts w:ascii="Times New Roman" w:hAnsi="Times New Roman"/>
          <w:sz w:val="24"/>
          <w:szCs w:val="24"/>
        </w:rPr>
        <w:br/>
      </w:r>
      <w:r w:rsidR="00C66C7D" w:rsidRPr="006740E5">
        <w:rPr>
          <w:rFonts w:ascii="Times New Roman" w:hAnsi="Times New Roman"/>
          <w:sz w:val="24"/>
          <w:szCs w:val="24"/>
        </w:rPr>
        <w:lastRenderedPageBreak/>
        <w:t xml:space="preserve">šiuo metu siūlomų paslaugų analizė atskleidė itin platų paslaugų spektrą pagal gavėją skirstytiną </w:t>
      </w:r>
      <w:r w:rsidR="00C66C7D" w:rsidRPr="006740E5">
        <w:rPr>
          <w:rFonts w:ascii="Times New Roman" w:hAnsi="Times New Roman"/>
          <w:sz w:val="24"/>
          <w:szCs w:val="24"/>
        </w:rPr>
        <w:br/>
        <w:t>į paslaugas fiziniams asmenims ir juridiniams asmenims (žr. 11 lentelę).</w:t>
      </w:r>
    </w:p>
    <w:p w:rsidR="00C66C7D" w:rsidRPr="006740E5" w:rsidRDefault="00C66C7D" w:rsidP="00FB15B3">
      <w:pPr>
        <w:tabs>
          <w:tab w:val="left" w:pos="-6379"/>
        </w:tabs>
        <w:spacing w:before="240" w:after="360" w:line="240" w:lineRule="auto"/>
        <w:jc w:val="center"/>
        <w:rPr>
          <w:rFonts w:ascii="Times New Roman" w:hAnsi="Times New Roman"/>
          <w:b/>
          <w:sz w:val="24"/>
          <w:szCs w:val="24"/>
        </w:rPr>
      </w:pPr>
      <w:r w:rsidRPr="006740E5">
        <w:rPr>
          <w:rFonts w:ascii="Times New Roman" w:hAnsi="Times New Roman"/>
          <w:b/>
          <w:sz w:val="24"/>
          <w:szCs w:val="24"/>
        </w:rPr>
        <w:t>11 lentelė</w:t>
      </w:r>
      <w:r w:rsidRPr="006740E5">
        <w:rPr>
          <w:rFonts w:ascii="Times New Roman" w:hAnsi="Times New Roman"/>
          <w:b/>
          <w:i/>
          <w:sz w:val="24"/>
          <w:szCs w:val="24"/>
        </w:rPr>
        <w:t>.</w:t>
      </w:r>
      <w:r w:rsidRPr="006740E5">
        <w:rPr>
          <w:rFonts w:ascii="Times New Roman" w:hAnsi="Times New Roman"/>
          <w:b/>
          <w:sz w:val="24"/>
          <w:szCs w:val="24"/>
        </w:rPr>
        <w:t xml:space="preserve"> AB ,,Lietuvos paštas’’ teikiamų paslaugų analizė pagal paslaugos gavėją</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60"/>
        <w:gridCol w:w="3260"/>
        <w:gridCol w:w="1559"/>
        <w:gridCol w:w="3367"/>
      </w:tblGrid>
      <w:tr w:rsidR="00C66C7D" w:rsidRPr="006740E5" w:rsidTr="002C37AA">
        <w:tc>
          <w:tcPr>
            <w:tcW w:w="4820" w:type="dxa"/>
            <w:gridSpan w:val="2"/>
            <w:shd w:val="pct10" w:color="auto" w:fill="auto"/>
          </w:tcPr>
          <w:p w:rsidR="00C66C7D" w:rsidRPr="006740E5" w:rsidRDefault="00C66C7D" w:rsidP="002C37AA">
            <w:pPr>
              <w:tabs>
                <w:tab w:val="left" w:pos="-6379"/>
                <w:tab w:val="left" w:pos="-4962"/>
              </w:tabs>
              <w:spacing w:before="20" w:after="40" w:line="240" w:lineRule="auto"/>
              <w:jc w:val="center"/>
              <w:rPr>
                <w:rFonts w:ascii="Times New Roman" w:hAnsi="Times New Roman"/>
                <w:b/>
                <w:sz w:val="18"/>
                <w:szCs w:val="18"/>
              </w:rPr>
            </w:pPr>
            <w:r w:rsidRPr="006740E5">
              <w:rPr>
                <w:rFonts w:ascii="Times New Roman" w:hAnsi="Times New Roman"/>
                <w:b/>
                <w:sz w:val="18"/>
                <w:szCs w:val="18"/>
              </w:rPr>
              <w:t>Fiziniams asmenims</w:t>
            </w:r>
          </w:p>
        </w:tc>
        <w:tc>
          <w:tcPr>
            <w:tcW w:w="4926" w:type="dxa"/>
            <w:gridSpan w:val="2"/>
            <w:shd w:val="pct10" w:color="auto" w:fill="auto"/>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sz w:val="18"/>
                <w:szCs w:val="18"/>
              </w:rPr>
              <w:t>Juridiniams asmenims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bCs/>
                <w:sz w:val="18"/>
                <w:szCs w:val="18"/>
              </w:rPr>
            </w:pPr>
            <w:r w:rsidRPr="006740E5">
              <w:rPr>
                <w:rFonts w:ascii="Times New Roman" w:hAnsi="Times New Roman"/>
                <w:b/>
                <w:bCs/>
                <w:sz w:val="18"/>
                <w:szCs w:val="18"/>
              </w:rPr>
              <w:t>Informavimas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sz w:val="18"/>
                <w:szCs w:val="18"/>
              </w:rPr>
            </w:pPr>
            <w:r w:rsidRPr="006740E5">
              <w:rPr>
                <w:rFonts w:ascii="Times New Roman" w:hAnsi="Times New Roman"/>
                <w:sz w:val="18"/>
                <w:szCs w:val="18"/>
              </w:rPr>
              <w:t>Informacijos apie darbo laiką, teikiamas paslaugas, jų kainas ir pan. pateikimas.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bCs/>
                <w:sz w:val="18"/>
                <w:szCs w:val="18"/>
              </w:rPr>
            </w:pPr>
            <w:r w:rsidRPr="006740E5">
              <w:rPr>
                <w:rFonts w:ascii="Times New Roman" w:hAnsi="Times New Roman"/>
                <w:b/>
                <w:bCs/>
                <w:sz w:val="18"/>
                <w:szCs w:val="18"/>
              </w:rPr>
              <w:t>Informavimas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sz w:val="18"/>
                <w:szCs w:val="18"/>
              </w:rPr>
            </w:pPr>
            <w:r w:rsidRPr="006740E5">
              <w:rPr>
                <w:rFonts w:ascii="Times New Roman" w:hAnsi="Times New Roman"/>
                <w:sz w:val="18"/>
                <w:szCs w:val="18"/>
              </w:rPr>
              <w:t>Informacijos apie darbo laiką, teikiamas paslaugas, jų kainas ir pan. pateikimas.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Pašto korespondencijos siuntos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Laiškas, atvirukas, aerograma, sekograma, spaudinys, smulkusis paketas. Pirmenybinės ir nepirmenybinės.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Pašto korespondencijos siuntos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Laiškas, atvirukas, aerograma, sekograma, spaudinys, smulkusis paketas. Pirmenybinės ir nepirmenybinės.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Siuntiniai</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Paštu siunčiami daiktai (prekės) iki 31,5 kg ir iki 1,5x3 m matmenų. Įvertintieji ir paprastieji.</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Siuntiniai</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Paštu siunčiami daiktai (prekės) iki 31,5 kg  ir iki 1,5x3 m matmenų. Įvertintieji ir paprastieji.</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Pasiuntinių paslaugos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Pašto siuntų surinkimas, paskirstymas, vežimas ir pasirašytinas įteikimas gavėjams.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Pasiuntinių paslaugos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Pašto siuntų surinkimas, paskirstymas, vežimas ir pasirašytinas įteikimas gavėjams.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Prenumerata</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Šalies ir užsienio periodinių leidinių užsakymas. Leidiniai pristatomi darbo dienomis.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Siuntų vežimo paslaugos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Vežamos siuntos ir apmokama už faktiškai nuvažiuotą automobilių ridą. Svoris iki 6 tonų.</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Įmokų ir mokesčių priėmimas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Mokesčių, įmokų už suteiktas paslaugas priėmimas.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IPP</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Iš elektroninių laikmenų spausdina, deda į vokus ir siunčia sąskaitas ar kitą informaciją.</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Bankų kortelių aptarnavimas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Grynųjų pinigų išdavimo/priėmimo paslauga, atsiskaitymas kortelėmis už suteiktas paslaugas.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 xml:space="preserve">Įmokų ir mokesčių priėmimas </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Sutartys su juridiniais asmenimis, kad jų klientai galėtų sumokėti įmokas, mokesčius paštuose.</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Prekyba</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Pašto ženklų, vokų, atvirukų, įvairių žurnalų, laikraščių, ir kitų prekių pardavimas.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Neadresuotoji reklama</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Spausdinta reklama (katalogai, lankstinukai ir kt.), kurią klientas pageidauja išplatinti nustatytose vietose nustatytu laiku.</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Kreditas 123</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Paskolų teikimas iki 20000 Lt sumomis.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Reklaminės pašto siuntos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Adresuota siunta, kurią sudaro vieno siuntėjo siunčiamas reklaminis, vienodo turinio pranešimas.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sz w:val="18"/>
                <w:szCs w:val="18"/>
              </w:rPr>
              <w:t>Siuntų paieška</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Tarptautinių ir vidaus registruotų pašto korespondencijos siuntų ir siuntinių paieška pagal registracijos kodą internete.</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Prekės paštu</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Siunta, kurią sudaro vieno siuntėjo Lietuvoje siunčiama sugrupuotų pašto siuntų, pažymėtų specialia žyma "PREKĖS PAŠTU", partija.</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Pašto perlaidos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Pinigų siuntimas paštu.</w:t>
            </w:r>
          </w:p>
        </w:tc>
        <w:tc>
          <w:tcPr>
            <w:tcW w:w="1559" w:type="dxa"/>
            <w:shd w:val="pct5" w:color="auto" w:fill="auto"/>
            <w:vAlign w:val="center"/>
          </w:tcPr>
          <w:p w:rsidR="00C66C7D" w:rsidRPr="006740E5" w:rsidRDefault="00C66C7D" w:rsidP="002C37AA">
            <w:pPr>
              <w:tabs>
                <w:tab w:val="left" w:pos="-6379"/>
              </w:tabs>
              <w:spacing w:before="20" w:after="40" w:line="240" w:lineRule="auto"/>
              <w:jc w:val="center"/>
              <w:rPr>
                <w:rFonts w:ascii="Times New Roman" w:hAnsi="Times New Roman"/>
                <w:sz w:val="18"/>
                <w:szCs w:val="18"/>
              </w:rPr>
            </w:pPr>
            <w:r w:rsidRPr="006740E5">
              <w:rPr>
                <w:rFonts w:ascii="Times New Roman" w:hAnsi="Times New Roman"/>
                <w:b/>
                <w:bCs/>
                <w:sz w:val="18"/>
                <w:szCs w:val="18"/>
              </w:rPr>
              <w:t>Prenumerata</w:t>
            </w:r>
          </w:p>
        </w:tc>
        <w:tc>
          <w:tcPr>
            <w:tcW w:w="3367" w:type="dxa"/>
            <w:vAlign w:val="center"/>
          </w:tcPr>
          <w:p w:rsidR="00C66C7D" w:rsidRPr="006740E5" w:rsidRDefault="00C66C7D" w:rsidP="002C37AA">
            <w:pPr>
              <w:tabs>
                <w:tab w:val="left" w:pos="-6379"/>
              </w:tabs>
              <w:spacing w:before="20" w:after="40" w:line="240" w:lineRule="auto"/>
              <w:rPr>
                <w:rFonts w:ascii="Times New Roman" w:hAnsi="Times New Roman"/>
                <w:b/>
                <w:bCs/>
                <w:sz w:val="18"/>
                <w:szCs w:val="18"/>
              </w:rPr>
            </w:pPr>
            <w:r w:rsidRPr="006740E5">
              <w:rPr>
                <w:rFonts w:ascii="Times New Roman" w:hAnsi="Times New Roman"/>
                <w:sz w:val="18"/>
                <w:szCs w:val="18"/>
              </w:rPr>
              <w:t>Šalies ir užsienio periodinių leidinių užsakymas. Leidiniai pristatomi darbo dienomis.</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Western Union perlaidos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Pinigų siuntimas per Western Union korporaciją į beveik 200 šalių.</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Reklama paštuose</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Reklaminių plakatų ir skelbimų (nuo A5 formato dydžio) kabinimas pašto skyriuose.</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Pašto faksogramos</w:t>
            </w:r>
          </w:p>
        </w:tc>
        <w:tc>
          <w:tcPr>
            <w:tcW w:w="3260" w:type="dxa"/>
            <w:vAlign w:val="center"/>
          </w:tcPr>
          <w:p w:rsidR="00C66C7D" w:rsidRPr="006740E5" w:rsidRDefault="00C66C7D" w:rsidP="002C37AA">
            <w:pPr>
              <w:tabs>
                <w:tab w:val="left" w:pos="-6379"/>
              </w:tabs>
              <w:spacing w:before="20" w:after="40" w:line="240" w:lineRule="auto"/>
              <w:rPr>
                <w:rFonts w:ascii="Times New Roman" w:hAnsi="Times New Roman"/>
                <w:b/>
                <w:bCs/>
                <w:sz w:val="18"/>
                <w:szCs w:val="18"/>
              </w:rPr>
            </w:pPr>
            <w:r w:rsidRPr="006740E5">
              <w:rPr>
                <w:rFonts w:ascii="Times New Roman" w:hAnsi="Times New Roman"/>
                <w:sz w:val="18"/>
                <w:szCs w:val="18"/>
              </w:rPr>
              <w:t>Duomenų siuntimas faksu, įteikimas ar pristatymas per paštą.</w:t>
            </w:r>
          </w:p>
        </w:tc>
        <w:tc>
          <w:tcPr>
            <w:tcW w:w="1559" w:type="dxa"/>
            <w:shd w:val="pct5" w:color="auto" w:fill="auto"/>
            <w:vAlign w:val="center"/>
          </w:tcPr>
          <w:p w:rsidR="00C66C7D" w:rsidRPr="006740E5" w:rsidRDefault="00C66C7D" w:rsidP="002C37AA">
            <w:pPr>
              <w:tabs>
                <w:tab w:val="left" w:pos="-6379"/>
              </w:tabs>
              <w:spacing w:before="20" w:after="40" w:line="240" w:lineRule="auto"/>
              <w:jc w:val="center"/>
              <w:rPr>
                <w:rFonts w:ascii="Times New Roman" w:hAnsi="Times New Roman"/>
                <w:sz w:val="18"/>
                <w:szCs w:val="18"/>
              </w:rPr>
            </w:pPr>
            <w:r w:rsidRPr="006740E5">
              <w:rPr>
                <w:rFonts w:ascii="Times New Roman" w:hAnsi="Times New Roman"/>
                <w:b/>
                <w:bCs/>
                <w:sz w:val="18"/>
                <w:szCs w:val="18"/>
              </w:rPr>
              <w:t>Papildomos pašto paslaugos</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Abonentinės dėžutės nuoma pašte, adreso užrašymas, siuntos įpakavimas ir kt.</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Papildomos pašto paslaugos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Abonentinės dėžutės nuoma pašte, adreso užrašymas, siuntos įpakavimas ir kt.</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sz w:val="18"/>
                <w:szCs w:val="18"/>
              </w:rPr>
              <w:t>Siuntų paieška</w:t>
            </w: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Tarptautinių ir vidaus registruotų pašto korespondencijos siuntų ir siuntinių paieška pagal registracijos kodą internete.</w:t>
            </w: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bCs/>
                <w:sz w:val="18"/>
                <w:szCs w:val="18"/>
              </w:rPr>
              <w:t>Vyriausybės taupymo lakštai</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r w:rsidRPr="006740E5">
              <w:rPr>
                <w:rFonts w:ascii="Times New Roman" w:hAnsi="Times New Roman"/>
                <w:sz w:val="18"/>
                <w:szCs w:val="18"/>
              </w:rPr>
              <w:t>Paštuose galima įsigyti Lietuvos Respublikos Vyriausybės taupymo lakštų.</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p>
        </w:tc>
      </w:tr>
      <w:tr w:rsidR="00C66C7D" w:rsidRPr="006740E5" w:rsidTr="002C37AA">
        <w:tc>
          <w:tcPr>
            <w:tcW w:w="1560"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bCs/>
                <w:sz w:val="18"/>
                <w:szCs w:val="18"/>
              </w:rPr>
            </w:pPr>
            <w:r w:rsidRPr="006740E5">
              <w:rPr>
                <w:rFonts w:ascii="Times New Roman" w:hAnsi="Times New Roman"/>
                <w:b/>
                <w:bCs/>
                <w:sz w:val="18"/>
                <w:szCs w:val="18"/>
              </w:rPr>
              <w:t>Draudimas</w:t>
            </w:r>
          </w:p>
        </w:tc>
        <w:tc>
          <w:tcPr>
            <w:tcW w:w="3260" w:type="dxa"/>
            <w:vAlign w:val="center"/>
          </w:tcPr>
          <w:p w:rsidR="00C66C7D" w:rsidRPr="006740E5" w:rsidRDefault="00C66C7D" w:rsidP="002C37AA">
            <w:pPr>
              <w:tabs>
                <w:tab w:val="left" w:pos="-6379"/>
                <w:tab w:val="left" w:pos="567"/>
              </w:tabs>
              <w:spacing w:before="20" w:after="40" w:line="240" w:lineRule="auto"/>
              <w:rPr>
                <w:rFonts w:ascii="Times New Roman" w:hAnsi="Times New Roman"/>
                <w:sz w:val="18"/>
                <w:szCs w:val="18"/>
              </w:rPr>
            </w:pPr>
            <w:r w:rsidRPr="006740E5">
              <w:rPr>
                <w:rFonts w:ascii="Times New Roman" w:hAnsi="Times New Roman"/>
                <w:sz w:val="18"/>
                <w:szCs w:val="18"/>
              </w:rPr>
              <w:t>AB Lietuvos draudimas draudimo paslaugos.</w:t>
            </w:r>
          </w:p>
        </w:tc>
        <w:tc>
          <w:tcPr>
            <w:tcW w:w="1559" w:type="dxa"/>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p>
        </w:tc>
        <w:tc>
          <w:tcPr>
            <w:tcW w:w="3367" w:type="dxa"/>
            <w:vAlign w:val="center"/>
          </w:tcPr>
          <w:p w:rsidR="00C66C7D" w:rsidRPr="006740E5" w:rsidRDefault="00C66C7D" w:rsidP="002C37AA">
            <w:pPr>
              <w:tabs>
                <w:tab w:val="left" w:pos="-6379"/>
                <w:tab w:val="left" w:pos="567"/>
              </w:tabs>
              <w:spacing w:before="20" w:after="40" w:line="240" w:lineRule="auto"/>
              <w:rPr>
                <w:rFonts w:ascii="Times New Roman" w:hAnsi="Times New Roman"/>
                <w:b/>
                <w:sz w:val="18"/>
                <w:szCs w:val="18"/>
              </w:rPr>
            </w:pPr>
          </w:p>
        </w:tc>
      </w:tr>
    </w:tbl>
    <w:p w:rsidR="00C66C7D" w:rsidRPr="006740E5" w:rsidRDefault="00C66C7D" w:rsidP="00FB15B3">
      <w:pPr>
        <w:tabs>
          <w:tab w:val="left" w:pos="-6379"/>
        </w:tabs>
        <w:spacing w:before="20" w:after="40" w:line="240" w:lineRule="auto"/>
        <w:jc w:val="both"/>
        <w:rPr>
          <w:rFonts w:ascii="Times New Roman" w:hAnsi="Times New Roman"/>
          <w:sz w:val="16"/>
          <w:szCs w:val="16"/>
        </w:rPr>
      </w:pPr>
      <w:r w:rsidRPr="006740E5">
        <w:rPr>
          <w:rFonts w:ascii="Times New Roman" w:hAnsi="Times New Roman"/>
          <w:sz w:val="16"/>
          <w:szCs w:val="16"/>
        </w:rPr>
        <w:t>Sudaryta autorės remiantis: AB ,,Lietuvos paštas’’ ir RRT deklaruojamais duomenimis</w:t>
      </w:r>
    </w:p>
    <w:p w:rsidR="00C66C7D" w:rsidRPr="006740E5" w:rsidRDefault="00C66C7D" w:rsidP="00FB15B3">
      <w:pPr>
        <w:tabs>
          <w:tab w:val="left" w:pos="-6379"/>
        </w:tabs>
        <w:spacing w:after="0" w:line="360" w:lineRule="auto"/>
        <w:ind w:firstLine="567"/>
        <w:rPr>
          <w:rFonts w:ascii="Times New Roman" w:hAnsi="Times New Roman"/>
          <w:iCs/>
          <w:sz w:val="16"/>
          <w:szCs w:val="16"/>
        </w:rPr>
      </w:pP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AB ,,Lietuvos paštas’’ teikiamų paslaugų analizė pagal paslaugos gavėją parodė, kad fiziniams asmenims yra skiriamas didesnis dėmesys nei juridiniams. Fiziniams asmenims teikiama šešiolika paslaugų (tai sudaro 63,64 proc. visų teikiamų paslaugų), o juridiniams asmenims yra teikiama keturiolika paslaugų (tai sudaro 72,73 proc. visų teikiamų paslaugų) – paslaugų gavėjams pagal </w:t>
      </w:r>
      <w:r w:rsidRPr="006740E5">
        <w:rPr>
          <w:rFonts w:ascii="Times New Roman" w:hAnsi="Times New Roman"/>
          <w:iCs/>
          <w:sz w:val="24"/>
          <w:szCs w:val="24"/>
        </w:rPr>
        <w:lastRenderedPageBreak/>
        <w:t xml:space="preserve">juridinį statusą siūlomų paslaugų skaičius parodo bendrovės požiūrį į klientų pagal juridinį statusą reikšmingumą bendrovės požiūriu, esamas reikšmingumo išskyrimas neadekvatus realiai situacijai rinkoje, nes didesnė konkurencija rinkoje yra teikiant paslaugas juridiniams asmenims </w:t>
      </w:r>
      <w:r w:rsidRPr="006740E5">
        <w:rPr>
          <w:rFonts w:ascii="Times New Roman" w:hAnsi="Times New Roman"/>
          <w:iCs/>
          <w:sz w:val="24"/>
          <w:szCs w:val="24"/>
        </w:rPr>
        <w:br/>
        <w:t>(žr. 19 pav. analizę 5</w:t>
      </w:r>
      <w:r w:rsidR="006F224D" w:rsidRPr="006740E5">
        <w:rPr>
          <w:rFonts w:ascii="Times New Roman" w:hAnsi="Times New Roman"/>
          <w:iCs/>
          <w:sz w:val="24"/>
          <w:szCs w:val="24"/>
        </w:rPr>
        <w:t>4</w:t>
      </w:r>
      <w:r w:rsidRPr="006740E5">
        <w:rPr>
          <w:rFonts w:ascii="Times New Roman" w:hAnsi="Times New Roman"/>
          <w:iCs/>
          <w:sz w:val="24"/>
          <w:szCs w:val="24"/>
        </w:rPr>
        <w:t xml:space="preserve"> psl.). Bendra AB ,,Lietuvos paštas’’ teikiamų paslaugų analizė parodė, kad didelę dalį bendrovės teikiamų paslaugų (7 iš 22 arba 31,82 proc.) sudaro antrinės paslaugos (kurias teikiant AB ,,Lietuvos paštas’’ yra tik tarpininkas tarp paslaugos kūrėjo ir paslaugos gavėjo), </w:t>
      </w:r>
      <w:r w:rsidRPr="006740E5">
        <w:rPr>
          <w:rFonts w:ascii="Times New Roman" w:hAnsi="Times New Roman"/>
          <w:iCs/>
          <w:sz w:val="24"/>
          <w:szCs w:val="24"/>
        </w:rPr>
        <w:br/>
        <w:t xml:space="preserve">o pirminės paslaugos (kurias sukuria pats AB ,,Lietuvos paštas’’) sudaro tik du trečdalius </w:t>
      </w:r>
      <w:r w:rsidRPr="006740E5">
        <w:rPr>
          <w:rFonts w:ascii="Times New Roman" w:hAnsi="Times New Roman"/>
          <w:iCs/>
          <w:sz w:val="24"/>
          <w:szCs w:val="24"/>
        </w:rPr>
        <w:br/>
        <w:t xml:space="preserve">(15 iš 22 arba 68,18 proc.) visų teikiamų paslaugų – tai parodo, kad apie trečdalis bendrovės išteklių yra skiriama ne savų, o partnerių paslaugų teikimui organizuoti. Paslaugų analizė parodė, </w:t>
      </w:r>
      <w:r w:rsidRPr="006740E5">
        <w:rPr>
          <w:rFonts w:ascii="Times New Roman" w:hAnsi="Times New Roman"/>
          <w:iCs/>
          <w:sz w:val="24"/>
          <w:szCs w:val="24"/>
        </w:rPr>
        <w:br/>
        <w:t xml:space="preserve">kad šiuo metu paslaugos jau yra teikiamos tiek pašto skyriuje tiek nuotoliniu būdu pasitelkiant </w:t>
      </w:r>
      <w:r w:rsidRPr="006740E5">
        <w:rPr>
          <w:rFonts w:ascii="Times New Roman" w:hAnsi="Times New Roman"/>
          <w:iCs/>
          <w:sz w:val="24"/>
          <w:szCs w:val="24"/>
        </w:rPr>
        <w:br/>
        <w:t xml:space="preserve">e. priemones. Nuotoliniu būdu teikiamos trys paslaugos (tai sudaro 13,64 proc. visų teikiamų paslaugų), o pašto skyriuje yra teikiama net devyniolika (tai sudaro 86,36 proc. visų teikiamų paslaugų), nors nuotolinių būdu galėtų būti teikiama viso keturiolika šiuo metu AB ,,Lietuvos paštas’’ siūlomų paslaugų (tai sudaro 63,64 proc. visų teikiamų paslaugų). </w:t>
      </w:r>
      <w:r w:rsidRPr="006740E5">
        <w:rPr>
          <w:rFonts w:ascii="Times New Roman" w:hAnsi="Times New Roman"/>
          <w:sz w:val="24"/>
          <w:szCs w:val="24"/>
        </w:rPr>
        <w:t xml:space="preserve">Atlikta AB ,,Lietuvos paštas’’ teikiamų pagrindinių (ryšių kūrimo ir palaikymo) ir papildomų (nesusijusių su ryšių kūrimu </w:t>
      </w:r>
      <w:r w:rsidRPr="006740E5">
        <w:rPr>
          <w:rFonts w:ascii="Times New Roman" w:hAnsi="Times New Roman"/>
          <w:sz w:val="24"/>
          <w:szCs w:val="24"/>
        </w:rPr>
        <w:br/>
        <w:t>ir palaikymų) paslaugų analizė parodė, kad dalis subjekto (</w:t>
      </w:r>
      <w:r w:rsidRPr="006740E5">
        <w:rPr>
          <w:rFonts w:ascii="Times New Roman" w:hAnsi="Times New Roman"/>
          <w:iCs/>
          <w:sz w:val="24"/>
          <w:szCs w:val="24"/>
        </w:rPr>
        <w:t>6 iš 22 arba 27,27 proc.</w:t>
      </w:r>
      <w:r w:rsidRPr="006740E5">
        <w:rPr>
          <w:rFonts w:ascii="Times New Roman" w:hAnsi="Times New Roman"/>
          <w:sz w:val="24"/>
          <w:szCs w:val="24"/>
        </w:rPr>
        <w:t xml:space="preserve">) teikiamų paslaugų nėra tiesiogiai susiję su ryšių paslaugomis ir RRT pateikiamais duomenimis per 2009 m. iš ne pašto veiklos AB ,,Lietuvos paštas’’ gavo net 47,04 proc. pajamų, 2008 m. – 51,80 proc., 2007 m. – </w:t>
      </w:r>
      <w:r w:rsidRPr="006740E5">
        <w:rPr>
          <w:rFonts w:ascii="Times New Roman" w:hAnsi="Times New Roman"/>
          <w:sz w:val="24"/>
          <w:szCs w:val="24"/>
        </w:rPr>
        <w:br/>
        <w:t xml:space="preserve">48,79 proc. pajamų (ir ankstesniais metais arti puses pajamų). Subjektui pelnytis iš papildomos veiklos yra skatintina, tačiau kai papildoma veikla pradeda konkuruoti su pagrindine, tai jau yra požymis, kad subjekto veiklos organizavimas netinkamas – neadekvačiai nustatomi prioritetai arba jie yra visai neišskiriami. Spaudai išplatintame bendrovės pranešime 2010 m. vasario 23 d. netgi teigiama, </w:t>
      </w:r>
      <w:r w:rsidRPr="006740E5">
        <w:rPr>
          <w:rFonts w:ascii="Times New Roman" w:hAnsi="Times New Roman"/>
          <w:sz w:val="24"/>
          <w:szCs w:val="24"/>
        </w:rPr>
        <w:br/>
        <w:t xml:space="preserve">kad finansinių paslaugų teikimas yra viena iš prioritetinių AB ,,Lietuvos paštas’’ sričių. </w:t>
      </w:r>
      <w:r w:rsidRPr="006740E5">
        <w:rPr>
          <w:rFonts w:ascii="Times New Roman" w:hAnsi="Times New Roman"/>
          <w:sz w:val="24"/>
          <w:szCs w:val="24"/>
        </w:rPr>
        <w:br/>
        <w:t xml:space="preserve">Pranešimas buvo išplatintas bendrovei pristatant nuotolinį įmokų (už telekomunikacijų, draudimo, komunalines paslaugas taip pat mokėjimus už lizingą, studijas, rinkliavas, mokesčius ir kitus panašius mokėjimus) mokėjimo būdą naudojant ,,Mokomatą‘‘ įrengtą šalies prekybos centruose ir kitose gyventojų populiariai lankomose vietose. ,,Mokomate‘‘ kol kas galima atsiskaityti tik grynaisiais pinigais. Bendrovė siūlo visą galimą pagalbą norintiems pasinaudoti ,,Mokomatu‘‘ – platina informacinius lankstinukus, teikia informaciją tinklalapyje skirtame ,,Mokomatui‘‘, siūlo nemokamą (Teo vartotojams) pagalbos liniją telefonu. ,,Mokomatas‘‘ yra tinkama linkme žengtas žingsnis siekiant pasivyti kitus Lietuvos pašto rinkos dalyvius, ypatingai dėl to, kad šiuo prietaisu teikiamos paslaugos tiek fiziniams, tiek juridiniams asmenims, nes empirinio tyrimo metu paaiškėjo </w:t>
      </w:r>
      <w:r w:rsidRPr="006740E5">
        <w:rPr>
          <w:rFonts w:ascii="Times New Roman" w:hAnsi="Times New Roman"/>
          <w:sz w:val="24"/>
          <w:szCs w:val="24"/>
        </w:rPr>
        <w:br/>
        <w:t>AB ,,Lietuvos paštas’’ per mažas dėmesys siekiant teikti paslaugas juridiniams asmenims.</w:t>
      </w:r>
    </w:p>
    <w:p w:rsidR="00C66C7D" w:rsidRPr="006740E5" w:rsidRDefault="00A5295E" w:rsidP="00FB15B3">
      <w:pPr>
        <w:tabs>
          <w:tab w:val="left" w:pos="-6379"/>
          <w:tab w:val="left" w:pos="70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Kitas </w:t>
      </w:r>
      <w:r w:rsidR="00C66C7D" w:rsidRPr="006740E5">
        <w:rPr>
          <w:rFonts w:ascii="Times New Roman" w:hAnsi="Times New Roman"/>
          <w:sz w:val="24"/>
          <w:szCs w:val="24"/>
        </w:rPr>
        <w:t xml:space="preserve">silpnas šiuo metu veikiančiame </w:t>
      </w:r>
      <w:r w:rsidR="00C66C7D" w:rsidRPr="006740E5">
        <w:rPr>
          <w:rFonts w:ascii="Times New Roman" w:hAnsi="Times New Roman"/>
          <w:sz w:val="24"/>
          <w:szCs w:val="24"/>
          <w:lang w:eastAsia="lt-LT"/>
        </w:rPr>
        <w:t xml:space="preserve">AB ,,Lietuvos paštas’’, valstybės ir paslaugų gavėjų santykių bei paslaugų teikimo modelyje esantis ryšys yra iš vartotojo į valstybinį pašto paslaugų </w:t>
      </w:r>
      <w:r w:rsidR="00C66C7D" w:rsidRPr="006740E5">
        <w:rPr>
          <w:rFonts w:ascii="Times New Roman" w:hAnsi="Times New Roman"/>
          <w:sz w:val="24"/>
          <w:szCs w:val="24"/>
          <w:lang w:eastAsia="lt-LT"/>
        </w:rPr>
        <w:lastRenderedPageBreak/>
        <w:t xml:space="preserve">teikėją. Bendrovė vartotojui nesudaro pakankamų galimybių atskleisti savo nuomonę apie valstybinį pašto paslaugų teikėją, kuri tiek tradicine, tiek elektronine forma suteikia galimybę tik pateikti paklausimus, pasiūlymus ir pretenzijas (toliau – kreipimaisi), kurie, jei siunčiami elektronine forma, yra pristatomi į filialo pagal kliento gyvenamą vietą arba bendrovės administracijos bendrąjį informacinį elektroninio pašto adresą prižiūrimą kanceliarijos darbuotojo, nuo kurio priklauso </w:t>
      </w:r>
      <w:r w:rsidR="00C66C7D" w:rsidRPr="006740E5">
        <w:rPr>
          <w:rFonts w:ascii="Times New Roman" w:hAnsi="Times New Roman"/>
          <w:sz w:val="24"/>
          <w:szCs w:val="24"/>
          <w:lang w:eastAsia="lt-LT"/>
        </w:rPr>
        <w:br/>
        <w:t xml:space="preserve">ar pateiktas kreipimasis pasieks atsakingąjį asmenį ar ne. Tradicine forma pateiktų kreipimųsi padėtis geresnė, nes į raštiškus kreipimusis biurokratinėse įstaigose įprasta rimtai žiūrėti. Tai, kad pats valstybinis pašto paslaugų teikėjas neieško būdų vartotojų nuomonei ištirti, sudaro sąlygas abejoti </w:t>
      </w:r>
      <w:r w:rsidR="00C66C7D" w:rsidRPr="006740E5">
        <w:rPr>
          <w:rFonts w:ascii="Times New Roman" w:hAnsi="Times New Roman"/>
          <w:sz w:val="24"/>
          <w:szCs w:val="24"/>
          <w:lang w:eastAsia="lt-LT"/>
        </w:rPr>
        <w:br/>
        <w:t>ar į vartotojo kreipimąsi bus sureaguota. Kita vertus, vartotojas yra verčiamas imtis aktyvaus vaidmens subjekto kokybės gerinimo procese. Jei AB ,,Lietuvos paštas’’ būtų vienintelis pašto paslaugų teikėjas, paslaugų gavėjams būtų aktualu rūpintis šio subjekto teikiamų paslaugų kokybę, tačiau šiuo metu jau veikia privatūs analogiškų paslaugų teikėjai, kurie rūpinasi vartotojų poreikiais ir paslaugų kokybe patys, kiek įmanoma mažiau nepatogumų sukeldami klientui. Šie faktai rodo, kad bendrovė siekdamas patenkinti savo klientų poreikius veikia pasyviai, kad pats nesiekia išsiaiškinti savo silpnųjų ir stipriųjų sričių žvelgiant iš vartotojo perspektyvos, o geriausiu atveju ištaiso jau padarytas klaidas.</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Šiuo metu veikiančio AB ,,Lietuvos paštas’’ paslaugų teikimo modelio analizė leidžia daryti išvadą, kad valstybinis pašto paslaugų teikėjas savo veiklą vykdo neatsižvelgdamas į:</w:t>
      </w:r>
    </w:p>
    <w:p w:rsidR="00C66C7D" w:rsidRPr="006740E5" w:rsidRDefault="00C66C7D" w:rsidP="00FB15B3">
      <w:pPr>
        <w:pStyle w:val="ListParagraph"/>
        <w:numPr>
          <w:ilvl w:val="0"/>
          <w:numId w:val="5"/>
        </w:numPr>
        <w:tabs>
          <w:tab w:val="left" w:pos="-6379"/>
          <w:tab w:val="left" w:pos="284"/>
        </w:tabs>
        <w:spacing w:after="0" w:line="360" w:lineRule="auto"/>
        <w:ind w:left="0" w:firstLine="567"/>
        <w:jc w:val="both"/>
        <w:rPr>
          <w:rFonts w:ascii="Times New Roman" w:hAnsi="Times New Roman"/>
          <w:sz w:val="24"/>
          <w:szCs w:val="24"/>
        </w:rPr>
      </w:pPr>
      <w:r w:rsidRPr="006740E5">
        <w:rPr>
          <w:rFonts w:ascii="Times New Roman" w:hAnsi="Times New Roman"/>
          <w:sz w:val="24"/>
          <w:szCs w:val="24"/>
        </w:rPr>
        <w:t>teisiškai naikinamą jo monopoliją šalyje ir dėl to besikeičiančias sąlygas (augančią konkurenciją), kurių aplinkoje veikdamas sparčiai praranda turimą rinką;</w:t>
      </w:r>
    </w:p>
    <w:p w:rsidR="00C66C7D" w:rsidRPr="006740E5" w:rsidRDefault="00C66C7D" w:rsidP="00FB15B3">
      <w:pPr>
        <w:pStyle w:val="ListParagraph"/>
        <w:numPr>
          <w:ilvl w:val="0"/>
          <w:numId w:val="5"/>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vartotojų poreikius, kurių patenkinimas besikuriančios laisvos rinkos sąlygomis yra pagrindas ekonominę veiklą vykdančiam subjektui;</w:t>
      </w:r>
    </w:p>
    <w:p w:rsidR="00C66C7D" w:rsidRPr="006740E5" w:rsidRDefault="00C66C7D" w:rsidP="00FB15B3">
      <w:pPr>
        <w:pStyle w:val="ListParagraph"/>
        <w:numPr>
          <w:ilvl w:val="0"/>
          <w:numId w:val="5"/>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būtinybę aptarnaujant vartotojus taikyti e. priemones dėl dviejų priežasčių: 1) šiuolaikinis vartotojas yra informacinės visuomenės dalyvis įpratęs prie IKT teikiamo patogumo siekiant informacijos ir paslaugų, 2) e. priemones savo veikloje taiko itin sėkmingai veikiantys kiti Lietuvos pašto rinkos dalyviai;</w:t>
      </w:r>
    </w:p>
    <w:p w:rsidR="00C66C7D" w:rsidRPr="006740E5" w:rsidRDefault="00C66C7D" w:rsidP="00FB15B3">
      <w:pPr>
        <w:pStyle w:val="ListParagraph"/>
        <w:numPr>
          <w:ilvl w:val="0"/>
          <w:numId w:val="5"/>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būtinybę, vartotojų aptarnavime taikant IKT ir siekiant patenkinti vartotojų poreikius, įdiegti sistemą, pajėgiančia AB ,,Lietuvos paštas’’ suteikti jam būtiną informaciją apie vartotojų poreikius ir požiūrį į subjektą minimaliomis vartotojo sąnaudomis.</w:t>
      </w:r>
    </w:p>
    <w:p w:rsidR="00C66C7D" w:rsidRPr="006740E5" w:rsidRDefault="00C66C7D" w:rsidP="00FB15B3">
      <w:pPr>
        <w:pStyle w:val="ListParagraph"/>
        <w:tabs>
          <w:tab w:val="left" w:pos="-6379"/>
        </w:tabs>
        <w:spacing w:after="0"/>
        <w:ind w:left="450" w:firstLine="567"/>
        <w:rPr>
          <w:rFonts w:ascii="Times New Roman" w:hAnsi="Times New Roman"/>
          <w:sz w:val="24"/>
          <w:szCs w:val="24"/>
        </w:rPr>
      </w:pPr>
    </w:p>
    <w:p w:rsidR="0014790C" w:rsidRPr="006740E5" w:rsidRDefault="0014790C" w:rsidP="0014790C">
      <w:pPr>
        <w:pStyle w:val="ListParagraph"/>
        <w:numPr>
          <w:ilvl w:val="0"/>
          <w:numId w:val="9"/>
        </w:numPr>
        <w:tabs>
          <w:tab w:val="left" w:pos="-6379"/>
        </w:tabs>
        <w:spacing w:after="0"/>
        <w:ind w:left="0" w:hanging="11"/>
        <w:jc w:val="center"/>
        <w:rPr>
          <w:rFonts w:ascii="Times New Roman" w:hAnsi="Times New Roman"/>
          <w:b/>
          <w:sz w:val="24"/>
          <w:szCs w:val="24"/>
          <w:lang w:eastAsia="lt-LT"/>
        </w:rPr>
      </w:pPr>
      <w:r w:rsidRPr="006740E5">
        <w:rPr>
          <w:rFonts w:ascii="Times New Roman" w:hAnsi="Times New Roman"/>
          <w:sz w:val="24"/>
          <w:szCs w:val="24"/>
        </w:rPr>
        <w:br w:type="page"/>
      </w:r>
      <w:r w:rsidRPr="006740E5">
        <w:rPr>
          <w:rFonts w:ascii="Times New Roman" w:hAnsi="Times New Roman"/>
          <w:b/>
          <w:sz w:val="24"/>
          <w:szCs w:val="24"/>
          <w:lang w:eastAsia="lt-LT"/>
        </w:rPr>
        <w:lastRenderedPageBreak/>
        <w:t>AB ,,LIETUVOS PAŠTAS’’ PASLAUGŲ KONKURENCINGUMO DIDINIMO MODELIS PRITRAIKANT NAUJAS ŽINIAS. EMPIRINIS TYRIMAS</w:t>
      </w:r>
    </w:p>
    <w:p w:rsidR="0014790C" w:rsidRPr="006740E5" w:rsidRDefault="0014790C" w:rsidP="0014790C">
      <w:pPr>
        <w:pStyle w:val="ListParagraph"/>
        <w:tabs>
          <w:tab w:val="left" w:pos="-6379"/>
        </w:tabs>
        <w:spacing w:after="0"/>
        <w:ind w:left="360"/>
        <w:rPr>
          <w:rFonts w:ascii="Times New Roman" w:hAnsi="Times New Roman"/>
          <w:sz w:val="24"/>
          <w:szCs w:val="24"/>
        </w:rPr>
      </w:pPr>
    </w:p>
    <w:p w:rsidR="00C66C7D" w:rsidRPr="006740E5" w:rsidRDefault="0014790C" w:rsidP="00FB15B3">
      <w:pPr>
        <w:tabs>
          <w:tab w:val="left" w:pos="-6379"/>
        </w:tabs>
        <w:spacing w:after="0"/>
        <w:jc w:val="center"/>
        <w:rPr>
          <w:rFonts w:ascii="Times New Roman" w:hAnsi="Times New Roman"/>
          <w:b/>
          <w:sz w:val="24"/>
          <w:szCs w:val="24"/>
        </w:rPr>
      </w:pPr>
      <w:bookmarkStart w:id="5" w:name="_Toc248397766"/>
      <w:r w:rsidRPr="006740E5">
        <w:rPr>
          <w:rFonts w:ascii="Times New Roman" w:hAnsi="Times New Roman"/>
          <w:b/>
          <w:sz w:val="24"/>
          <w:szCs w:val="24"/>
        </w:rPr>
        <w:t>3.1</w:t>
      </w:r>
      <w:r w:rsidR="00C66C7D" w:rsidRPr="006740E5">
        <w:rPr>
          <w:rFonts w:ascii="Times New Roman" w:hAnsi="Times New Roman"/>
          <w:b/>
          <w:sz w:val="24"/>
          <w:szCs w:val="24"/>
        </w:rPr>
        <w:t>. Tyrimo metodologija</w:t>
      </w:r>
      <w:bookmarkEnd w:id="5"/>
    </w:p>
    <w:p w:rsidR="00C66C7D" w:rsidRPr="006740E5" w:rsidRDefault="00C66C7D" w:rsidP="00FB15B3">
      <w:pPr>
        <w:tabs>
          <w:tab w:val="left" w:pos="-6379"/>
        </w:tabs>
        <w:spacing w:after="0" w:line="360" w:lineRule="auto"/>
        <w:ind w:firstLine="567"/>
        <w:rPr>
          <w:rFonts w:ascii="Times New Roman" w:hAnsi="Times New Roman"/>
          <w:sz w:val="24"/>
          <w:szCs w:val="24"/>
        </w:rPr>
      </w:pP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Siekiant nustatyti valstybinės įmonės AB ,,Lietuvos paštas’’ potencialą konkuruojant liberalizuojamoje rinkoje problemoms spręsti, pasirinkta atlikti sociologinį tyrimą, kurio respondentai – </w:t>
      </w:r>
      <w:r w:rsidR="00777EA8" w:rsidRPr="006740E5">
        <w:rPr>
          <w:rFonts w:ascii="Times New Roman" w:hAnsi="Times New Roman"/>
          <w:sz w:val="24"/>
          <w:szCs w:val="24"/>
        </w:rPr>
        <w:t xml:space="preserve">valstybinio pašto paslaugų teikėjo teikiamoms paslaugoms </w:t>
      </w:r>
      <w:r w:rsidR="00377B1C" w:rsidRPr="006740E5">
        <w:rPr>
          <w:rFonts w:ascii="Times New Roman" w:hAnsi="Times New Roman"/>
          <w:sz w:val="24"/>
          <w:szCs w:val="24"/>
        </w:rPr>
        <w:t>analogiškas pašto paslaugas teikiančių verslo subjektų verslo plėtros vadybininkai.</w:t>
      </w:r>
      <w:r w:rsidR="00777EA8" w:rsidRPr="006740E5">
        <w:rPr>
          <w:rFonts w:ascii="Times New Roman" w:hAnsi="Times New Roman"/>
          <w:sz w:val="24"/>
          <w:szCs w:val="24"/>
        </w:rPr>
        <w:t xml:space="preserve"> </w:t>
      </w:r>
      <w:r w:rsidRPr="006740E5">
        <w:rPr>
          <w:rFonts w:ascii="Times New Roman" w:hAnsi="Times New Roman"/>
          <w:sz w:val="24"/>
          <w:szCs w:val="24"/>
        </w:rPr>
        <w:t>Gauti informacijai iš respondentų naudotas apklausos metodas – anketavimas. Šis metodas pasirinktas dėl patogumo respondentui – anketavimas suteikia galimybę pateikus keletą klausimų greitai gauti daug informacijos (Tidikis, 2003). Nedidelis kiekis klausimų patogus respondentui – trumpesnis klausimynas skatina respondentus pateikti atsakym</w:t>
      </w:r>
      <w:r w:rsidR="00777EA8" w:rsidRPr="006740E5">
        <w:rPr>
          <w:rFonts w:ascii="Times New Roman" w:hAnsi="Times New Roman"/>
          <w:sz w:val="24"/>
          <w:szCs w:val="24"/>
        </w:rPr>
        <w:t>us, kadangi neatima daug laiko.</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b/>
          <w:sz w:val="24"/>
          <w:szCs w:val="24"/>
        </w:rPr>
        <w:t xml:space="preserve">Tiriamoji aibė. </w:t>
      </w:r>
      <w:r w:rsidRPr="006740E5">
        <w:rPr>
          <w:rFonts w:ascii="Times New Roman" w:hAnsi="Times New Roman"/>
          <w:sz w:val="24"/>
          <w:szCs w:val="24"/>
        </w:rPr>
        <w:t xml:space="preserve">Siekiant ištirti esamą pašto rinkos ir pašto paslaugų būklę Lietuvoje, pasirinkta išanalizuoti valstybinės įmonės AB ,,Lietuvos paštas’’ konkurentų, </w:t>
      </w:r>
      <w:r w:rsidR="00777EA8" w:rsidRPr="006740E5">
        <w:rPr>
          <w:rFonts w:ascii="Times New Roman" w:hAnsi="Times New Roman"/>
          <w:sz w:val="24"/>
          <w:szCs w:val="24"/>
        </w:rPr>
        <w:t xml:space="preserve">kitų </w:t>
      </w:r>
      <w:r w:rsidRPr="006740E5">
        <w:rPr>
          <w:rFonts w:ascii="Times New Roman" w:hAnsi="Times New Roman"/>
          <w:sz w:val="24"/>
          <w:szCs w:val="24"/>
        </w:rPr>
        <w:t>pašto paslaugų teikimo proceso rinkos dalyvių, veiklą</w:t>
      </w:r>
      <w:r w:rsidR="00777EA8" w:rsidRPr="006740E5">
        <w:rPr>
          <w:rFonts w:ascii="Times New Roman" w:hAnsi="Times New Roman"/>
          <w:sz w:val="24"/>
          <w:szCs w:val="24"/>
        </w:rPr>
        <w:t xml:space="preserve"> liberalizuojamoje pašto rinkoje</w:t>
      </w:r>
      <w:r w:rsidRPr="006740E5">
        <w:rPr>
          <w:rFonts w:ascii="Times New Roman" w:hAnsi="Times New Roman"/>
          <w:sz w:val="24"/>
          <w:szCs w:val="24"/>
        </w:rPr>
        <w:t>. Šiuo metu pašto paslaugų teikėjų spektras gan platus. Siekiant išgryninti reprezentatyviąją aibę, pašto paslaugos ir pašto paslaugų teikėjai analizuojami pagal jų veiklos specifiką.</w:t>
      </w:r>
    </w:p>
    <w:p w:rsidR="00777EA8" w:rsidRPr="006740E5" w:rsidRDefault="00C66C7D" w:rsidP="00777EA8">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LR Pašto įstatymas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2010, 1−33)</w:t>
      </w:r>
      <w:r w:rsidRPr="006740E5">
        <w:rPr>
          <w:rFonts w:ascii="Times New Roman" w:hAnsi="Times New Roman"/>
          <w:sz w:val="24"/>
          <w:szCs w:val="24"/>
        </w:rPr>
        <w:t xml:space="preserve"> pašto paslaugas pagal paslaugų turinį skirsto į dvi grupes: a) pašto korespondencijos paslaugos; b) pasiuntinių pašto paslaugos. LR Pašto įstatymo 6 straipsnis reglamentuoja </w:t>
      </w:r>
      <w:r w:rsidRPr="006740E5">
        <w:rPr>
          <w:rFonts w:ascii="Times New Roman" w:hAnsi="Times New Roman"/>
          <w:bCs/>
          <w:sz w:val="24"/>
          <w:szCs w:val="24"/>
        </w:rPr>
        <w:t>pašto korespondencijos ir pasiuntinių paslaugų teikimo teisę, 6</w:t>
      </w:r>
      <w:r w:rsidRPr="006740E5">
        <w:rPr>
          <w:rFonts w:ascii="Times New Roman" w:hAnsi="Times New Roman"/>
          <w:b/>
          <w:bCs/>
          <w:sz w:val="24"/>
          <w:szCs w:val="24"/>
        </w:rPr>
        <w:t>.</w:t>
      </w:r>
      <w:r w:rsidRPr="006740E5">
        <w:rPr>
          <w:rFonts w:ascii="Times New Roman" w:hAnsi="Times New Roman"/>
          <w:sz w:val="24"/>
          <w:szCs w:val="24"/>
        </w:rPr>
        <w:t xml:space="preserve">1. straipsnis numato pašto korespondencijos ir pasiuntinių paslaugų teikimo veiklos laisvumą – nėra reikalingas leidimas </w:t>
      </w:r>
      <w:r w:rsidRPr="006740E5">
        <w:rPr>
          <w:rFonts w:ascii="Times New Roman" w:hAnsi="Times New Roman"/>
          <w:bCs/>
          <w:sz w:val="24"/>
          <w:szCs w:val="24"/>
        </w:rPr>
        <w:t>paslaugų teikimui</w:t>
      </w:r>
      <w:r w:rsidRPr="006740E5">
        <w:rPr>
          <w:rFonts w:ascii="Times New Roman" w:hAnsi="Times New Roman"/>
          <w:bCs/>
        </w:rPr>
        <w:t xml:space="preserve">. </w:t>
      </w:r>
      <w:r w:rsidRPr="006740E5">
        <w:rPr>
          <w:rFonts w:ascii="Times New Roman" w:hAnsi="Times New Roman"/>
          <w:sz w:val="24"/>
          <w:szCs w:val="24"/>
        </w:rPr>
        <w:t>Tačiau subjektas nusprendęs užsiimti pašto korespondencijos ir/ar pasiuntinių pašto veikla, apie savo sprendimą privalo pranešti LR Ryšių reguliavimo tarnybai (toliau – RRT). Pranešimas parengiamas pagal nustatytą formą, kurioje pateikiama informacija apie: teikiamų paslaugų rūšis (pašto korespondencijos įteikimas; reklaminių siuntų įteikimas; siuntinių įteikimas; kitos paslaugos), paslaugų teikimo pradžia, teritorija, kurioje planuojama teikti paslaugas, tarifai, siuntų indentifikavimo priemonės, juridinio asmens filialai ir padaliniai, kontaktinio asmens duomenys.</w:t>
      </w:r>
      <w:r w:rsidR="00777EA8" w:rsidRPr="006740E5">
        <w:rPr>
          <w:rFonts w:ascii="Times New Roman" w:hAnsi="Times New Roman"/>
          <w:sz w:val="24"/>
          <w:szCs w:val="24"/>
        </w:rPr>
        <w:t xml:space="preserve"> </w:t>
      </w:r>
    </w:p>
    <w:p w:rsidR="00C66C7D" w:rsidRPr="006740E5" w:rsidRDefault="00C66C7D" w:rsidP="00777EA8">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Tas pats LR Pašto įstatymas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xml:space="preserve">., 2010, 1−33) </w:t>
      </w:r>
      <w:r w:rsidRPr="006740E5">
        <w:rPr>
          <w:rFonts w:ascii="Times New Roman" w:hAnsi="Times New Roman"/>
          <w:sz w:val="24"/>
          <w:szCs w:val="24"/>
        </w:rPr>
        <w:t xml:space="preserve">pašto paslaugas skirsto į dvi grupes pagal paslaugų teikimo teritoriją: a) UPP; b) regioninės. UPP sąvoka yra apibrėžta LR Pašto įstatymo </w:t>
      </w:r>
      <w:r w:rsidRPr="006740E5">
        <w:rPr>
          <w:rFonts w:ascii="Times New Roman" w:hAnsi="Times New Roman"/>
          <w:sz w:val="24"/>
          <w:szCs w:val="24"/>
        </w:rPr>
        <w:br/>
        <w:t>(</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2010, 1−33)</w:t>
      </w:r>
      <w:r w:rsidRPr="006740E5">
        <w:rPr>
          <w:rFonts w:ascii="Times New Roman" w:hAnsi="Times New Roman"/>
          <w:sz w:val="24"/>
          <w:szCs w:val="24"/>
        </w:rPr>
        <w:t xml:space="preserve"> 2.25 straipsnyje. Regioninių paslaugų sąvoka nėra pateikta įstatyme, tačiau RRT direktoriaus įsakymu (Žin., 2010, </w:t>
      </w:r>
      <w:r w:rsidRPr="006740E5">
        <w:rPr>
          <w:rFonts w:ascii="Times New Roman" w:hAnsi="Times New Roman"/>
          <w:bCs/>
          <w:sz w:val="24"/>
          <w:szCs w:val="24"/>
        </w:rPr>
        <w:t>3−149</w:t>
      </w:r>
      <w:r w:rsidRPr="006740E5">
        <w:rPr>
          <w:rFonts w:ascii="Times New Roman" w:hAnsi="Times New Roman"/>
          <w:sz w:val="24"/>
          <w:szCs w:val="24"/>
        </w:rPr>
        <w:t xml:space="preserve">) patvirtintoje pranešimo apie pašto paslaugų teikimą formoje yra grafa, kurioje būtina apibrėžti paslaugų teikimo teritoriją, šis faktas pateikia prielaidą, kad pašto paslaugos gali būti teikiamos ne tik visoje Lietuvoje, bet ir tik tam tikrose šalies srityse, todėl jas galima pavadinti regioninėmis. Esminis veiksnys atskiriantis UPP ir regionines paslaugas yra viešasis </w:t>
      </w:r>
      <w:r w:rsidRPr="006740E5">
        <w:rPr>
          <w:rFonts w:ascii="Times New Roman" w:hAnsi="Times New Roman"/>
          <w:sz w:val="24"/>
          <w:szCs w:val="24"/>
        </w:rPr>
        <w:lastRenderedPageBreak/>
        <w:t>pašto tinklas. LR Pašto įstatymo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xml:space="preserve">., 2010, 1−33) 2.27 </w:t>
      </w:r>
      <w:r w:rsidRPr="006740E5">
        <w:rPr>
          <w:rFonts w:ascii="Times New Roman" w:hAnsi="Times New Roman"/>
          <w:sz w:val="24"/>
          <w:szCs w:val="24"/>
        </w:rPr>
        <w:t>straipsnis viešasis pašto tinklas apibrėžiamas taip: pašto infrastruktūra, kuria naudojasi universaliųjų pašto paslaugų teikėjas teikdamas pašto paslaugas: surinkdamas pašto siuntas, priskiriamas universaliosioms pašto paslaugoms, iš visoje teritorijoje esančių pašto paslaugų teikimo vietų; apdorodamas ir veždamas tokias pašto siuntas nuo paėmimo iš pašto paslaugų teikimo vietų iki rūšiavimo vietų; pristatydamas siuntas pagal adresus, nurodytus ant pašto siuntų.</w:t>
      </w:r>
    </w:p>
    <w:p w:rsidR="00C66C7D" w:rsidRPr="006740E5" w:rsidRDefault="00C66C7D" w:rsidP="00FB15B3">
      <w:pPr>
        <w:tabs>
          <w:tab w:val="left" w:pos="-6379"/>
          <w:tab w:val="left" w:pos="1134"/>
        </w:tabs>
        <w:spacing w:after="0" w:line="360" w:lineRule="auto"/>
        <w:ind w:firstLine="567"/>
        <w:jc w:val="both"/>
        <w:rPr>
          <w:rFonts w:ascii="Times New Roman" w:hAnsi="Times New Roman"/>
          <w:sz w:val="24"/>
          <w:szCs w:val="24"/>
        </w:rPr>
      </w:pPr>
      <w:r w:rsidRPr="006740E5">
        <w:rPr>
          <w:rFonts w:ascii="Times New Roman" w:hAnsi="Times New Roman"/>
          <w:sz w:val="24"/>
          <w:szCs w:val="24"/>
        </w:rPr>
        <w:t>LR Pašto įstatymas nėra vienintelis pašto sektoriaus organizacijų teikiamų paslaugų skirstymą pateikiantis teisės aktas. Remiantis Statistikos departamento prie Lietuvos Respublikos Vyriausybės (toliau – SD) generalinio direktoriaus įsakymu (Žin., 2007, 119−4877) patvirtintu LR Ekonominės veiklos rūšių klasifikatoriumi (toliau – EVRK) tyrime nagrinėjamų pašto paslaugos skirstymas pateikiamas 12 lentelėje.</w:t>
      </w:r>
    </w:p>
    <w:p w:rsidR="00777EA8" w:rsidRPr="006740E5" w:rsidRDefault="00777EA8" w:rsidP="00FB15B3">
      <w:pPr>
        <w:tabs>
          <w:tab w:val="left" w:pos="-6379"/>
          <w:tab w:val="left" w:pos="1134"/>
        </w:tabs>
        <w:spacing w:after="0" w:line="360" w:lineRule="auto"/>
        <w:ind w:firstLine="567"/>
        <w:jc w:val="both"/>
        <w:rPr>
          <w:rFonts w:ascii="Times New Roman" w:hAnsi="Times New Roman"/>
          <w:sz w:val="24"/>
          <w:szCs w:val="24"/>
        </w:rPr>
      </w:pPr>
    </w:p>
    <w:p w:rsidR="00C66C7D" w:rsidRPr="006740E5" w:rsidRDefault="00C66C7D" w:rsidP="00FB15B3">
      <w:pPr>
        <w:tabs>
          <w:tab w:val="left" w:pos="-6379"/>
          <w:tab w:val="left" w:pos="-4962"/>
        </w:tabs>
        <w:spacing w:line="360" w:lineRule="auto"/>
        <w:jc w:val="center"/>
        <w:rPr>
          <w:rFonts w:ascii="Times New Roman" w:hAnsi="Times New Roman"/>
          <w:b/>
          <w:sz w:val="24"/>
          <w:szCs w:val="24"/>
        </w:rPr>
      </w:pPr>
      <w:r w:rsidRPr="006740E5">
        <w:rPr>
          <w:rFonts w:ascii="Times New Roman" w:hAnsi="Times New Roman"/>
          <w:b/>
          <w:sz w:val="24"/>
          <w:szCs w:val="24"/>
        </w:rPr>
        <w:t>12 lentelė. Pašto paslaugų skirstymas pagal EVRK</w:t>
      </w:r>
    </w:p>
    <w:tbl>
      <w:tblPr>
        <w:tblW w:w="8806" w:type="dxa"/>
        <w:jc w:val="center"/>
        <w:tblInd w:w="2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87"/>
        <w:gridCol w:w="6319"/>
      </w:tblGrid>
      <w:tr w:rsidR="00C66C7D" w:rsidRPr="006740E5" w:rsidTr="008222E8">
        <w:trPr>
          <w:trHeight w:val="282"/>
          <w:jc w:val="center"/>
        </w:trPr>
        <w:tc>
          <w:tcPr>
            <w:tcW w:w="2487" w:type="dxa"/>
            <w:tcBorders>
              <w:top w:val="single" w:sz="12" w:space="0" w:color="auto"/>
              <w:left w:val="single" w:sz="12" w:space="0" w:color="auto"/>
              <w:bottom w:val="single" w:sz="12" w:space="0" w:color="auto"/>
              <w:right w:val="single" w:sz="12" w:space="0" w:color="auto"/>
            </w:tcBorders>
            <w:shd w:val="pct10" w:color="auto" w:fill="auto"/>
            <w:vAlign w:val="center"/>
          </w:tcPr>
          <w:p w:rsidR="00C66C7D" w:rsidRPr="006740E5" w:rsidRDefault="00C66C7D" w:rsidP="008222E8">
            <w:pPr>
              <w:tabs>
                <w:tab w:val="left" w:pos="-6379"/>
                <w:tab w:val="left" w:pos="-4962"/>
              </w:tabs>
              <w:spacing w:after="0"/>
              <w:jc w:val="center"/>
              <w:rPr>
                <w:rFonts w:ascii="Times New Roman" w:hAnsi="Times New Roman"/>
                <w:b/>
                <w:sz w:val="20"/>
                <w:szCs w:val="20"/>
              </w:rPr>
            </w:pPr>
            <w:r w:rsidRPr="006740E5">
              <w:rPr>
                <w:rFonts w:ascii="Times New Roman" w:hAnsi="Times New Roman"/>
                <w:b/>
                <w:sz w:val="20"/>
                <w:szCs w:val="20"/>
              </w:rPr>
              <w:t>Ekonominės veiklos kodas</w:t>
            </w:r>
          </w:p>
        </w:tc>
        <w:tc>
          <w:tcPr>
            <w:tcW w:w="6319" w:type="dxa"/>
            <w:tcBorders>
              <w:top w:val="single" w:sz="12" w:space="0" w:color="auto"/>
              <w:left w:val="single" w:sz="12" w:space="0" w:color="auto"/>
              <w:bottom w:val="single" w:sz="12" w:space="0" w:color="auto"/>
              <w:right w:val="single" w:sz="12" w:space="0" w:color="auto"/>
            </w:tcBorders>
            <w:shd w:val="pct10" w:color="auto" w:fill="auto"/>
            <w:vAlign w:val="center"/>
          </w:tcPr>
          <w:p w:rsidR="00C66C7D" w:rsidRPr="006740E5" w:rsidRDefault="00C66C7D" w:rsidP="008222E8">
            <w:pPr>
              <w:tabs>
                <w:tab w:val="left" w:pos="-6379"/>
                <w:tab w:val="left" w:pos="-4962"/>
              </w:tabs>
              <w:spacing w:after="0"/>
              <w:jc w:val="center"/>
              <w:rPr>
                <w:rFonts w:ascii="Times New Roman" w:hAnsi="Times New Roman"/>
                <w:b/>
                <w:sz w:val="20"/>
                <w:szCs w:val="20"/>
              </w:rPr>
            </w:pPr>
            <w:r w:rsidRPr="006740E5">
              <w:rPr>
                <w:rFonts w:ascii="Times New Roman" w:hAnsi="Times New Roman"/>
                <w:b/>
                <w:sz w:val="20"/>
                <w:szCs w:val="20"/>
              </w:rPr>
              <w:t>Ekonominės veiklos pavadinimas</w:t>
            </w:r>
          </w:p>
        </w:tc>
      </w:tr>
      <w:tr w:rsidR="00C66C7D" w:rsidRPr="006740E5" w:rsidTr="008222E8">
        <w:trPr>
          <w:trHeight w:val="282"/>
          <w:jc w:val="center"/>
        </w:trPr>
        <w:tc>
          <w:tcPr>
            <w:tcW w:w="2487" w:type="dxa"/>
            <w:tcBorders>
              <w:top w:val="single" w:sz="12" w:space="0" w:color="auto"/>
              <w:left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jc w:val="center"/>
              <w:rPr>
                <w:rFonts w:ascii="Times New Roman" w:hAnsi="Times New Roman"/>
                <w:sz w:val="20"/>
                <w:szCs w:val="20"/>
              </w:rPr>
            </w:pPr>
            <w:r w:rsidRPr="006740E5">
              <w:rPr>
                <w:rFonts w:ascii="Times New Roman" w:hAnsi="Times New Roman"/>
                <w:sz w:val="20"/>
                <w:szCs w:val="20"/>
              </w:rPr>
              <w:t>530000</w:t>
            </w:r>
          </w:p>
        </w:tc>
        <w:tc>
          <w:tcPr>
            <w:tcW w:w="6319" w:type="dxa"/>
            <w:tcBorders>
              <w:top w:val="single" w:sz="12" w:space="0" w:color="auto"/>
              <w:left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rPr>
                <w:rFonts w:ascii="Times New Roman" w:hAnsi="Times New Roman"/>
                <w:sz w:val="20"/>
                <w:szCs w:val="20"/>
              </w:rPr>
            </w:pPr>
            <w:r w:rsidRPr="006740E5">
              <w:rPr>
                <w:rFonts w:ascii="TimesNewRomanPSMT Baltic" w:hAnsi="TimesNewRomanPSMT Baltic" w:cs="TimesNewRomanPSMT Baltic"/>
                <w:sz w:val="20"/>
                <w:szCs w:val="20"/>
              </w:rPr>
              <w:t>Pašto ir pasiuntinių (kurjerių) veikla</w:t>
            </w:r>
          </w:p>
        </w:tc>
      </w:tr>
      <w:tr w:rsidR="00C66C7D" w:rsidRPr="006740E5" w:rsidTr="008222E8">
        <w:trPr>
          <w:trHeight w:val="273"/>
          <w:jc w:val="center"/>
        </w:trPr>
        <w:tc>
          <w:tcPr>
            <w:tcW w:w="2487" w:type="dxa"/>
            <w:tcBorders>
              <w:left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jc w:val="center"/>
              <w:rPr>
                <w:rFonts w:ascii="Times New Roman" w:hAnsi="Times New Roman"/>
                <w:sz w:val="20"/>
                <w:szCs w:val="20"/>
              </w:rPr>
            </w:pPr>
            <w:r w:rsidRPr="006740E5">
              <w:rPr>
                <w:rFonts w:ascii="Times New Roman" w:hAnsi="Times New Roman"/>
                <w:sz w:val="20"/>
                <w:szCs w:val="20"/>
              </w:rPr>
              <w:t>531000</w:t>
            </w:r>
          </w:p>
        </w:tc>
        <w:tc>
          <w:tcPr>
            <w:tcW w:w="6319" w:type="dxa"/>
            <w:tcBorders>
              <w:left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rPr>
                <w:rFonts w:ascii="Times New Roman" w:hAnsi="Times New Roman"/>
                <w:sz w:val="20"/>
                <w:szCs w:val="20"/>
              </w:rPr>
            </w:pPr>
            <w:r w:rsidRPr="006740E5">
              <w:rPr>
                <w:rFonts w:ascii="TimesNewRomanPSMT" w:hAnsi="TimesNewRomanPSMT" w:cs="TimesNewRomanPSMT"/>
                <w:sz w:val="20"/>
                <w:szCs w:val="20"/>
              </w:rPr>
              <w:t xml:space="preserve">Pašto pagal </w:t>
            </w:r>
            <w:r w:rsidRPr="006740E5">
              <w:rPr>
                <w:rFonts w:ascii="TimesNewRomanPSMT Baltic" w:hAnsi="TimesNewRomanPSMT Baltic" w:cs="TimesNewRomanPSMT Baltic"/>
                <w:sz w:val="20"/>
                <w:szCs w:val="20"/>
              </w:rPr>
              <w:t>įpareigojimą teikti universaliąsias paslaugas atliekama veikla</w:t>
            </w:r>
          </w:p>
        </w:tc>
      </w:tr>
      <w:tr w:rsidR="00C66C7D" w:rsidRPr="006740E5" w:rsidTr="008222E8">
        <w:trPr>
          <w:trHeight w:val="266"/>
          <w:jc w:val="center"/>
        </w:trPr>
        <w:tc>
          <w:tcPr>
            <w:tcW w:w="2487" w:type="dxa"/>
            <w:tcBorders>
              <w:left w:val="single" w:sz="12" w:space="0" w:color="auto"/>
              <w:bottom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jc w:val="center"/>
              <w:rPr>
                <w:rFonts w:ascii="Times New Roman" w:hAnsi="Times New Roman"/>
                <w:sz w:val="20"/>
                <w:szCs w:val="20"/>
              </w:rPr>
            </w:pPr>
            <w:r w:rsidRPr="006740E5">
              <w:rPr>
                <w:rFonts w:ascii="Times New Roman" w:hAnsi="Times New Roman"/>
                <w:sz w:val="20"/>
                <w:szCs w:val="20"/>
              </w:rPr>
              <w:t>532000</w:t>
            </w:r>
          </w:p>
        </w:tc>
        <w:tc>
          <w:tcPr>
            <w:tcW w:w="6319" w:type="dxa"/>
            <w:tcBorders>
              <w:left w:val="single" w:sz="12" w:space="0" w:color="auto"/>
              <w:bottom w:val="single" w:sz="12" w:space="0" w:color="auto"/>
              <w:right w:val="single" w:sz="12" w:space="0" w:color="auto"/>
            </w:tcBorders>
            <w:vAlign w:val="center"/>
          </w:tcPr>
          <w:p w:rsidR="00C66C7D" w:rsidRPr="006740E5" w:rsidRDefault="00C66C7D" w:rsidP="008222E8">
            <w:pPr>
              <w:tabs>
                <w:tab w:val="left" w:pos="-6379"/>
                <w:tab w:val="left" w:pos="-4962"/>
              </w:tabs>
              <w:spacing w:after="0" w:line="240" w:lineRule="auto"/>
              <w:rPr>
                <w:rFonts w:ascii="Times New Roman" w:hAnsi="Times New Roman"/>
                <w:sz w:val="20"/>
                <w:szCs w:val="20"/>
              </w:rPr>
            </w:pPr>
            <w:r w:rsidRPr="006740E5">
              <w:rPr>
                <w:rFonts w:ascii="TimesNewRomanPSMT Baltic" w:hAnsi="TimesNewRomanPSMT Baltic" w:cs="TimesNewRomanPSMT Baltic"/>
                <w:sz w:val="20"/>
                <w:szCs w:val="20"/>
              </w:rPr>
              <w:t>Kita pašto ir pasiuntinių (kurjerių) veikla</w:t>
            </w:r>
          </w:p>
        </w:tc>
      </w:tr>
    </w:tbl>
    <w:p w:rsidR="00C66C7D" w:rsidRPr="006740E5" w:rsidRDefault="00C66C7D" w:rsidP="00FB15B3">
      <w:pPr>
        <w:tabs>
          <w:tab w:val="left" w:pos="-6379"/>
          <w:tab w:val="left" w:pos="-4962"/>
        </w:tabs>
        <w:spacing w:before="20" w:after="120" w:line="240" w:lineRule="auto"/>
        <w:ind w:firstLine="1843"/>
        <w:rPr>
          <w:rFonts w:ascii="Times New Roman" w:hAnsi="Times New Roman"/>
          <w:sz w:val="20"/>
          <w:szCs w:val="20"/>
        </w:rPr>
      </w:pPr>
      <w:r w:rsidRPr="006740E5">
        <w:rPr>
          <w:rFonts w:ascii="Times New Roman" w:hAnsi="Times New Roman"/>
          <w:sz w:val="20"/>
          <w:szCs w:val="20"/>
        </w:rPr>
        <w:t>Sudaryta autorės remiantis EVRK duomenimis</w:t>
      </w:r>
    </w:p>
    <w:p w:rsidR="00777EA8" w:rsidRPr="006740E5" w:rsidRDefault="00C66C7D" w:rsidP="00777EA8">
      <w:pPr>
        <w:tabs>
          <w:tab w:val="left" w:pos="-6379"/>
          <w:tab w:val="left" w:pos="-6237"/>
        </w:tabs>
        <w:spacing w:after="0" w:line="360" w:lineRule="auto"/>
        <w:ind w:firstLine="567"/>
        <w:jc w:val="both"/>
        <w:rPr>
          <w:rFonts w:ascii="Times New Roman" w:hAnsi="Times New Roman"/>
          <w:sz w:val="24"/>
          <w:szCs w:val="24"/>
        </w:rPr>
      </w:pPr>
      <w:r w:rsidRPr="006740E5">
        <w:rPr>
          <w:rFonts w:ascii="Times New Roman" w:hAnsi="Times New Roman"/>
          <w:sz w:val="24"/>
          <w:szCs w:val="24"/>
        </w:rPr>
        <w:tab/>
      </w:r>
    </w:p>
    <w:p w:rsidR="00C66C7D" w:rsidRPr="006740E5" w:rsidRDefault="00C66C7D" w:rsidP="00777EA8">
      <w:pPr>
        <w:tabs>
          <w:tab w:val="left" w:pos="-6379"/>
          <w:tab w:val="left" w:pos="-6237"/>
        </w:tabs>
        <w:spacing w:after="0" w:line="360" w:lineRule="auto"/>
        <w:ind w:firstLine="567"/>
        <w:jc w:val="both"/>
        <w:rPr>
          <w:rFonts w:ascii="Times New Roman" w:hAnsi="Times New Roman"/>
          <w:sz w:val="24"/>
          <w:szCs w:val="24"/>
        </w:rPr>
      </w:pPr>
      <w:r w:rsidRPr="006740E5">
        <w:rPr>
          <w:rFonts w:ascii="Times New Roman" w:hAnsi="Times New Roman"/>
          <w:sz w:val="24"/>
          <w:szCs w:val="24"/>
        </w:rPr>
        <w:t>Ekonominės veiklos kodu 530000 žymima veiklos rūšis tarsi apima 531000 ir 532000 kodais žymimas veiklų rūšis. Kodai atskindi veiklų rūšių suskirstymą pagal teritorinį paslaugų teikimo vientisumą – paslaugos teikiamos visoje šalies teritorijoje (kodas − 531000) ar neapibrėžtoje teritorijoje (kodas − 532000), bendruoju kodu (530000) žymimos paslaugos, kurių dalį subjektas yra įsipareigojęs teikti visoje šalies teritorijoje, tačiau kitą dalį paslaugų gali pasirinkti teikti tik tam tikroje teritorijoje – pašto paslaugų skirstymo pagrindas iš dalies kartoja pašto paslaugų teikimo skirstymą pagal teikiamą teritoriją LR Pašto įstatyme (</w:t>
      </w:r>
      <w:r w:rsidRPr="006740E5">
        <w:rPr>
          <w:rFonts w:ascii="Times New Roman" w:hAnsi="Times New Roman"/>
          <w:caps/>
          <w:sz w:val="24"/>
          <w:szCs w:val="24"/>
        </w:rPr>
        <w:t>ž</w:t>
      </w:r>
      <w:r w:rsidRPr="006740E5">
        <w:rPr>
          <w:rFonts w:ascii="Times New Roman" w:hAnsi="Times New Roman"/>
          <w:sz w:val="24"/>
          <w:szCs w:val="24"/>
        </w:rPr>
        <w:t xml:space="preserve">in., 2010, 1−33), kuriame pašto paslaugų skirstymai paremti turinio ir teritoriniu pagrindais. </w:t>
      </w:r>
    </w:p>
    <w:p w:rsidR="00C66C7D" w:rsidRPr="006740E5" w:rsidRDefault="00C66C7D" w:rsidP="00FB15B3">
      <w:pPr>
        <w:tabs>
          <w:tab w:val="left" w:pos="-6379"/>
          <w:tab w:val="left" w:pos="709"/>
        </w:tabs>
        <w:spacing w:after="0" w:line="360" w:lineRule="auto"/>
        <w:ind w:firstLine="567"/>
        <w:jc w:val="both"/>
        <w:rPr>
          <w:rFonts w:ascii="Times New Roman" w:hAnsi="Times New Roman"/>
          <w:sz w:val="24"/>
          <w:szCs w:val="24"/>
        </w:rPr>
      </w:pPr>
      <w:r w:rsidRPr="006740E5">
        <w:rPr>
          <w:rFonts w:ascii="Times New Roman" w:hAnsi="Times New Roman"/>
          <w:sz w:val="24"/>
          <w:szCs w:val="24"/>
        </w:rPr>
        <w:t>Egzistuojantis Lietuvoje teikiamų pašto paslaugų reglamentavimas, nagrinėjamas paslaugas leidžia skirstyti į šešias pašto paslaugų grupes. Sisteminė, pagal reglamentavimą atlikta, pašto paslaugų grupių analizė pateikiama 13 lentelėje:</w:t>
      </w: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777EA8" w:rsidRPr="006740E5" w:rsidRDefault="00777EA8" w:rsidP="00FB15B3">
      <w:pPr>
        <w:tabs>
          <w:tab w:val="left" w:pos="-6379"/>
          <w:tab w:val="left" w:pos="709"/>
        </w:tabs>
        <w:spacing w:after="0" w:line="360" w:lineRule="auto"/>
        <w:ind w:firstLine="567"/>
        <w:jc w:val="both"/>
        <w:rPr>
          <w:rFonts w:ascii="Times New Roman" w:hAnsi="Times New Roman"/>
          <w:sz w:val="24"/>
          <w:szCs w:val="24"/>
        </w:rPr>
      </w:pPr>
    </w:p>
    <w:p w:rsidR="00C66C7D" w:rsidRPr="006740E5" w:rsidRDefault="00C66C7D" w:rsidP="00FB15B3">
      <w:pPr>
        <w:tabs>
          <w:tab w:val="left" w:pos="-6379"/>
          <w:tab w:val="left" w:pos="-4962"/>
        </w:tabs>
        <w:spacing w:line="360" w:lineRule="auto"/>
        <w:jc w:val="center"/>
        <w:rPr>
          <w:rFonts w:ascii="Times New Roman" w:hAnsi="Times New Roman"/>
          <w:b/>
          <w:sz w:val="24"/>
          <w:szCs w:val="24"/>
        </w:rPr>
      </w:pPr>
      <w:r w:rsidRPr="006740E5">
        <w:rPr>
          <w:rFonts w:ascii="Times New Roman" w:hAnsi="Times New Roman"/>
          <w:b/>
          <w:sz w:val="24"/>
          <w:szCs w:val="24"/>
        </w:rPr>
        <w:lastRenderedPageBreak/>
        <w:t>13 lentelė. Pašto paslaugų pagal funkcijas ir veiklos teritorinį vientisumą analizė</w:t>
      </w:r>
    </w:p>
    <w:tbl>
      <w:tblPr>
        <w:tblW w:w="0" w:type="auto"/>
        <w:jc w:val="center"/>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46"/>
        <w:gridCol w:w="560"/>
        <w:gridCol w:w="2223"/>
        <w:gridCol w:w="2268"/>
        <w:gridCol w:w="3402"/>
      </w:tblGrid>
      <w:tr w:rsidR="00C66C7D" w:rsidRPr="006740E5" w:rsidTr="008222E8">
        <w:trPr>
          <w:trHeight w:val="362"/>
          <w:jc w:val="center"/>
        </w:trPr>
        <w:tc>
          <w:tcPr>
            <w:tcW w:w="1006" w:type="dxa"/>
            <w:gridSpan w:val="2"/>
            <w:vMerge w:val="restart"/>
            <w:tcBorders>
              <w:top w:val="single" w:sz="12" w:space="0" w:color="000000"/>
              <w:left w:val="single" w:sz="12" w:space="0" w:color="000000"/>
              <w:right w:val="single" w:sz="12" w:space="0" w:color="auto"/>
            </w:tcBorders>
            <w:shd w:val="pct10" w:color="auto" w:fill="auto"/>
          </w:tcPr>
          <w:p w:rsidR="00C66C7D" w:rsidRPr="006740E5" w:rsidRDefault="00C66C7D" w:rsidP="008222E8">
            <w:pPr>
              <w:tabs>
                <w:tab w:val="left" w:pos="-6379"/>
                <w:tab w:val="left" w:pos="1134"/>
              </w:tabs>
              <w:spacing w:before="20" w:after="40"/>
              <w:jc w:val="both"/>
              <w:rPr>
                <w:rFonts w:ascii="Times New Roman" w:hAnsi="Times New Roman"/>
                <w:sz w:val="18"/>
                <w:szCs w:val="18"/>
              </w:rPr>
            </w:pPr>
          </w:p>
        </w:tc>
        <w:tc>
          <w:tcPr>
            <w:tcW w:w="7893" w:type="dxa"/>
            <w:gridSpan w:val="3"/>
            <w:tcBorders>
              <w:top w:val="single" w:sz="12" w:space="0" w:color="000000"/>
              <w:left w:val="single" w:sz="12" w:space="0" w:color="auto"/>
              <w:right w:val="single" w:sz="12" w:space="0" w:color="auto"/>
            </w:tcBorders>
            <w:shd w:val="pct10" w:color="auto" w:fill="auto"/>
            <w:vAlign w:val="center"/>
          </w:tcPr>
          <w:p w:rsidR="00C66C7D" w:rsidRPr="006740E5" w:rsidRDefault="00C66C7D" w:rsidP="008222E8">
            <w:pPr>
              <w:tabs>
                <w:tab w:val="left" w:pos="-6379"/>
                <w:tab w:val="left" w:pos="1134"/>
              </w:tabs>
              <w:spacing w:before="20" w:after="40"/>
              <w:jc w:val="center"/>
              <w:rPr>
                <w:rFonts w:ascii="Times New Roman" w:hAnsi="Times New Roman"/>
                <w:b/>
                <w:sz w:val="18"/>
                <w:szCs w:val="18"/>
              </w:rPr>
            </w:pPr>
            <w:r w:rsidRPr="006740E5">
              <w:rPr>
                <w:rFonts w:ascii="Times New Roman" w:hAnsi="Times New Roman"/>
                <w:b/>
                <w:sz w:val="18"/>
                <w:szCs w:val="18"/>
              </w:rPr>
              <w:t>Paslaugos pagal jų teikimo teritoriją</w:t>
            </w:r>
          </w:p>
        </w:tc>
      </w:tr>
      <w:tr w:rsidR="00C66C7D" w:rsidRPr="006740E5" w:rsidTr="008222E8">
        <w:trPr>
          <w:trHeight w:val="378"/>
          <w:jc w:val="center"/>
        </w:trPr>
        <w:tc>
          <w:tcPr>
            <w:tcW w:w="1006" w:type="dxa"/>
            <w:gridSpan w:val="2"/>
            <w:vMerge/>
            <w:tcBorders>
              <w:left w:val="single" w:sz="12" w:space="0" w:color="000000"/>
              <w:right w:val="single" w:sz="12" w:space="0" w:color="auto"/>
            </w:tcBorders>
            <w:shd w:val="pct10" w:color="auto" w:fill="auto"/>
          </w:tcPr>
          <w:p w:rsidR="00C66C7D" w:rsidRPr="006740E5" w:rsidRDefault="00C66C7D" w:rsidP="008222E8">
            <w:pPr>
              <w:tabs>
                <w:tab w:val="left" w:pos="-6379"/>
                <w:tab w:val="left" w:pos="1134"/>
              </w:tabs>
              <w:spacing w:before="20" w:after="40"/>
              <w:jc w:val="both"/>
              <w:rPr>
                <w:rFonts w:ascii="Times New Roman" w:hAnsi="Times New Roman"/>
                <w:sz w:val="18"/>
                <w:szCs w:val="18"/>
              </w:rPr>
            </w:pPr>
          </w:p>
        </w:tc>
        <w:tc>
          <w:tcPr>
            <w:tcW w:w="2223" w:type="dxa"/>
            <w:tcBorders>
              <w:left w:val="single" w:sz="12" w:space="0" w:color="auto"/>
            </w:tcBorders>
            <w:shd w:val="pct5" w:color="auto" w:fill="auto"/>
            <w:vAlign w:val="center"/>
          </w:tcPr>
          <w:p w:rsidR="00C66C7D" w:rsidRPr="006740E5" w:rsidRDefault="00C66C7D" w:rsidP="008222E8">
            <w:pPr>
              <w:tabs>
                <w:tab w:val="left" w:pos="-6379"/>
                <w:tab w:val="left" w:pos="1134"/>
              </w:tabs>
              <w:spacing w:before="20" w:after="40"/>
              <w:jc w:val="center"/>
              <w:rPr>
                <w:rFonts w:ascii="Times New Roman" w:hAnsi="Times New Roman"/>
                <w:b/>
                <w:sz w:val="18"/>
                <w:szCs w:val="18"/>
              </w:rPr>
            </w:pPr>
            <w:r w:rsidRPr="006740E5">
              <w:rPr>
                <w:rFonts w:ascii="Times New Roman" w:hAnsi="Times New Roman"/>
                <w:b/>
                <w:sz w:val="18"/>
                <w:szCs w:val="18"/>
              </w:rPr>
              <w:t>Visoje šalyje</w:t>
            </w:r>
          </w:p>
        </w:tc>
        <w:tc>
          <w:tcPr>
            <w:tcW w:w="2268" w:type="dxa"/>
            <w:shd w:val="pct5" w:color="auto" w:fill="auto"/>
            <w:vAlign w:val="center"/>
          </w:tcPr>
          <w:p w:rsidR="00C66C7D" w:rsidRPr="006740E5" w:rsidRDefault="00C66C7D" w:rsidP="008222E8">
            <w:pPr>
              <w:tabs>
                <w:tab w:val="left" w:pos="-6379"/>
                <w:tab w:val="left" w:pos="1134"/>
              </w:tabs>
              <w:spacing w:before="20" w:after="40"/>
              <w:jc w:val="center"/>
              <w:rPr>
                <w:rFonts w:ascii="Times New Roman" w:hAnsi="Times New Roman"/>
                <w:b/>
                <w:sz w:val="18"/>
                <w:szCs w:val="18"/>
              </w:rPr>
            </w:pPr>
            <w:r w:rsidRPr="006740E5">
              <w:rPr>
                <w:rFonts w:ascii="Times New Roman" w:hAnsi="Times New Roman"/>
                <w:b/>
                <w:sz w:val="18"/>
                <w:szCs w:val="18"/>
              </w:rPr>
              <w:t>Neapibrėžtas</w:t>
            </w:r>
          </w:p>
        </w:tc>
        <w:tc>
          <w:tcPr>
            <w:tcW w:w="3402" w:type="dxa"/>
            <w:tcBorders>
              <w:right w:val="single" w:sz="12" w:space="0" w:color="auto"/>
            </w:tcBorders>
            <w:shd w:val="pct5" w:color="auto" w:fill="auto"/>
            <w:vAlign w:val="center"/>
          </w:tcPr>
          <w:p w:rsidR="00C66C7D" w:rsidRPr="006740E5" w:rsidRDefault="00C66C7D" w:rsidP="008222E8">
            <w:pPr>
              <w:tabs>
                <w:tab w:val="left" w:pos="-6379"/>
                <w:tab w:val="left" w:pos="1134"/>
              </w:tabs>
              <w:spacing w:before="20" w:after="40"/>
              <w:jc w:val="center"/>
              <w:rPr>
                <w:rFonts w:ascii="Times New Roman" w:hAnsi="Times New Roman"/>
                <w:b/>
                <w:sz w:val="18"/>
                <w:szCs w:val="18"/>
              </w:rPr>
            </w:pPr>
            <w:r w:rsidRPr="006740E5">
              <w:rPr>
                <w:rFonts w:ascii="Times New Roman" w:hAnsi="Times New Roman"/>
                <w:b/>
                <w:sz w:val="18"/>
                <w:szCs w:val="18"/>
              </w:rPr>
              <w:t>Mišrus</w:t>
            </w:r>
          </w:p>
        </w:tc>
      </w:tr>
      <w:tr w:rsidR="00C66C7D" w:rsidRPr="006740E5" w:rsidTr="008222E8">
        <w:trPr>
          <w:cantSplit/>
          <w:trHeight w:val="1621"/>
          <w:jc w:val="center"/>
        </w:trPr>
        <w:tc>
          <w:tcPr>
            <w:tcW w:w="446" w:type="dxa"/>
            <w:vMerge w:val="restart"/>
            <w:tcBorders>
              <w:top w:val="single" w:sz="12" w:space="0" w:color="000000"/>
              <w:left w:val="single" w:sz="12" w:space="0" w:color="000000"/>
            </w:tcBorders>
            <w:shd w:val="pct10" w:color="auto" w:fill="auto"/>
            <w:textDirection w:val="btLr"/>
            <w:vAlign w:val="center"/>
          </w:tcPr>
          <w:p w:rsidR="00C66C7D" w:rsidRPr="006740E5" w:rsidRDefault="00C66C7D" w:rsidP="008222E8">
            <w:pPr>
              <w:tabs>
                <w:tab w:val="left" w:pos="-6379"/>
                <w:tab w:val="left" w:pos="1134"/>
              </w:tabs>
              <w:spacing w:before="20" w:after="40"/>
              <w:ind w:left="113" w:right="113"/>
              <w:jc w:val="center"/>
              <w:rPr>
                <w:rFonts w:ascii="Times New Roman" w:hAnsi="Times New Roman"/>
                <w:b/>
                <w:sz w:val="18"/>
                <w:szCs w:val="18"/>
              </w:rPr>
            </w:pPr>
            <w:r w:rsidRPr="006740E5">
              <w:rPr>
                <w:rFonts w:ascii="Times New Roman" w:hAnsi="Times New Roman"/>
                <w:b/>
                <w:sz w:val="18"/>
                <w:szCs w:val="18"/>
              </w:rPr>
              <w:t>Paslaugos pagal jų turinį</w:t>
            </w:r>
          </w:p>
        </w:tc>
        <w:tc>
          <w:tcPr>
            <w:tcW w:w="560" w:type="dxa"/>
            <w:tcBorders>
              <w:top w:val="single" w:sz="12" w:space="0" w:color="000000"/>
              <w:right w:val="single" w:sz="12" w:space="0" w:color="auto"/>
            </w:tcBorders>
            <w:shd w:val="pct5" w:color="auto" w:fill="auto"/>
            <w:textDirection w:val="btLr"/>
            <w:vAlign w:val="center"/>
          </w:tcPr>
          <w:p w:rsidR="00C66C7D" w:rsidRPr="006740E5" w:rsidRDefault="00C66C7D" w:rsidP="008222E8">
            <w:pPr>
              <w:tabs>
                <w:tab w:val="left" w:pos="-6379"/>
                <w:tab w:val="left" w:pos="1134"/>
              </w:tabs>
              <w:spacing w:before="20" w:after="40"/>
              <w:ind w:left="113" w:right="113"/>
              <w:jc w:val="center"/>
              <w:rPr>
                <w:rFonts w:ascii="Times New Roman" w:hAnsi="Times New Roman"/>
                <w:b/>
                <w:sz w:val="18"/>
                <w:szCs w:val="18"/>
              </w:rPr>
            </w:pPr>
            <w:r w:rsidRPr="006740E5">
              <w:rPr>
                <w:rFonts w:ascii="Times New Roman" w:hAnsi="Times New Roman"/>
                <w:b/>
                <w:sz w:val="18"/>
                <w:szCs w:val="18"/>
              </w:rPr>
              <w:t>Pašto korespondencijos</w:t>
            </w:r>
          </w:p>
        </w:tc>
        <w:tc>
          <w:tcPr>
            <w:tcW w:w="2223" w:type="dxa"/>
            <w:tcBorders>
              <w:top w:val="single" w:sz="12" w:space="0" w:color="000000"/>
              <w:left w:val="single" w:sz="12" w:space="0" w:color="auto"/>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Pašto korespondencijos paslaugos, kurias subjektas privalo teikti visoje šalies teritorijoje, o apie sprendimą jas teikti privalo informuoti RRT.</w:t>
            </w:r>
          </w:p>
        </w:tc>
        <w:tc>
          <w:tcPr>
            <w:tcW w:w="2268" w:type="dxa"/>
            <w:tcBorders>
              <w:top w:val="single" w:sz="12" w:space="0" w:color="000000"/>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Pašto korespondencijos paslaugos, kurias subjektas gali teikti neapibrėžtoje teritorijoje, o apie sprendimą jas teikti privalo informuoti RRT.</w:t>
            </w:r>
          </w:p>
        </w:tc>
        <w:tc>
          <w:tcPr>
            <w:tcW w:w="3402" w:type="dxa"/>
            <w:tcBorders>
              <w:top w:val="single" w:sz="12" w:space="0" w:color="000000"/>
              <w:right w:val="single" w:sz="12" w:space="0" w:color="000000"/>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Pašto korespondencijos paslaugos, kurias subjektas gali pasirinkti teikti pagal įsipareigojimą visoje šalies teritorijoje ar pagal apsisprendimą tik tam tikruose regionuose, o apie sprendimą jas teikti privalo informuoti RRT.</w:t>
            </w:r>
          </w:p>
        </w:tc>
      </w:tr>
      <w:tr w:rsidR="00C66C7D" w:rsidRPr="006740E5" w:rsidTr="008222E8">
        <w:trPr>
          <w:cantSplit/>
          <w:trHeight w:val="1410"/>
          <w:jc w:val="center"/>
        </w:trPr>
        <w:tc>
          <w:tcPr>
            <w:tcW w:w="446" w:type="dxa"/>
            <w:vMerge/>
            <w:tcBorders>
              <w:left w:val="single" w:sz="12" w:space="0" w:color="000000"/>
              <w:bottom w:val="single" w:sz="12" w:space="0" w:color="auto"/>
            </w:tcBorders>
            <w:shd w:val="pct10" w:color="auto" w:fill="auto"/>
          </w:tcPr>
          <w:p w:rsidR="00C66C7D" w:rsidRPr="006740E5" w:rsidRDefault="00C66C7D" w:rsidP="008222E8">
            <w:pPr>
              <w:tabs>
                <w:tab w:val="left" w:pos="-6379"/>
                <w:tab w:val="left" w:pos="1134"/>
              </w:tabs>
              <w:spacing w:before="20" w:after="40"/>
              <w:jc w:val="both"/>
              <w:rPr>
                <w:rFonts w:ascii="Times New Roman" w:hAnsi="Times New Roman"/>
                <w:b/>
                <w:sz w:val="18"/>
                <w:szCs w:val="18"/>
              </w:rPr>
            </w:pPr>
          </w:p>
        </w:tc>
        <w:tc>
          <w:tcPr>
            <w:tcW w:w="560" w:type="dxa"/>
            <w:tcBorders>
              <w:bottom w:val="single" w:sz="12" w:space="0" w:color="auto"/>
              <w:right w:val="single" w:sz="12" w:space="0" w:color="auto"/>
            </w:tcBorders>
            <w:shd w:val="pct5" w:color="auto" w:fill="auto"/>
            <w:textDirection w:val="btLr"/>
            <w:vAlign w:val="center"/>
          </w:tcPr>
          <w:p w:rsidR="00C66C7D" w:rsidRPr="006740E5" w:rsidRDefault="00C66C7D" w:rsidP="008222E8">
            <w:pPr>
              <w:tabs>
                <w:tab w:val="left" w:pos="-6379"/>
                <w:tab w:val="left" w:pos="1134"/>
              </w:tabs>
              <w:spacing w:before="20" w:after="40"/>
              <w:ind w:left="113" w:right="113"/>
              <w:jc w:val="center"/>
              <w:rPr>
                <w:rFonts w:ascii="Times New Roman" w:hAnsi="Times New Roman"/>
                <w:b/>
                <w:sz w:val="18"/>
                <w:szCs w:val="18"/>
              </w:rPr>
            </w:pPr>
            <w:r w:rsidRPr="006740E5">
              <w:rPr>
                <w:rFonts w:ascii="Times New Roman" w:hAnsi="Times New Roman"/>
                <w:b/>
                <w:sz w:val="18"/>
                <w:szCs w:val="18"/>
              </w:rPr>
              <w:t>Pasiuntinių pašto</w:t>
            </w:r>
          </w:p>
        </w:tc>
        <w:tc>
          <w:tcPr>
            <w:tcW w:w="2223" w:type="dxa"/>
            <w:tcBorders>
              <w:left w:val="single" w:sz="12" w:space="0" w:color="auto"/>
              <w:bottom w:val="single" w:sz="12" w:space="0" w:color="auto"/>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Pasiuntinių pašto paslaugos, kurias subjektas privalo teikti visoje šalies teritorijoje, o apie sprendimą jas teikti privalo informuoti RRT.</w:t>
            </w:r>
          </w:p>
        </w:tc>
        <w:tc>
          <w:tcPr>
            <w:tcW w:w="2268" w:type="dxa"/>
            <w:tcBorders>
              <w:bottom w:val="single" w:sz="12" w:space="0" w:color="auto"/>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Pasiuntinių pašto paslaugos, kurias subjektas gali teikti neapibrėžtoje teritorijoje, o apie sprendimą jas teikti privalo informuoti RRT.</w:t>
            </w:r>
          </w:p>
        </w:tc>
        <w:tc>
          <w:tcPr>
            <w:tcW w:w="3402" w:type="dxa"/>
            <w:tcBorders>
              <w:bottom w:val="single" w:sz="12" w:space="0" w:color="auto"/>
              <w:right w:val="single" w:sz="12" w:space="0" w:color="000000"/>
            </w:tcBorders>
            <w:vAlign w:val="center"/>
          </w:tcPr>
          <w:p w:rsidR="00C66C7D" w:rsidRPr="006740E5" w:rsidRDefault="00C66C7D" w:rsidP="008222E8">
            <w:pPr>
              <w:tabs>
                <w:tab w:val="left" w:pos="-6379"/>
                <w:tab w:val="left" w:pos="1134"/>
              </w:tabs>
              <w:spacing w:before="20" w:after="40"/>
              <w:jc w:val="both"/>
              <w:rPr>
                <w:rFonts w:ascii="Times New Roman" w:hAnsi="Times New Roman"/>
                <w:sz w:val="18"/>
                <w:szCs w:val="18"/>
              </w:rPr>
            </w:pPr>
            <w:r w:rsidRPr="006740E5">
              <w:rPr>
                <w:rFonts w:ascii="Times New Roman" w:hAnsi="Times New Roman"/>
                <w:sz w:val="18"/>
                <w:szCs w:val="18"/>
              </w:rPr>
              <w:t>Pasiuntinių pašto paslaugos, kurias subjektas gali pasirinkti teikti ir pagal įsipareigojimą visoje šalies teritorijoje ir pagal apsisprendimą tik tam tikruose regionuose, o apie šių paslaugų teikimą privalo informuoti RRT.</w:t>
            </w:r>
          </w:p>
        </w:tc>
      </w:tr>
    </w:tbl>
    <w:p w:rsidR="00C66C7D" w:rsidRPr="006740E5" w:rsidRDefault="00C66C7D" w:rsidP="00FB15B3">
      <w:pPr>
        <w:tabs>
          <w:tab w:val="left" w:pos="-6379"/>
          <w:tab w:val="left" w:pos="1134"/>
        </w:tabs>
        <w:spacing w:after="0" w:line="360" w:lineRule="auto"/>
        <w:ind w:firstLine="567"/>
        <w:jc w:val="both"/>
        <w:rPr>
          <w:rFonts w:ascii="Times New Roman" w:hAnsi="Times New Roman"/>
          <w:sz w:val="20"/>
          <w:szCs w:val="20"/>
        </w:rPr>
      </w:pPr>
      <w:r w:rsidRPr="006740E5">
        <w:rPr>
          <w:rFonts w:ascii="Times New Roman" w:hAnsi="Times New Roman"/>
          <w:sz w:val="20"/>
          <w:szCs w:val="20"/>
        </w:rPr>
        <w:t>Sudaryta autorės remiantis LR Pašto įstatymu ir EVRK</w:t>
      </w:r>
    </w:p>
    <w:p w:rsidR="00C66C7D" w:rsidRPr="006740E5" w:rsidRDefault="00C66C7D" w:rsidP="00FB15B3">
      <w:pPr>
        <w:tabs>
          <w:tab w:val="left" w:pos="-6379"/>
          <w:tab w:val="left" w:pos="1134"/>
        </w:tabs>
        <w:spacing w:after="0" w:line="360" w:lineRule="auto"/>
        <w:jc w:val="both"/>
        <w:rPr>
          <w:rFonts w:ascii="Times New Roman" w:hAnsi="Times New Roman"/>
          <w:sz w:val="16"/>
          <w:szCs w:val="16"/>
        </w:rPr>
      </w:pPr>
    </w:p>
    <w:p w:rsidR="00C66C7D" w:rsidRPr="006740E5" w:rsidRDefault="00C66C7D" w:rsidP="00FB15B3">
      <w:pPr>
        <w:tabs>
          <w:tab w:val="left" w:pos="-6379"/>
          <w:tab w:val="left" w:pos="-4962"/>
        </w:tabs>
        <w:spacing w:after="0" w:line="360" w:lineRule="auto"/>
        <w:ind w:firstLine="567"/>
        <w:jc w:val="both"/>
        <w:rPr>
          <w:rFonts w:ascii="Times New Roman" w:hAnsi="Times New Roman"/>
          <w:sz w:val="24"/>
          <w:szCs w:val="24"/>
        </w:rPr>
      </w:pPr>
      <w:r w:rsidRPr="006740E5">
        <w:rPr>
          <w:rFonts w:ascii="Times New Roman" w:hAnsi="Times New Roman"/>
          <w:sz w:val="24"/>
          <w:szCs w:val="24"/>
        </w:rPr>
        <w:tab/>
        <w:t xml:space="preserve">RRT duomenimis apie pašto korespondencijos paslaugų teikimą instituciją yra informavusios </w:t>
      </w:r>
      <w:r w:rsidRPr="006740E5">
        <w:rPr>
          <w:rFonts w:ascii="Times New Roman" w:hAnsi="Times New Roman"/>
          <w:sz w:val="24"/>
          <w:szCs w:val="24"/>
        </w:rPr>
        <w:br/>
        <w:t>14 įmonių (neįskaitant valstybinės įmonės AB ,,Lietuvos paštas’’), o dėl pasiuntinių paslaugų teikimo dokumentus yra pristatę 84 įmonės (neįskaitant valstybinės įmonės AB ,,Lietuvos paštas’’). Pagal EVRK registruota (neįskaitant valstybinės įmonės AB ,,Lietuvos paštas’’): 530000 kodu – viena įmonė; 531000 kodu – 2 įmonės; 532000 kodu – 32 įmonės (8 jau nebevykdo veiklos). Ne visos įmonės užregistravusios norimą ekonominės veiklos kodą, susijusį su pašto paslaugų teikimu, yra gavę licencijas teikti pašto paslaugas. Pagal aprašytus duomenis suklasifikuotų pašto paslaugų teikėjų suskirstymas 14 lentelėje:</w:t>
      </w:r>
    </w:p>
    <w:p w:rsidR="00C66C7D" w:rsidRPr="006740E5" w:rsidRDefault="00C66C7D" w:rsidP="00FB15B3">
      <w:pPr>
        <w:tabs>
          <w:tab w:val="left" w:pos="-6379"/>
          <w:tab w:val="left" w:pos="1134"/>
        </w:tabs>
        <w:spacing w:after="0" w:line="360" w:lineRule="auto"/>
        <w:ind w:firstLine="567"/>
        <w:jc w:val="both"/>
        <w:rPr>
          <w:rFonts w:ascii="Times New Roman" w:hAnsi="Times New Roman"/>
          <w:sz w:val="16"/>
          <w:szCs w:val="16"/>
        </w:rPr>
      </w:pPr>
    </w:p>
    <w:p w:rsidR="00C66C7D" w:rsidRPr="006740E5" w:rsidRDefault="00C66C7D" w:rsidP="00FB15B3">
      <w:pPr>
        <w:tabs>
          <w:tab w:val="left" w:pos="-6379"/>
          <w:tab w:val="left" w:pos="-4962"/>
        </w:tabs>
        <w:spacing w:line="360" w:lineRule="auto"/>
        <w:jc w:val="center"/>
        <w:rPr>
          <w:rFonts w:ascii="Times New Roman" w:hAnsi="Times New Roman"/>
          <w:b/>
          <w:sz w:val="24"/>
          <w:szCs w:val="24"/>
        </w:rPr>
      </w:pPr>
      <w:r w:rsidRPr="006740E5">
        <w:rPr>
          <w:rFonts w:ascii="Times New Roman" w:hAnsi="Times New Roman"/>
          <w:b/>
          <w:sz w:val="24"/>
          <w:szCs w:val="24"/>
        </w:rPr>
        <w:t xml:space="preserve">14 lentelė. Pašto paslaugų teikėjų analizė pagal paslaugų teikimo turinį </w:t>
      </w:r>
      <w:r w:rsidRPr="006740E5">
        <w:rPr>
          <w:rFonts w:ascii="Times New Roman" w:hAnsi="Times New Roman"/>
          <w:b/>
          <w:sz w:val="24"/>
          <w:szCs w:val="24"/>
        </w:rPr>
        <w:br/>
        <w:t>ir paslaugų teikimo teritorinį vientisumą</w:t>
      </w:r>
    </w:p>
    <w:tbl>
      <w:tblPr>
        <w:tblW w:w="8505" w:type="dxa"/>
        <w:jc w:val="center"/>
        <w:tblInd w:w="108" w:type="dxa"/>
        <w:tblBorders>
          <w:top w:val="single" w:sz="4" w:space="0" w:color="000000"/>
          <w:left w:val="single" w:sz="4" w:space="0" w:color="000000"/>
          <w:bottom w:val="single" w:sz="12" w:space="0" w:color="auto"/>
          <w:right w:val="single" w:sz="4" w:space="0" w:color="000000"/>
          <w:insideH w:val="single" w:sz="4" w:space="0" w:color="000000"/>
          <w:insideV w:val="single" w:sz="4" w:space="0" w:color="000000"/>
        </w:tblBorders>
        <w:tblLayout w:type="fixed"/>
        <w:tblLook w:val="00A0"/>
      </w:tblPr>
      <w:tblGrid>
        <w:gridCol w:w="2439"/>
        <w:gridCol w:w="2239"/>
        <w:gridCol w:w="1418"/>
        <w:gridCol w:w="1417"/>
        <w:gridCol w:w="992"/>
      </w:tblGrid>
      <w:tr w:rsidR="00C66C7D" w:rsidRPr="006740E5" w:rsidTr="008222E8">
        <w:trPr>
          <w:trHeight w:val="361"/>
          <w:jc w:val="center"/>
        </w:trPr>
        <w:tc>
          <w:tcPr>
            <w:tcW w:w="4678" w:type="dxa"/>
            <w:gridSpan w:val="2"/>
            <w:vMerge w:val="restart"/>
            <w:tcBorders>
              <w:top w:val="single" w:sz="12" w:space="0" w:color="auto"/>
              <w:left w:val="single" w:sz="12" w:space="0" w:color="auto"/>
              <w:right w:val="single" w:sz="12" w:space="0" w:color="auto"/>
            </w:tcBorders>
            <w:shd w:val="pct10" w:color="auto" w:fill="auto"/>
          </w:tcPr>
          <w:p w:rsidR="00C66C7D" w:rsidRPr="006740E5" w:rsidRDefault="00C66C7D" w:rsidP="008222E8">
            <w:pPr>
              <w:tabs>
                <w:tab w:val="left" w:pos="-6379"/>
                <w:tab w:val="left" w:pos="1134"/>
              </w:tabs>
              <w:spacing w:after="0" w:line="240" w:lineRule="auto"/>
              <w:rPr>
                <w:rFonts w:ascii="Times New Roman" w:hAnsi="Times New Roman"/>
                <w:sz w:val="20"/>
                <w:szCs w:val="20"/>
              </w:rPr>
            </w:pPr>
          </w:p>
        </w:tc>
        <w:tc>
          <w:tcPr>
            <w:tcW w:w="3827" w:type="dxa"/>
            <w:gridSpan w:val="3"/>
            <w:tcBorders>
              <w:top w:val="single" w:sz="12" w:space="0" w:color="auto"/>
              <w:left w:val="single" w:sz="12" w:space="0" w:color="auto"/>
              <w:right w:val="single" w:sz="12" w:space="0" w:color="auto"/>
            </w:tcBorders>
            <w:shd w:val="pct10"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Paslaugos pagal jų teikimo teritoriją</w:t>
            </w:r>
          </w:p>
        </w:tc>
      </w:tr>
      <w:tr w:rsidR="00C66C7D" w:rsidRPr="006740E5" w:rsidTr="008222E8">
        <w:trPr>
          <w:trHeight w:val="274"/>
          <w:jc w:val="center"/>
        </w:trPr>
        <w:tc>
          <w:tcPr>
            <w:tcW w:w="4678" w:type="dxa"/>
            <w:gridSpan w:val="2"/>
            <w:vMerge/>
            <w:tcBorders>
              <w:left w:val="single" w:sz="12" w:space="0" w:color="auto"/>
              <w:right w:val="single" w:sz="12" w:space="0" w:color="auto"/>
            </w:tcBorders>
            <w:shd w:val="pct10" w:color="auto" w:fill="auto"/>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p>
        </w:tc>
        <w:tc>
          <w:tcPr>
            <w:tcW w:w="1418" w:type="dxa"/>
            <w:tcBorders>
              <w:left w:val="single" w:sz="12" w:space="0" w:color="auto"/>
              <w:bottom w:val="single" w:sz="12" w:space="0" w:color="auto"/>
            </w:tcBorders>
            <w:shd w:val="pct5"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Visoje šalyje</w:t>
            </w:r>
          </w:p>
        </w:tc>
        <w:tc>
          <w:tcPr>
            <w:tcW w:w="1417" w:type="dxa"/>
            <w:tcBorders>
              <w:bottom w:val="single" w:sz="12" w:space="0" w:color="auto"/>
            </w:tcBorders>
            <w:shd w:val="pct5"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Neapibrėžtas</w:t>
            </w:r>
          </w:p>
        </w:tc>
        <w:tc>
          <w:tcPr>
            <w:tcW w:w="992" w:type="dxa"/>
            <w:tcBorders>
              <w:bottom w:val="single" w:sz="12" w:space="0" w:color="auto"/>
              <w:right w:val="single" w:sz="12" w:space="0" w:color="auto"/>
            </w:tcBorders>
            <w:shd w:val="pct5"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Mišrus</w:t>
            </w:r>
          </w:p>
        </w:tc>
      </w:tr>
      <w:tr w:rsidR="00C66C7D" w:rsidRPr="006740E5" w:rsidTr="008222E8">
        <w:trPr>
          <w:trHeight w:val="298"/>
          <w:jc w:val="center"/>
        </w:trPr>
        <w:tc>
          <w:tcPr>
            <w:tcW w:w="2439" w:type="dxa"/>
            <w:vMerge w:val="restart"/>
            <w:tcBorders>
              <w:top w:val="single" w:sz="12" w:space="0" w:color="auto"/>
              <w:left w:val="single" w:sz="12" w:space="0" w:color="auto"/>
            </w:tcBorders>
            <w:shd w:val="pct10" w:color="auto" w:fill="auto"/>
            <w:vAlign w:val="center"/>
          </w:tcPr>
          <w:p w:rsidR="00C66C7D" w:rsidRPr="006740E5" w:rsidRDefault="00C66C7D" w:rsidP="008222E8">
            <w:pPr>
              <w:tabs>
                <w:tab w:val="left" w:pos="-6379"/>
                <w:tab w:val="left" w:pos="1134"/>
              </w:tabs>
              <w:spacing w:after="0" w:line="240" w:lineRule="auto"/>
              <w:rPr>
                <w:rFonts w:ascii="Times New Roman" w:hAnsi="Times New Roman"/>
                <w:b/>
                <w:sz w:val="20"/>
                <w:szCs w:val="20"/>
              </w:rPr>
            </w:pPr>
            <w:r w:rsidRPr="006740E5">
              <w:rPr>
                <w:rFonts w:ascii="Times New Roman" w:hAnsi="Times New Roman"/>
                <w:b/>
                <w:sz w:val="20"/>
                <w:szCs w:val="20"/>
              </w:rPr>
              <w:t>Paslaugos pagal jų turinį</w:t>
            </w:r>
          </w:p>
        </w:tc>
        <w:tc>
          <w:tcPr>
            <w:tcW w:w="2239" w:type="dxa"/>
            <w:tcBorders>
              <w:top w:val="single" w:sz="12" w:space="0" w:color="auto"/>
              <w:bottom w:val="single" w:sz="2" w:space="0" w:color="auto"/>
              <w:right w:val="single" w:sz="12" w:space="0" w:color="auto"/>
            </w:tcBorders>
            <w:shd w:val="pct5"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Pašto korespondencija</w:t>
            </w:r>
          </w:p>
        </w:tc>
        <w:tc>
          <w:tcPr>
            <w:tcW w:w="1418" w:type="dxa"/>
            <w:tcBorders>
              <w:top w:val="single" w:sz="12" w:space="0" w:color="auto"/>
              <w:left w:val="single" w:sz="12" w:space="0" w:color="auto"/>
              <w:bottom w:val="single" w:sz="4"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2</w:t>
            </w:r>
          </w:p>
        </w:tc>
        <w:tc>
          <w:tcPr>
            <w:tcW w:w="1417" w:type="dxa"/>
            <w:tcBorders>
              <w:top w:val="single" w:sz="12" w:space="0" w:color="auto"/>
              <w:bottom w:val="single" w:sz="4"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11</w:t>
            </w:r>
          </w:p>
        </w:tc>
        <w:tc>
          <w:tcPr>
            <w:tcW w:w="992" w:type="dxa"/>
            <w:tcBorders>
              <w:top w:val="single" w:sz="12" w:space="0" w:color="auto"/>
              <w:bottom w:val="single" w:sz="4" w:space="0" w:color="auto"/>
              <w:right w:val="single" w:sz="12"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1</w:t>
            </w:r>
          </w:p>
        </w:tc>
      </w:tr>
      <w:tr w:rsidR="00C66C7D" w:rsidRPr="006740E5" w:rsidTr="008222E8">
        <w:trPr>
          <w:trHeight w:val="190"/>
          <w:jc w:val="center"/>
        </w:trPr>
        <w:tc>
          <w:tcPr>
            <w:tcW w:w="2439" w:type="dxa"/>
            <w:vMerge/>
            <w:tcBorders>
              <w:left w:val="single" w:sz="12" w:space="0" w:color="auto"/>
              <w:bottom w:val="single" w:sz="12" w:space="0" w:color="auto"/>
            </w:tcBorders>
            <w:shd w:val="pct10" w:color="auto" w:fill="auto"/>
          </w:tcPr>
          <w:p w:rsidR="00C66C7D" w:rsidRPr="006740E5" w:rsidRDefault="00C66C7D" w:rsidP="008222E8">
            <w:pPr>
              <w:tabs>
                <w:tab w:val="left" w:pos="-6379"/>
                <w:tab w:val="left" w:pos="1134"/>
              </w:tabs>
              <w:spacing w:after="0" w:line="240" w:lineRule="auto"/>
              <w:rPr>
                <w:rFonts w:ascii="Times New Roman" w:hAnsi="Times New Roman"/>
                <w:b/>
                <w:sz w:val="20"/>
                <w:szCs w:val="20"/>
              </w:rPr>
            </w:pPr>
          </w:p>
        </w:tc>
        <w:tc>
          <w:tcPr>
            <w:tcW w:w="2239" w:type="dxa"/>
            <w:tcBorders>
              <w:top w:val="single" w:sz="2" w:space="0" w:color="auto"/>
              <w:bottom w:val="single" w:sz="12" w:space="0" w:color="auto"/>
              <w:right w:val="single" w:sz="12" w:space="0" w:color="auto"/>
            </w:tcBorders>
            <w:shd w:val="pct5"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Pasiuntinių paslaugos</w:t>
            </w:r>
          </w:p>
        </w:tc>
        <w:tc>
          <w:tcPr>
            <w:tcW w:w="1418" w:type="dxa"/>
            <w:tcBorders>
              <w:top w:val="single" w:sz="4" w:space="0" w:color="auto"/>
              <w:left w:val="single" w:sz="12" w:space="0" w:color="auto"/>
              <w:bottom w:val="single" w:sz="12"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w:t>
            </w:r>
          </w:p>
        </w:tc>
        <w:tc>
          <w:tcPr>
            <w:tcW w:w="1417" w:type="dxa"/>
            <w:tcBorders>
              <w:top w:val="single" w:sz="4" w:space="0" w:color="auto"/>
              <w:bottom w:val="single" w:sz="12"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84</w:t>
            </w:r>
          </w:p>
        </w:tc>
        <w:tc>
          <w:tcPr>
            <w:tcW w:w="992" w:type="dxa"/>
            <w:tcBorders>
              <w:top w:val="single" w:sz="4" w:space="0" w:color="auto"/>
              <w:bottom w:val="single" w:sz="12" w:space="0" w:color="auto"/>
              <w:right w:val="single" w:sz="12" w:space="0" w:color="auto"/>
            </w:tcBorders>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w:t>
            </w:r>
          </w:p>
        </w:tc>
      </w:tr>
    </w:tbl>
    <w:p w:rsidR="00C66C7D" w:rsidRPr="006740E5" w:rsidRDefault="00C66C7D" w:rsidP="00FB15B3">
      <w:pPr>
        <w:tabs>
          <w:tab w:val="left" w:pos="-6379"/>
          <w:tab w:val="left" w:pos="-4962"/>
        </w:tabs>
        <w:spacing w:after="0" w:line="240" w:lineRule="auto"/>
        <w:ind w:firstLine="709"/>
        <w:jc w:val="both"/>
        <w:rPr>
          <w:rFonts w:ascii="Times New Roman" w:hAnsi="Times New Roman"/>
          <w:sz w:val="20"/>
          <w:szCs w:val="20"/>
        </w:rPr>
      </w:pPr>
      <w:r w:rsidRPr="006740E5">
        <w:rPr>
          <w:rFonts w:ascii="Times New Roman" w:hAnsi="Times New Roman"/>
          <w:sz w:val="20"/>
          <w:szCs w:val="20"/>
        </w:rPr>
        <w:t>*Neįtraukiant į sąrašą valstybinės įmonės AB ,,Lietuvos paštas’’</w:t>
      </w:r>
    </w:p>
    <w:p w:rsidR="00C66C7D" w:rsidRPr="006740E5" w:rsidRDefault="00C66C7D" w:rsidP="00FB15B3">
      <w:pPr>
        <w:tabs>
          <w:tab w:val="left" w:pos="-6379"/>
          <w:tab w:val="left" w:pos="-4962"/>
        </w:tabs>
        <w:spacing w:after="0" w:line="240" w:lineRule="auto"/>
        <w:ind w:firstLine="709"/>
        <w:jc w:val="both"/>
        <w:rPr>
          <w:rFonts w:ascii="Times New Roman" w:hAnsi="Times New Roman"/>
          <w:sz w:val="20"/>
          <w:szCs w:val="20"/>
        </w:rPr>
      </w:pPr>
      <w:r w:rsidRPr="006740E5">
        <w:rPr>
          <w:rFonts w:ascii="Times New Roman" w:hAnsi="Times New Roman"/>
          <w:sz w:val="20"/>
          <w:szCs w:val="20"/>
        </w:rPr>
        <w:t>Sudaryta autorės remiantis RRT duomenimis, LR Pašto įstatymu, EVRK</w:t>
      </w:r>
    </w:p>
    <w:p w:rsidR="00C66C7D" w:rsidRPr="006740E5" w:rsidRDefault="00C66C7D" w:rsidP="00FB15B3">
      <w:pPr>
        <w:tabs>
          <w:tab w:val="left" w:pos="-6379"/>
          <w:tab w:val="left" w:pos="1134"/>
        </w:tabs>
        <w:spacing w:after="0" w:line="360" w:lineRule="auto"/>
        <w:ind w:firstLine="567"/>
        <w:jc w:val="both"/>
        <w:rPr>
          <w:rFonts w:ascii="Times New Roman" w:hAnsi="Times New Roman"/>
          <w:sz w:val="16"/>
          <w:szCs w:val="16"/>
        </w:rPr>
      </w:pPr>
    </w:p>
    <w:p w:rsidR="00C66C7D" w:rsidRPr="006740E5" w:rsidRDefault="00C66C7D" w:rsidP="00FB15B3">
      <w:pPr>
        <w:tabs>
          <w:tab w:val="left" w:pos="-6379"/>
          <w:tab w:val="left" w:pos="-4962"/>
        </w:tabs>
        <w:spacing w:after="0" w:line="360" w:lineRule="auto"/>
        <w:ind w:firstLine="567"/>
        <w:jc w:val="both"/>
        <w:rPr>
          <w:rFonts w:ascii="Times New Roman" w:hAnsi="Times New Roman"/>
          <w:sz w:val="24"/>
          <w:szCs w:val="24"/>
        </w:rPr>
      </w:pPr>
      <w:r w:rsidRPr="006740E5">
        <w:rPr>
          <w:rFonts w:ascii="Times New Roman" w:hAnsi="Times New Roman"/>
          <w:sz w:val="24"/>
          <w:szCs w:val="24"/>
        </w:rPr>
        <w:tab/>
        <w:t>Tyrimui pasirinkta LR Pašto įstatymo (</w:t>
      </w:r>
      <w:r w:rsidRPr="006740E5">
        <w:rPr>
          <w:rFonts w:ascii="Times New Roman" w:hAnsi="Times New Roman"/>
          <w:caps/>
          <w:sz w:val="24"/>
          <w:szCs w:val="24"/>
        </w:rPr>
        <w:t>ž</w:t>
      </w:r>
      <w:r w:rsidRPr="006740E5">
        <w:rPr>
          <w:rFonts w:ascii="Times New Roman" w:hAnsi="Times New Roman"/>
          <w:sz w:val="24"/>
          <w:szCs w:val="24"/>
        </w:rPr>
        <w:t>in</w:t>
      </w:r>
      <w:r w:rsidRPr="006740E5">
        <w:rPr>
          <w:rFonts w:ascii="Times New Roman" w:hAnsi="Times New Roman"/>
          <w:caps/>
          <w:sz w:val="24"/>
          <w:szCs w:val="24"/>
        </w:rPr>
        <w:t>., 2010, 1−33)</w:t>
      </w:r>
      <w:r w:rsidRPr="006740E5">
        <w:rPr>
          <w:rFonts w:ascii="Times New Roman" w:hAnsi="Times New Roman"/>
          <w:sz w:val="24"/>
          <w:szCs w:val="24"/>
        </w:rPr>
        <w:t xml:space="preserve"> įstatyme pateikta pašto paslaugų klasifikacija pagal jų turinį, nes tyrimu siekiama išanalizuoti AB ,,Lietuvos paštas’’ dalyvavimo rinkoje problemas, o tai geriausiai galima padaryti analizuojant analogiškas paslaugas teikiančių subjektų veiklą. Pašto sektoriuje veikiančių įmonių teikiamas paslaugas galima padalinti į dvi pagrindines grupes: pašto korespondencijos ir pasiuntinių pašto paslaugas. 15 lentelėje pateikiamas pašto sektoriaus įmonių pasiskirstymas pagal jų teikiamas paslaugas.</w:t>
      </w:r>
    </w:p>
    <w:p w:rsidR="00C66C7D" w:rsidRPr="006740E5" w:rsidRDefault="00C66C7D" w:rsidP="00FB15B3">
      <w:pPr>
        <w:tabs>
          <w:tab w:val="left" w:pos="-6379"/>
          <w:tab w:val="left" w:pos="1134"/>
        </w:tabs>
        <w:spacing w:after="0" w:line="360" w:lineRule="auto"/>
        <w:ind w:firstLine="567"/>
        <w:jc w:val="both"/>
        <w:rPr>
          <w:rFonts w:ascii="Times New Roman" w:hAnsi="Times New Roman"/>
          <w:sz w:val="16"/>
          <w:szCs w:val="16"/>
        </w:rPr>
      </w:pPr>
    </w:p>
    <w:p w:rsidR="00C66C7D" w:rsidRPr="006740E5" w:rsidRDefault="00C66C7D" w:rsidP="00FB15B3">
      <w:pPr>
        <w:tabs>
          <w:tab w:val="left" w:pos="-6379"/>
          <w:tab w:val="left" w:pos="1134"/>
        </w:tabs>
        <w:spacing w:after="120" w:line="360" w:lineRule="auto"/>
        <w:ind w:firstLine="567"/>
        <w:jc w:val="center"/>
        <w:rPr>
          <w:rFonts w:ascii="Times New Roman" w:hAnsi="Times New Roman"/>
          <w:b/>
          <w:sz w:val="24"/>
          <w:szCs w:val="24"/>
        </w:rPr>
      </w:pPr>
      <w:r w:rsidRPr="006740E5">
        <w:rPr>
          <w:rFonts w:ascii="Times New Roman" w:hAnsi="Times New Roman"/>
          <w:b/>
          <w:sz w:val="24"/>
          <w:szCs w:val="24"/>
        </w:rPr>
        <w:lastRenderedPageBreak/>
        <w:t>15 lentelė. Pašto paslaugų teikėjų analizė pagal teikiamas paslaugas</w:t>
      </w:r>
    </w:p>
    <w:tbl>
      <w:tblPr>
        <w:tblW w:w="0" w:type="auto"/>
        <w:jc w:val="center"/>
        <w:tblInd w:w="-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65"/>
        <w:gridCol w:w="6277"/>
        <w:gridCol w:w="1754"/>
      </w:tblGrid>
      <w:tr w:rsidR="00C66C7D" w:rsidRPr="006740E5" w:rsidTr="008222E8">
        <w:trPr>
          <w:trHeight w:val="340"/>
          <w:jc w:val="center"/>
        </w:trPr>
        <w:tc>
          <w:tcPr>
            <w:tcW w:w="565"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Nr.</w:t>
            </w:r>
          </w:p>
        </w:tc>
        <w:tc>
          <w:tcPr>
            <w:tcW w:w="6277" w:type="dxa"/>
            <w:tcBorders>
              <w:top w:val="single" w:sz="12" w:space="0" w:color="auto"/>
              <w:bottom w:val="single" w:sz="12" w:space="0" w:color="auto"/>
            </w:tcBorders>
            <w:shd w:val="pct10"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Pašto paslaugas pagal rūšis teikiančios įmonės</w:t>
            </w:r>
          </w:p>
        </w:tc>
        <w:tc>
          <w:tcPr>
            <w:tcW w:w="1754"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8222E8">
            <w:pPr>
              <w:tabs>
                <w:tab w:val="left" w:pos="-6379"/>
                <w:tab w:val="left" w:pos="1134"/>
              </w:tabs>
              <w:spacing w:after="0" w:line="240" w:lineRule="auto"/>
              <w:jc w:val="center"/>
              <w:rPr>
                <w:rFonts w:ascii="Times New Roman" w:hAnsi="Times New Roman"/>
                <w:b/>
                <w:sz w:val="20"/>
                <w:szCs w:val="20"/>
              </w:rPr>
            </w:pPr>
            <w:r w:rsidRPr="006740E5">
              <w:rPr>
                <w:rFonts w:ascii="Times New Roman" w:hAnsi="Times New Roman"/>
                <w:b/>
                <w:sz w:val="20"/>
                <w:szCs w:val="20"/>
              </w:rPr>
              <w:t>Įmonių skaičius</w:t>
            </w:r>
          </w:p>
        </w:tc>
      </w:tr>
      <w:tr w:rsidR="00C66C7D" w:rsidRPr="006740E5" w:rsidTr="008222E8">
        <w:trPr>
          <w:trHeight w:val="362"/>
          <w:jc w:val="center"/>
        </w:trPr>
        <w:tc>
          <w:tcPr>
            <w:tcW w:w="565" w:type="dxa"/>
            <w:tcBorders>
              <w:top w:val="single" w:sz="12" w:space="0" w:color="auto"/>
              <w:lef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1.</w:t>
            </w:r>
          </w:p>
        </w:tc>
        <w:tc>
          <w:tcPr>
            <w:tcW w:w="6277" w:type="dxa"/>
            <w:tcBorders>
              <w:top w:val="single" w:sz="12" w:space="0" w:color="auto"/>
            </w:tcBorders>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sz w:val="20"/>
                <w:szCs w:val="20"/>
              </w:rPr>
              <w:t>Pašto korespondencijos ar pasiuntinių paslaugas teikiančios įmonės</w:t>
            </w:r>
          </w:p>
        </w:tc>
        <w:tc>
          <w:tcPr>
            <w:tcW w:w="1754" w:type="dxa"/>
            <w:tcBorders>
              <w:top w:val="single" w:sz="12" w:space="0" w:color="auto"/>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86</w:t>
            </w:r>
          </w:p>
        </w:tc>
      </w:tr>
      <w:tr w:rsidR="00C66C7D" w:rsidRPr="006740E5" w:rsidTr="008222E8">
        <w:trPr>
          <w:trHeight w:val="340"/>
          <w:jc w:val="center"/>
        </w:trPr>
        <w:tc>
          <w:tcPr>
            <w:tcW w:w="565" w:type="dxa"/>
            <w:tcBorders>
              <w:lef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2.</w:t>
            </w:r>
          </w:p>
        </w:tc>
        <w:tc>
          <w:tcPr>
            <w:tcW w:w="6277" w:type="dxa"/>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sz w:val="20"/>
                <w:szCs w:val="20"/>
              </w:rPr>
              <w:t>Pasiuntinių paslaugas teikiančios įmonės</w:t>
            </w:r>
          </w:p>
        </w:tc>
        <w:tc>
          <w:tcPr>
            <w:tcW w:w="1754" w:type="dxa"/>
            <w:tcBorders>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84</w:t>
            </w:r>
          </w:p>
        </w:tc>
      </w:tr>
      <w:tr w:rsidR="00C66C7D" w:rsidRPr="006740E5" w:rsidTr="008222E8">
        <w:trPr>
          <w:trHeight w:val="340"/>
          <w:jc w:val="center"/>
        </w:trPr>
        <w:tc>
          <w:tcPr>
            <w:tcW w:w="565" w:type="dxa"/>
            <w:tcBorders>
              <w:lef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3.</w:t>
            </w:r>
          </w:p>
        </w:tc>
        <w:tc>
          <w:tcPr>
            <w:tcW w:w="6277" w:type="dxa"/>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sz w:val="20"/>
                <w:szCs w:val="20"/>
              </w:rPr>
              <w:t>Tik pasiuntinių paslaugas teikiančios įmonės</w:t>
            </w:r>
          </w:p>
        </w:tc>
        <w:tc>
          <w:tcPr>
            <w:tcW w:w="1754" w:type="dxa"/>
            <w:tcBorders>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69</w:t>
            </w:r>
          </w:p>
        </w:tc>
      </w:tr>
      <w:tr w:rsidR="00C66C7D" w:rsidRPr="006740E5" w:rsidTr="008222E8">
        <w:trPr>
          <w:trHeight w:val="340"/>
          <w:jc w:val="center"/>
        </w:trPr>
        <w:tc>
          <w:tcPr>
            <w:tcW w:w="565" w:type="dxa"/>
            <w:tcBorders>
              <w:lef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4.</w:t>
            </w:r>
          </w:p>
        </w:tc>
        <w:tc>
          <w:tcPr>
            <w:tcW w:w="6277" w:type="dxa"/>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sz w:val="20"/>
                <w:szCs w:val="20"/>
              </w:rPr>
              <w:t>Pašto korespondencijos paslaugas teikiančios įmonės</w:t>
            </w:r>
          </w:p>
        </w:tc>
        <w:tc>
          <w:tcPr>
            <w:tcW w:w="1754" w:type="dxa"/>
            <w:tcBorders>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15</w:t>
            </w:r>
          </w:p>
        </w:tc>
      </w:tr>
      <w:tr w:rsidR="00C66C7D" w:rsidRPr="006740E5" w:rsidTr="008222E8">
        <w:trPr>
          <w:trHeight w:val="340"/>
          <w:jc w:val="center"/>
        </w:trPr>
        <w:tc>
          <w:tcPr>
            <w:tcW w:w="565" w:type="dxa"/>
            <w:tcBorders>
              <w:lef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5.</w:t>
            </w:r>
          </w:p>
        </w:tc>
        <w:tc>
          <w:tcPr>
            <w:tcW w:w="6277" w:type="dxa"/>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sz w:val="20"/>
                <w:szCs w:val="20"/>
              </w:rPr>
              <w:t>Tik pašto korespondencijos paslaugas teikiančios įmonės</w:t>
            </w:r>
          </w:p>
        </w:tc>
        <w:tc>
          <w:tcPr>
            <w:tcW w:w="1754" w:type="dxa"/>
            <w:tcBorders>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2</w:t>
            </w:r>
          </w:p>
        </w:tc>
      </w:tr>
      <w:tr w:rsidR="00C66C7D" w:rsidRPr="006740E5" w:rsidTr="008222E8">
        <w:trPr>
          <w:trHeight w:val="340"/>
          <w:jc w:val="center"/>
        </w:trPr>
        <w:tc>
          <w:tcPr>
            <w:tcW w:w="565" w:type="dxa"/>
            <w:tcBorders>
              <w:left w:val="single" w:sz="12" w:space="0" w:color="auto"/>
              <w:bottom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6.</w:t>
            </w:r>
          </w:p>
        </w:tc>
        <w:tc>
          <w:tcPr>
            <w:tcW w:w="6277" w:type="dxa"/>
            <w:tcBorders>
              <w:bottom w:val="single" w:sz="12" w:space="0" w:color="auto"/>
            </w:tcBorders>
            <w:vAlign w:val="center"/>
          </w:tcPr>
          <w:p w:rsidR="00C66C7D" w:rsidRPr="006740E5" w:rsidRDefault="00C66C7D" w:rsidP="008222E8">
            <w:pPr>
              <w:tabs>
                <w:tab w:val="left" w:pos="-6379"/>
                <w:tab w:val="left" w:pos="1134"/>
              </w:tabs>
              <w:spacing w:after="0" w:line="240" w:lineRule="auto"/>
              <w:rPr>
                <w:rFonts w:ascii="Times New Roman" w:hAnsi="Times New Roman"/>
                <w:sz w:val="20"/>
                <w:szCs w:val="20"/>
              </w:rPr>
            </w:pPr>
            <w:r w:rsidRPr="006740E5">
              <w:rPr>
                <w:rFonts w:ascii="Times New Roman" w:hAnsi="Times New Roman"/>
                <w:b/>
                <w:sz w:val="20"/>
                <w:szCs w:val="20"/>
              </w:rPr>
              <w:t>Ir pašto korespondencijos ir pasiuntinių paslaugas teikiančios įmonės</w:t>
            </w:r>
          </w:p>
        </w:tc>
        <w:tc>
          <w:tcPr>
            <w:tcW w:w="1754" w:type="dxa"/>
            <w:tcBorders>
              <w:bottom w:val="single" w:sz="12" w:space="0" w:color="auto"/>
              <w:right w:val="single" w:sz="12" w:space="0" w:color="auto"/>
            </w:tcBorders>
            <w:vAlign w:val="center"/>
          </w:tcPr>
          <w:p w:rsidR="00C66C7D" w:rsidRPr="006740E5" w:rsidRDefault="00C66C7D" w:rsidP="008222E8">
            <w:pPr>
              <w:tabs>
                <w:tab w:val="left" w:pos="-6379"/>
                <w:tab w:val="left" w:pos="1134"/>
              </w:tabs>
              <w:spacing w:after="0" w:line="240" w:lineRule="auto"/>
              <w:jc w:val="center"/>
              <w:rPr>
                <w:rFonts w:ascii="Times New Roman" w:hAnsi="Times New Roman"/>
                <w:sz w:val="20"/>
                <w:szCs w:val="20"/>
              </w:rPr>
            </w:pPr>
            <w:r w:rsidRPr="006740E5">
              <w:rPr>
                <w:rFonts w:ascii="Times New Roman" w:hAnsi="Times New Roman"/>
                <w:sz w:val="20"/>
                <w:szCs w:val="20"/>
              </w:rPr>
              <w:t>8</w:t>
            </w:r>
          </w:p>
        </w:tc>
      </w:tr>
    </w:tbl>
    <w:p w:rsidR="00C66C7D" w:rsidRPr="006740E5" w:rsidRDefault="00C66C7D" w:rsidP="00FB15B3">
      <w:pPr>
        <w:tabs>
          <w:tab w:val="left" w:pos="-6379"/>
          <w:tab w:val="left" w:pos="-4962"/>
        </w:tabs>
        <w:spacing w:after="0" w:line="240" w:lineRule="auto"/>
        <w:ind w:firstLine="709"/>
        <w:jc w:val="both"/>
        <w:rPr>
          <w:rFonts w:ascii="Times New Roman" w:hAnsi="Times New Roman"/>
          <w:sz w:val="20"/>
          <w:szCs w:val="20"/>
        </w:rPr>
      </w:pPr>
      <w:r w:rsidRPr="006740E5">
        <w:rPr>
          <w:rFonts w:ascii="Times New Roman" w:hAnsi="Times New Roman"/>
          <w:sz w:val="20"/>
          <w:szCs w:val="20"/>
        </w:rPr>
        <w:t>*Neįtraukiant į sąrašą valstybinės įmonės AB ,,Lietuvos paštas’’</w:t>
      </w:r>
    </w:p>
    <w:p w:rsidR="00C66C7D" w:rsidRPr="006740E5" w:rsidRDefault="00C66C7D" w:rsidP="00FB15B3">
      <w:pPr>
        <w:tabs>
          <w:tab w:val="left" w:pos="-6379"/>
          <w:tab w:val="left" w:pos="-4962"/>
        </w:tabs>
        <w:spacing w:after="0" w:line="240" w:lineRule="auto"/>
        <w:ind w:firstLine="709"/>
        <w:jc w:val="both"/>
        <w:rPr>
          <w:rFonts w:ascii="Times New Roman" w:hAnsi="Times New Roman"/>
          <w:sz w:val="20"/>
          <w:szCs w:val="20"/>
        </w:rPr>
      </w:pPr>
      <w:r w:rsidRPr="006740E5">
        <w:rPr>
          <w:rFonts w:ascii="Times New Roman" w:hAnsi="Times New Roman"/>
          <w:sz w:val="20"/>
          <w:szCs w:val="20"/>
        </w:rPr>
        <w:t>Sudaryta autorės remiantis RRT duomenimis</w:t>
      </w:r>
    </w:p>
    <w:p w:rsidR="00C66C7D" w:rsidRPr="006740E5" w:rsidRDefault="00C66C7D" w:rsidP="00FB15B3">
      <w:pPr>
        <w:tabs>
          <w:tab w:val="left" w:pos="-6379"/>
          <w:tab w:val="left" w:pos="1134"/>
        </w:tabs>
        <w:spacing w:after="0" w:line="360" w:lineRule="auto"/>
        <w:ind w:firstLine="567"/>
        <w:jc w:val="both"/>
        <w:rPr>
          <w:rFonts w:ascii="Times New Roman" w:hAnsi="Times New Roman"/>
          <w:sz w:val="16"/>
          <w:szCs w:val="16"/>
        </w:rPr>
      </w:pP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ab/>
        <w:t xml:space="preserve">Šiuo metu remiantis RRT duomenimis pašto paslaugų teikimu užsiima 86 verslo subjektai. </w:t>
      </w:r>
      <w:r w:rsidRPr="006740E5">
        <w:rPr>
          <w:rFonts w:ascii="Times New Roman" w:hAnsi="Times New Roman"/>
          <w:sz w:val="24"/>
          <w:szCs w:val="24"/>
        </w:rPr>
        <w:br/>
        <w:t>Iš jų 84 subjektai teikia tik pasiuntinių paslaugas, nei vienas; 2 subjektai teikia tik pašto korespondencijos paslaugas. IR pašto korespondencijos ir pasiuntinių pašto paslaugas teikia 8 verslo subjektai. AB ,,Lietuvos paštas’’ vykdydamas veiklą teikia ir pašto korespondencijos ir pasiuntinių pašto paslaugas. Remiantis šiais duomenimis, geriausiai AB ,,Lietuvos paštas’’ padėtį Lietuvos pašto paslaugų rinkoje galima atskleisti analizuojant 8 pašto korespondencijos ir pašto paslaugų sektoriuje veikiančių įmonių veiklą, kurie teikia paslaugas analogiškas AB ,,Lietuvos paštas’’ teikiamoms paslaugoms.</w:t>
      </w:r>
      <w:r w:rsidR="009326C3" w:rsidRPr="006740E5">
        <w:rPr>
          <w:rFonts w:ascii="Times New Roman" w:hAnsi="Times New Roman"/>
          <w:sz w:val="24"/>
          <w:szCs w:val="24"/>
        </w:rPr>
        <w:t xml:space="preserve"> </w:t>
      </w:r>
      <w:r w:rsidR="0067511C" w:rsidRPr="006740E5">
        <w:rPr>
          <w:rFonts w:ascii="Times New Roman" w:hAnsi="Times New Roman"/>
          <w:sz w:val="24"/>
          <w:szCs w:val="24"/>
        </w:rPr>
        <w:t>Turimam mažam skaičiui subjektų, disponuojančių būtinybės prisitaikyti prie liberalizuojamos pašto rinkos sąlygų, tinkamiausia taikyti ekspertinio vertinimo metodą (Tidikis, 2003). Įmonėms tyrime atstovauja jose dirbantys verslo plėtros vadybininkai, kaip asmenys artimiausiai susiduriantys su verslo veiklos krypties reguliavimu taikantis prie besikeičiančių aplinkos sąlygų. Verslo plėtros vadybininkai buvo pasirinkti remiantis K</w:t>
      </w:r>
      <w:r w:rsidR="009D0B5A" w:rsidRPr="006740E5">
        <w:rPr>
          <w:rFonts w:ascii="Times New Roman" w:hAnsi="Times New Roman"/>
          <w:sz w:val="24"/>
          <w:szCs w:val="24"/>
        </w:rPr>
        <w:t>a</w:t>
      </w:r>
      <w:r w:rsidR="0067511C" w:rsidRPr="006740E5">
        <w:rPr>
          <w:rFonts w:ascii="Times New Roman" w:hAnsi="Times New Roman"/>
          <w:sz w:val="24"/>
          <w:szCs w:val="24"/>
        </w:rPr>
        <w:t xml:space="preserve">rdelio (2007) teigimu, kad ekspertais turi būti asmenys, turintys pakankamai žinių konkrečioje srityje, o verslo plėtros vadybininkai turi daugiausia žinių apie </w:t>
      </w:r>
      <w:r w:rsidR="009D0B5A" w:rsidRPr="006740E5">
        <w:rPr>
          <w:rFonts w:ascii="Times New Roman" w:hAnsi="Times New Roman"/>
          <w:sz w:val="24"/>
          <w:szCs w:val="24"/>
        </w:rPr>
        <w:t>pašto paslaugų teikimo įmonių situaciją liberalizuojamoje pašto rinkoje</w:t>
      </w:r>
      <w:r w:rsidR="0067511C" w:rsidRPr="006740E5">
        <w:rPr>
          <w:rFonts w:ascii="Times New Roman" w:hAnsi="Times New Roman"/>
          <w:sz w:val="24"/>
          <w:szCs w:val="24"/>
        </w:rPr>
        <w:t xml:space="preserve">. </w:t>
      </w:r>
    </w:p>
    <w:p w:rsidR="0067511C" w:rsidRPr="006740E5" w:rsidRDefault="00A9473B" w:rsidP="0067511C">
      <w:pPr>
        <w:tabs>
          <w:tab w:val="left" w:pos="-6379"/>
          <w:tab w:val="left" w:pos="-6237"/>
        </w:tabs>
        <w:spacing w:before="20" w:after="40" w:line="360" w:lineRule="auto"/>
        <w:ind w:firstLine="567"/>
        <w:jc w:val="both"/>
        <w:rPr>
          <w:rFonts w:ascii="Times New Roman" w:hAnsi="Times New Roman"/>
          <w:sz w:val="24"/>
          <w:szCs w:val="24"/>
        </w:rPr>
      </w:pPr>
      <w:r w:rsidRPr="006740E5">
        <w:rPr>
          <w:rFonts w:ascii="Times New Roman" w:hAnsi="Times New Roman"/>
          <w:b/>
          <w:sz w:val="24"/>
          <w:szCs w:val="24"/>
        </w:rPr>
        <w:t>Duomenų rinkimas</w:t>
      </w:r>
      <w:r w:rsidRPr="006740E5">
        <w:rPr>
          <w:rFonts w:ascii="Times New Roman" w:hAnsi="Times New Roman"/>
          <w:sz w:val="24"/>
          <w:szCs w:val="24"/>
        </w:rPr>
        <w:t xml:space="preserve">. </w:t>
      </w:r>
      <w:r w:rsidR="0067511C" w:rsidRPr="006740E5">
        <w:rPr>
          <w:rFonts w:ascii="Times New Roman" w:hAnsi="Times New Roman"/>
          <w:sz w:val="24"/>
          <w:szCs w:val="24"/>
        </w:rPr>
        <w:t xml:space="preserve">Siekiant tyrime remtis subjektų nuomonėmis ir jų veikla, svarbu pirmiausia nustatyti </w:t>
      </w:r>
      <w:r w:rsidR="0059498B" w:rsidRPr="006740E5">
        <w:rPr>
          <w:rFonts w:ascii="Times New Roman" w:hAnsi="Times New Roman"/>
          <w:sz w:val="24"/>
          <w:szCs w:val="24"/>
        </w:rPr>
        <w:t>jų</w:t>
      </w:r>
      <w:r w:rsidR="0067511C" w:rsidRPr="006740E5">
        <w:rPr>
          <w:rFonts w:ascii="Times New Roman" w:hAnsi="Times New Roman"/>
          <w:sz w:val="24"/>
          <w:szCs w:val="24"/>
        </w:rPr>
        <w:t xml:space="preserve"> kompetenciją</w:t>
      </w:r>
      <w:r w:rsidR="0059498B" w:rsidRPr="006740E5">
        <w:rPr>
          <w:rFonts w:ascii="Times New Roman" w:hAnsi="Times New Roman"/>
          <w:sz w:val="24"/>
          <w:szCs w:val="24"/>
        </w:rPr>
        <w:t>, kuriai atstovauja atitinkami verslo plėtros vadybininkai</w:t>
      </w:r>
      <w:r w:rsidR="0067511C" w:rsidRPr="006740E5">
        <w:rPr>
          <w:rFonts w:ascii="Times New Roman" w:hAnsi="Times New Roman"/>
          <w:sz w:val="24"/>
          <w:szCs w:val="24"/>
        </w:rPr>
        <w:t xml:space="preserve">. Lietuvos pašto sektoriuje paslaugų konkurencingumo srityje kompetencijai apibūdinti </w:t>
      </w:r>
      <w:r w:rsidR="009D0B5A" w:rsidRPr="006740E5">
        <w:rPr>
          <w:rFonts w:ascii="Times New Roman" w:hAnsi="Times New Roman"/>
          <w:sz w:val="24"/>
          <w:szCs w:val="24"/>
        </w:rPr>
        <w:t xml:space="preserve">išskirti </w:t>
      </w:r>
      <w:r w:rsidR="0067511C" w:rsidRPr="006740E5">
        <w:rPr>
          <w:rFonts w:ascii="Times New Roman" w:hAnsi="Times New Roman"/>
          <w:sz w:val="24"/>
          <w:szCs w:val="24"/>
        </w:rPr>
        <w:t>aktualūs penki kriterijai pateikti 16 lentelėje:</w:t>
      </w:r>
    </w:p>
    <w:p w:rsidR="0067511C" w:rsidRPr="006740E5" w:rsidRDefault="0067511C" w:rsidP="0067511C">
      <w:pPr>
        <w:tabs>
          <w:tab w:val="left" w:pos="-6379"/>
          <w:tab w:val="left" w:pos="-6237"/>
        </w:tabs>
        <w:spacing w:before="200" w:line="360" w:lineRule="auto"/>
        <w:jc w:val="center"/>
        <w:rPr>
          <w:rFonts w:ascii="Times New Roman" w:hAnsi="Times New Roman"/>
          <w:b/>
          <w:sz w:val="24"/>
          <w:szCs w:val="24"/>
        </w:rPr>
      </w:pPr>
      <w:r w:rsidRPr="006740E5">
        <w:rPr>
          <w:rFonts w:ascii="Times New Roman" w:hAnsi="Times New Roman"/>
          <w:b/>
          <w:sz w:val="24"/>
          <w:szCs w:val="24"/>
        </w:rPr>
        <w:t xml:space="preserve">16 lentelė. </w:t>
      </w:r>
      <w:r w:rsidR="0059498B" w:rsidRPr="006740E5">
        <w:rPr>
          <w:rFonts w:ascii="Times New Roman" w:hAnsi="Times New Roman"/>
          <w:b/>
          <w:sz w:val="24"/>
          <w:szCs w:val="24"/>
        </w:rPr>
        <w:t>Subjektų</w:t>
      </w:r>
      <w:r w:rsidRPr="006740E5">
        <w:rPr>
          <w:rFonts w:ascii="Times New Roman" w:hAnsi="Times New Roman"/>
          <w:b/>
          <w:sz w:val="24"/>
          <w:szCs w:val="24"/>
        </w:rPr>
        <w:t xml:space="preserve"> kompetencijos kriterijų analizė</w:t>
      </w:r>
    </w:p>
    <w:tbl>
      <w:tblPr>
        <w:tblW w:w="0" w:type="auto"/>
        <w:jc w:val="center"/>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67"/>
        <w:gridCol w:w="7918"/>
      </w:tblGrid>
      <w:tr w:rsidR="0067511C" w:rsidRPr="006740E5" w:rsidTr="0061546A">
        <w:trPr>
          <w:trHeight w:val="227"/>
          <w:jc w:val="center"/>
        </w:trPr>
        <w:tc>
          <w:tcPr>
            <w:tcW w:w="1967" w:type="dxa"/>
            <w:tcBorders>
              <w:top w:val="single" w:sz="12" w:space="0" w:color="auto"/>
              <w:left w:val="single" w:sz="12" w:space="0" w:color="auto"/>
              <w:bottom w:val="single" w:sz="12" w:space="0" w:color="auto"/>
            </w:tcBorders>
            <w:shd w:val="pct10" w:color="auto" w:fill="auto"/>
            <w:vAlign w:val="center"/>
          </w:tcPr>
          <w:p w:rsidR="0067511C" w:rsidRPr="006740E5" w:rsidRDefault="0067511C" w:rsidP="0061546A">
            <w:pPr>
              <w:tabs>
                <w:tab w:val="left" w:pos="-6379"/>
                <w:tab w:val="left" w:pos="-6237"/>
              </w:tabs>
              <w:spacing w:before="20" w:after="40" w:line="240" w:lineRule="auto"/>
              <w:jc w:val="center"/>
              <w:rPr>
                <w:rFonts w:ascii="Times New Roman" w:hAnsi="Times New Roman"/>
                <w:b/>
                <w:sz w:val="21"/>
                <w:szCs w:val="21"/>
              </w:rPr>
            </w:pPr>
            <w:r w:rsidRPr="006740E5">
              <w:rPr>
                <w:rFonts w:ascii="Times New Roman" w:hAnsi="Times New Roman"/>
                <w:b/>
                <w:sz w:val="21"/>
                <w:szCs w:val="21"/>
              </w:rPr>
              <w:t>Kriterijus</w:t>
            </w:r>
          </w:p>
        </w:tc>
        <w:tc>
          <w:tcPr>
            <w:tcW w:w="7918" w:type="dxa"/>
            <w:tcBorders>
              <w:top w:val="single" w:sz="12" w:space="0" w:color="auto"/>
              <w:bottom w:val="single" w:sz="12" w:space="0" w:color="auto"/>
              <w:right w:val="single" w:sz="12" w:space="0" w:color="auto"/>
            </w:tcBorders>
            <w:shd w:val="pct10" w:color="auto" w:fill="auto"/>
            <w:vAlign w:val="center"/>
          </w:tcPr>
          <w:p w:rsidR="0067511C" w:rsidRPr="006740E5" w:rsidRDefault="0067511C" w:rsidP="0061546A">
            <w:pPr>
              <w:tabs>
                <w:tab w:val="left" w:pos="-6379"/>
                <w:tab w:val="left" w:pos="-6237"/>
              </w:tabs>
              <w:spacing w:before="20" w:after="40" w:line="240" w:lineRule="auto"/>
              <w:jc w:val="center"/>
              <w:rPr>
                <w:rFonts w:ascii="Times New Roman" w:hAnsi="Times New Roman"/>
                <w:b/>
                <w:sz w:val="21"/>
                <w:szCs w:val="21"/>
              </w:rPr>
            </w:pPr>
            <w:r w:rsidRPr="006740E5">
              <w:rPr>
                <w:rFonts w:ascii="Times New Roman" w:hAnsi="Times New Roman"/>
                <w:b/>
                <w:sz w:val="21"/>
                <w:szCs w:val="21"/>
              </w:rPr>
              <w:t>Kriterijaus reikšmingumas</w:t>
            </w:r>
          </w:p>
        </w:tc>
      </w:tr>
      <w:tr w:rsidR="0067511C" w:rsidRPr="006740E5" w:rsidTr="0061546A">
        <w:trPr>
          <w:jc w:val="center"/>
        </w:trPr>
        <w:tc>
          <w:tcPr>
            <w:tcW w:w="1967" w:type="dxa"/>
            <w:tcBorders>
              <w:top w:val="single" w:sz="12" w:space="0" w:color="auto"/>
              <w:left w:val="single" w:sz="12" w:space="0" w:color="auto"/>
            </w:tcBorders>
            <w:vAlign w:val="center"/>
          </w:tcPr>
          <w:p w:rsidR="0067511C" w:rsidRPr="006740E5" w:rsidRDefault="0067511C" w:rsidP="0061546A">
            <w:pPr>
              <w:tabs>
                <w:tab w:val="left" w:pos="-6379"/>
                <w:tab w:val="left" w:pos="-6237"/>
              </w:tabs>
              <w:spacing w:before="20" w:after="40" w:line="240" w:lineRule="auto"/>
              <w:rPr>
                <w:rFonts w:ascii="Times New Roman" w:hAnsi="Times New Roman"/>
                <w:sz w:val="21"/>
                <w:szCs w:val="21"/>
              </w:rPr>
            </w:pPr>
            <w:r w:rsidRPr="006740E5">
              <w:rPr>
                <w:rFonts w:ascii="Times New Roman" w:hAnsi="Times New Roman"/>
                <w:sz w:val="21"/>
                <w:szCs w:val="21"/>
              </w:rPr>
              <w:t xml:space="preserve">Savarankiškumas priimant sprendimus </w:t>
            </w:r>
          </w:p>
        </w:tc>
        <w:tc>
          <w:tcPr>
            <w:tcW w:w="7918" w:type="dxa"/>
            <w:tcBorders>
              <w:top w:val="single" w:sz="12" w:space="0" w:color="auto"/>
              <w:right w:val="single" w:sz="12" w:space="0" w:color="auto"/>
            </w:tcBorders>
          </w:tcPr>
          <w:p w:rsidR="0067511C" w:rsidRPr="006740E5" w:rsidRDefault="0067511C" w:rsidP="0061546A">
            <w:pPr>
              <w:tabs>
                <w:tab w:val="left" w:pos="-6379"/>
                <w:tab w:val="left" w:pos="-6237"/>
              </w:tabs>
              <w:spacing w:before="20" w:after="40" w:line="240" w:lineRule="auto"/>
              <w:jc w:val="both"/>
              <w:rPr>
                <w:rFonts w:ascii="Times New Roman" w:hAnsi="Times New Roman"/>
                <w:sz w:val="21"/>
                <w:szCs w:val="21"/>
              </w:rPr>
            </w:pPr>
            <w:r w:rsidRPr="006740E5">
              <w:rPr>
                <w:rFonts w:ascii="Times New Roman" w:hAnsi="Times New Roman"/>
                <w:sz w:val="21"/>
                <w:szCs w:val="21"/>
              </w:rPr>
              <w:t>Aukštas subjekto savarankiškumo sprendimų priėmimo procese lygis, parodo kaip gerai subjektas yra susipažinęs su jo aplinkoje vykstančiais procesais, atitinkamoje aplinkoje įtaką darančiais veiksniais ir jų reikšmingumu: kuo didesnis savarankiškumas, tuo geriau subjektas susipažinęs su aplinka kurioje veikia.</w:t>
            </w:r>
          </w:p>
        </w:tc>
      </w:tr>
      <w:tr w:rsidR="0067511C" w:rsidRPr="006740E5" w:rsidTr="0061546A">
        <w:trPr>
          <w:jc w:val="center"/>
        </w:trPr>
        <w:tc>
          <w:tcPr>
            <w:tcW w:w="1967" w:type="dxa"/>
            <w:tcBorders>
              <w:left w:val="single" w:sz="12" w:space="0" w:color="auto"/>
            </w:tcBorders>
            <w:vAlign w:val="center"/>
          </w:tcPr>
          <w:p w:rsidR="0067511C" w:rsidRPr="006740E5" w:rsidRDefault="0067511C" w:rsidP="0061546A">
            <w:pPr>
              <w:tabs>
                <w:tab w:val="left" w:pos="-6379"/>
                <w:tab w:val="left" w:pos="-6237"/>
              </w:tabs>
              <w:spacing w:before="20" w:after="40" w:line="240" w:lineRule="auto"/>
              <w:rPr>
                <w:rFonts w:ascii="Times New Roman" w:hAnsi="Times New Roman"/>
                <w:sz w:val="21"/>
                <w:szCs w:val="21"/>
              </w:rPr>
            </w:pPr>
            <w:r w:rsidRPr="006740E5">
              <w:rPr>
                <w:rFonts w:ascii="Times New Roman" w:hAnsi="Times New Roman"/>
                <w:sz w:val="21"/>
                <w:szCs w:val="21"/>
              </w:rPr>
              <w:t>Veiklos vykdymo trukmė</w:t>
            </w:r>
          </w:p>
        </w:tc>
        <w:tc>
          <w:tcPr>
            <w:tcW w:w="7918" w:type="dxa"/>
            <w:tcBorders>
              <w:right w:val="single" w:sz="12" w:space="0" w:color="auto"/>
            </w:tcBorders>
          </w:tcPr>
          <w:p w:rsidR="0067511C" w:rsidRPr="006740E5" w:rsidRDefault="0067511C" w:rsidP="0061546A">
            <w:pPr>
              <w:tabs>
                <w:tab w:val="left" w:pos="-6379"/>
                <w:tab w:val="left" w:pos="-6237"/>
              </w:tabs>
              <w:spacing w:before="20" w:after="40" w:line="240" w:lineRule="auto"/>
              <w:jc w:val="both"/>
              <w:rPr>
                <w:rFonts w:ascii="Times New Roman" w:hAnsi="Times New Roman"/>
                <w:sz w:val="21"/>
                <w:szCs w:val="21"/>
              </w:rPr>
            </w:pPr>
            <w:r w:rsidRPr="006740E5">
              <w:rPr>
                <w:rFonts w:ascii="Times New Roman" w:hAnsi="Times New Roman"/>
                <w:sz w:val="21"/>
                <w:szCs w:val="21"/>
              </w:rPr>
              <w:t>Veiklos trukmė parodo kaip subjektas geba veikti nors ir laisvėjančioje, tačiau vis dar monopolizuotoje rinkoje. Gebėjimas išsilaikyti rinkoje, kuri yra valstybės apribota, atskleidžia puikius subjekto verslumo įgūdžius.</w:t>
            </w:r>
          </w:p>
        </w:tc>
      </w:tr>
      <w:tr w:rsidR="0067511C" w:rsidRPr="006740E5" w:rsidTr="0061546A">
        <w:trPr>
          <w:jc w:val="center"/>
        </w:trPr>
        <w:tc>
          <w:tcPr>
            <w:tcW w:w="1967" w:type="dxa"/>
            <w:tcBorders>
              <w:left w:val="single" w:sz="12" w:space="0" w:color="auto"/>
            </w:tcBorders>
            <w:vAlign w:val="center"/>
          </w:tcPr>
          <w:p w:rsidR="0067511C" w:rsidRPr="006740E5" w:rsidRDefault="0067511C" w:rsidP="0061546A">
            <w:pPr>
              <w:tabs>
                <w:tab w:val="left" w:pos="-6379"/>
                <w:tab w:val="left" w:pos="-6237"/>
              </w:tabs>
              <w:spacing w:before="20" w:after="40" w:line="240" w:lineRule="auto"/>
              <w:rPr>
                <w:rFonts w:ascii="Times New Roman" w:hAnsi="Times New Roman"/>
                <w:sz w:val="21"/>
                <w:szCs w:val="21"/>
              </w:rPr>
            </w:pPr>
            <w:r w:rsidRPr="006740E5">
              <w:rPr>
                <w:rFonts w:ascii="Times New Roman" w:hAnsi="Times New Roman"/>
                <w:sz w:val="21"/>
                <w:szCs w:val="21"/>
              </w:rPr>
              <w:lastRenderedPageBreak/>
              <w:t>Veikimo būdas</w:t>
            </w:r>
          </w:p>
        </w:tc>
        <w:tc>
          <w:tcPr>
            <w:tcW w:w="7918" w:type="dxa"/>
            <w:tcBorders>
              <w:right w:val="single" w:sz="12" w:space="0" w:color="auto"/>
            </w:tcBorders>
          </w:tcPr>
          <w:p w:rsidR="0067511C" w:rsidRPr="006740E5" w:rsidRDefault="0067511C" w:rsidP="0061546A">
            <w:pPr>
              <w:tabs>
                <w:tab w:val="left" w:pos="-6379"/>
                <w:tab w:val="left" w:pos="-6237"/>
              </w:tabs>
              <w:spacing w:before="20" w:after="40" w:line="240" w:lineRule="auto"/>
              <w:jc w:val="both"/>
              <w:rPr>
                <w:rFonts w:ascii="Times New Roman" w:hAnsi="Times New Roman"/>
                <w:sz w:val="21"/>
                <w:szCs w:val="21"/>
              </w:rPr>
            </w:pPr>
            <w:r w:rsidRPr="006740E5">
              <w:rPr>
                <w:rFonts w:ascii="Times New Roman" w:hAnsi="Times New Roman"/>
                <w:sz w:val="21"/>
                <w:szCs w:val="21"/>
              </w:rPr>
              <w:t>Veiklos vykdymas taikant modernius būdus parodo įmonės aktyvumą, orientaciją į naujų žinių taikymą verslo procesuose, dėmesį pokyčiams ir jų valdymui – platų mąstymą organizuojant pašto paslaugų teikimą.</w:t>
            </w:r>
          </w:p>
        </w:tc>
      </w:tr>
      <w:tr w:rsidR="0067511C" w:rsidRPr="006740E5" w:rsidTr="0061546A">
        <w:trPr>
          <w:trHeight w:val="521"/>
          <w:jc w:val="center"/>
        </w:trPr>
        <w:tc>
          <w:tcPr>
            <w:tcW w:w="1967" w:type="dxa"/>
            <w:tcBorders>
              <w:left w:val="single" w:sz="12" w:space="0" w:color="auto"/>
            </w:tcBorders>
            <w:vAlign w:val="center"/>
          </w:tcPr>
          <w:p w:rsidR="0067511C" w:rsidRPr="006740E5" w:rsidRDefault="0067511C" w:rsidP="0061546A">
            <w:pPr>
              <w:tabs>
                <w:tab w:val="left" w:pos="-6379"/>
                <w:tab w:val="left" w:pos="-6237"/>
              </w:tabs>
              <w:spacing w:before="20" w:after="40" w:line="240" w:lineRule="auto"/>
              <w:rPr>
                <w:rFonts w:ascii="Times New Roman" w:hAnsi="Times New Roman"/>
                <w:sz w:val="21"/>
                <w:szCs w:val="21"/>
              </w:rPr>
            </w:pPr>
            <w:r w:rsidRPr="006740E5">
              <w:rPr>
                <w:rFonts w:ascii="Times New Roman" w:hAnsi="Times New Roman"/>
                <w:sz w:val="21"/>
                <w:szCs w:val="21"/>
              </w:rPr>
              <w:t>Siūlomų tradicinių paslaugų skaičius</w:t>
            </w:r>
          </w:p>
        </w:tc>
        <w:tc>
          <w:tcPr>
            <w:tcW w:w="7918" w:type="dxa"/>
            <w:vMerge w:val="restart"/>
            <w:tcBorders>
              <w:right w:val="single" w:sz="12" w:space="0" w:color="auto"/>
            </w:tcBorders>
          </w:tcPr>
          <w:p w:rsidR="0067511C" w:rsidRPr="006740E5" w:rsidRDefault="0067511C" w:rsidP="0061546A">
            <w:pPr>
              <w:tabs>
                <w:tab w:val="left" w:pos="-6379"/>
                <w:tab w:val="left" w:pos="-6237"/>
              </w:tabs>
              <w:spacing w:before="20" w:after="40" w:line="240" w:lineRule="auto"/>
              <w:jc w:val="both"/>
              <w:rPr>
                <w:rFonts w:ascii="Times New Roman" w:hAnsi="Times New Roman"/>
                <w:sz w:val="21"/>
                <w:szCs w:val="21"/>
              </w:rPr>
            </w:pPr>
            <w:r w:rsidRPr="006740E5">
              <w:rPr>
                <w:rFonts w:ascii="Times New Roman" w:hAnsi="Times New Roman"/>
                <w:sz w:val="21"/>
                <w:szCs w:val="21"/>
              </w:rPr>
              <w:t>Didelis paslaugų kiekis parodo aukštesnio lygio gebėjimus organizuojant ir vystant verslą. Atitinkamai didesnį paslaugų kiekį siūlančios įmonės yra geriau susipažinę su konkurencine sektoriaus aplinka ir sėkmingiau veikiančios, nes išlaikyti platų spektrą nekokybiškų ir neaktualių vartotojams paslaugų subjektui būtų žalingą.</w:t>
            </w:r>
          </w:p>
        </w:tc>
      </w:tr>
      <w:tr w:rsidR="0067511C" w:rsidRPr="006740E5" w:rsidTr="0061546A">
        <w:trPr>
          <w:jc w:val="center"/>
        </w:trPr>
        <w:tc>
          <w:tcPr>
            <w:tcW w:w="1967" w:type="dxa"/>
            <w:tcBorders>
              <w:left w:val="single" w:sz="12" w:space="0" w:color="auto"/>
              <w:bottom w:val="single" w:sz="12" w:space="0" w:color="auto"/>
            </w:tcBorders>
            <w:vAlign w:val="center"/>
          </w:tcPr>
          <w:p w:rsidR="0067511C" w:rsidRPr="006740E5" w:rsidRDefault="0067511C" w:rsidP="0061546A">
            <w:pPr>
              <w:tabs>
                <w:tab w:val="left" w:pos="-6379"/>
                <w:tab w:val="left" w:pos="-6237"/>
              </w:tabs>
              <w:spacing w:before="20" w:after="40" w:line="240" w:lineRule="auto"/>
              <w:rPr>
                <w:rFonts w:ascii="Times New Roman" w:hAnsi="Times New Roman"/>
                <w:sz w:val="21"/>
                <w:szCs w:val="21"/>
              </w:rPr>
            </w:pPr>
            <w:r w:rsidRPr="006740E5">
              <w:rPr>
                <w:rFonts w:ascii="Times New Roman" w:hAnsi="Times New Roman"/>
                <w:sz w:val="21"/>
                <w:szCs w:val="21"/>
              </w:rPr>
              <w:t>Siūlomų e. paslaugų skaičius</w:t>
            </w:r>
          </w:p>
        </w:tc>
        <w:tc>
          <w:tcPr>
            <w:tcW w:w="7918" w:type="dxa"/>
            <w:vMerge/>
            <w:tcBorders>
              <w:bottom w:val="single" w:sz="12" w:space="0" w:color="auto"/>
              <w:right w:val="single" w:sz="12" w:space="0" w:color="auto"/>
            </w:tcBorders>
          </w:tcPr>
          <w:p w:rsidR="0067511C" w:rsidRPr="006740E5" w:rsidRDefault="0067511C" w:rsidP="0061546A">
            <w:pPr>
              <w:tabs>
                <w:tab w:val="left" w:pos="-6379"/>
                <w:tab w:val="left" w:pos="-6237"/>
              </w:tabs>
              <w:spacing w:before="20" w:after="40" w:line="240" w:lineRule="auto"/>
              <w:jc w:val="both"/>
              <w:rPr>
                <w:rFonts w:ascii="Times New Roman" w:hAnsi="Times New Roman"/>
                <w:sz w:val="21"/>
                <w:szCs w:val="21"/>
              </w:rPr>
            </w:pPr>
          </w:p>
        </w:tc>
      </w:tr>
    </w:tbl>
    <w:p w:rsidR="0067511C" w:rsidRPr="006740E5" w:rsidRDefault="009D0B5A" w:rsidP="009D0B5A">
      <w:pPr>
        <w:tabs>
          <w:tab w:val="left" w:pos="-6379"/>
          <w:tab w:val="left" w:pos="-6237"/>
        </w:tabs>
        <w:spacing w:after="120" w:line="360" w:lineRule="auto"/>
        <w:jc w:val="both"/>
        <w:rPr>
          <w:rFonts w:ascii="Times New Roman" w:hAnsi="Times New Roman"/>
          <w:sz w:val="16"/>
          <w:szCs w:val="16"/>
        </w:rPr>
      </w:pPr>
      <w:r w:rsidRPr="006740E5">
        <w:rPr>
          <w:rFonts w:ascii="Times New Roman" w:hAnsi="Times New Roman"/>
          <w:sz w:val="16"/>
          <w:szCs w:val="16"/>
        </w:rPr>
        <w:t>Sudaryta autorės</w:t>
      </w:r>
    </w:p>
    <w:p w:rsidR="00C66C7D" w:rsidRPr="006740E5" w:rsidRDefault="00A9473B" w:rsidP="005C17D9">
      <w:pPr>
        <w:tabs>
          <w:tab w:val="left" w:pos="-6379"/>
          <w:tab w:val="left" w:pos="-4962"/>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Literatūroje teigiama, kad </w:t>
      </w:r>
      <w:r w:rsidR="0004279E" w:rsidRPr="006740E5">
        <w:rPr>
          <w:rFonts w:ascii="Times New Roman" w:hAnsi="Times New Roman"/>
          <w:sz w:val="24"/>
          <w:szCs w:val="24"/>
        </w:rPr>
        <w:t>ekspertų</w:t>
      </w:r>
      <w:r w:rsidRPr="006740E5">
        <w:rPr>
          <w:rFonts w:ascii="Times New Roman" w:hAnsi="Times New Roman"/>
          <w:sz w:val="24"/>
          <w:szCs w:val="24"/>
        </w:rPr>
        <w:t xml:space="preserve"> vertinimai gali būti įvairių formų – tiek anoniminė anketa, tiek atviros grupinės diskusijos (Tidikis, 2003). Šiam tyrimui pasirinktas anoniminis anketavimas, tikintis, kad glaustesnio pobūdžio ir anonimine apklausa paskatins respondentus dalyvauti tyrime ir pateikti objektyvius, atvirus atsakymus. </w:t>
      </w:r>
      <w:r w:rsidR="00C66C7D" w:rsidRPr="006740E5">
        <w:rPr>
          <w:rFonts w:ascii="Times New Roman" w:hAnsi="Times New Roman"/>
          <w:sz w:val="24"/>
          <w:szCs w:val="24"/>
        </w:rPr>
        <w:t>Tidikis (2003) teigia anketinio tyrimo metodą esant patikimą ir objektyvų, o visa kritika skirta šiam metodui atsiranda dėl netinkamo pasirengimo jį taikyti ir neužtikrinant būtinų anketavimo sąlygų. Siekiant atliekamo tyrimu gautų duomenų reprezentatyvumo, sudarant anketą buvo laikomasi mokslinių tyrimų metodologijoje pateikiamų anketos, klausimų sudarymo ir pateikimo reikalavimų bei rekomendacijų. Tikintis kuo geranoriškesnio respondentų dalyvavimo tyrime, anketos buvo pateiktos elektroniniu būdu: į respondentus buvo kreiptasi el. paštu, o pati anketa buvo parengta internetinėje apklausų sistemoje, kurioje respondentams suteikiama visiškai anoniminio dalyvavimo tyrime galimybė.</w:t>
      </w:r>
    </w:p>
    <w:p w:rsidR="00C66C7D" w:rsidRPr="006740E5" w:rsidRDefault="00C66C7D" w:rsidP="00FB15B3">
      <w:pPr>
        <w:tabs>
          <w:tab w:val="left" w:pos="-6379"/>
        </w:tabs>
        <w:spacing w:after="0" w:line="360" w:lineRule="auto"/>
        <w:ind w:firstLine="567"/>
        <w:jc w:val="both"/>
        <w:rPr>
          <w:rFonts w:ascii="Times New Roman" w:hAnsi="Times New Roman"/>
          <w:b/>
          <w:sz w:val="24"/>
          <w:szCs w:val="24"/>
        </w:rPr>
      </w:pPr>
      <w:r w:rsidRPr="006740E5">
        <w:rPr>
          <w:rFonts w:ascii="Times New Roman" w:hAnsi="Times New Roman"/>
          <w:b/>
          <w:sz w:val="24"/>
          <w:szCs w:val="24"/>
        </w:rPr>
        <w:t xml:space="preserve">Anketos sudarymo principai. </w:t>
      </w:r>
      <w:r w:rsidRPr="006740E5">
        <w:rPr>
          <w:rFonts w:ascii="Times New Roman" w:hAnsi="Times New Roman"/>
          <w:sz w:val="24"/>
          <w:szCs w:val="24"/>
        </w:rPr>
        <w:t xml:space="preserve">Anketoje pateikiami 24 </w:t>
      </w:r>
      <w:r w:rsidR="0004279E" w:rsidRPr="006740E5">
        <w:rPr>
          <w:rFonts w:ascii="Times New Roman" w:hAnsi="Times New Roman"/>
          <w:sz w:val="24"/>
          <w:szCs w:val="24"/>
        </w:rPr>
        <w:t>klausimai. Pagal</w:t>
      </w:r>
      <w:r w:rsidRPr="006740E5">
        <w:rPr>
          <w:rFonts w:ascii="Times New Roman" w:hAnsi="Times New Roman"/>
          <w:sz w:val="24"/>
          <w:szCs w:val="24"/>
        </w:rPr>
        <w:t xml:space="preserve"> savo reikšmingumą ir atskleidžiamą informaciją klausimai suskirstyti į keturias grupes.</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Pirmoje grupėje klausimai (1−6) pristato respondentą. Klausimai yra susiję su individualiomis subjektų charakteristikomis: įmonės dydis, gyvavimo laikotarpis, veikimo laukas ir t. t. </w:t>
      </w:r>
      <w:r w:rsidRPr="006740E5">
        <w:rPr>
          <w:rFonts w:ascii="Times New Roman" w:hAnsi="Times New Roman"/>
          <w:sz w:val="24"/>
          <w:szCs w:val="24"/>
        </w:rPr>
        <w:br/>
        <w:t>Šios charakteristikos leidžia įvertinti respondentų kompetenciją bei reprezentatyvumą analizuojant subjektų atsakymus į kitų grupių klausimus.</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Antroje grupėje klausimai (7−9; 12−13; 16−18;23) leidžia atskleisti dabartinę valstybinio pašto paslaugų teikėjo ir visos pašto ir pasiuntinių paslaugų rinkos Lietuvoje situaciją: įmonės AB ,,Lietuvos paštas’’ konkurencingumas kitų rinkos dalyvių požiūriu, pašto srities įmonių veiklos organizavimo aplinką, teikiamas paslaugas tradicine ir elektronine forma, atsiskaitymų organizavimą ir pan. </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Trečioje grupėje klausimai (10−11; 14−15; 19−20) klausimai atskleidžiantys priežastinius esamos situacijos veiksnius: varžovų požiūriu silpnąsias AB ,,Lietuvos paštas’’ savybes, respondentų įmonių teikiamų paslaugų ribotumą ir pan.</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Ketvirtoje grupėje klausimai (21−22; 24),pristatantys respondentų nuomonę apie galimus probleminių sričių koregavimus.</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b/>
          <w:sz w:val="24"/>
          <w:szCs w:val="24"/>
        </w:rPr>
        <w:t xml:space="preserve">Tyrimo eiga. </w:t>
      </w:r>
      <w:r w:rsidRPr="006740E5">
        <w:rPr>
          <w:rFonts w:ascii="Times New Roman" w:hAnsi="Times New Roman"/>
          <w:sz w:val="24"/>
          <w:szCs w:val="24"/>
        </w:rPr>
        <w:t xml:space="preserve">Tyrimas vyko dviem etapais. Pirmasis etapas vyko 2009 m. rugsėjo 25 d. – </w:t>
      </w:r>
      <w:r w:rsidRPr="006740E5">
        <w:rPr>
          <w:rFonts w:ascii="Times New Roman" w:hAnsi="Times New Roman"/>
          <w:sz w:val="24"/>
          <w:szCs w:val="24"/>
        </w:rPr>
        <w:br/>
        <w:t xml:space="preserve">2009 m. spalio 8 d., buvo išsiųsta 8 anketos aštuoniems respondentams. Per pirmąjį etapą buvo sulauktą šešių tvarkingai užpildytų anketų. Antrasis etapas vyko 2009 m. spalio 9 d. – </w:t>
      </w:r>
      <w:r w:rsidRPr="006740E5">
        <w:rPr>
          <w:rFonts w:ascii="Times New Roman" w:hAnsi="Times New Roman"/>
          <w:sz w:val="24"/>
          <w:szCs w:val="24"/>
        </w:rPr>
        <w:br/>
      </w:r>
      <w:r w:rsidRPr="006740E5">
        <w:rPr>
          <w:rFonts w:ascii="Times New Roman" w:hAnsi="Times New Roman"/>
          <w:sz w:val="24"/>
          <w:szCs w:val="24"/>
        </w:rPr>
        <w:lastRenderedPageBreak/>
        <w:t>2009 m. spalio 15 d., buvo išsiųsti laiškai visiems 8 respondentams su padėka užpildžiusiems ir su pakartotiniu prašymu užpildyti anketa jos dar nepildžiusiems. Per antrąjį etapą buvo sulaukta dar dviejų respondentų atsakymų. Analizei naudojamos 8 tvarkingai užpildytos anketos, tad tyrimo duomenys laikytini validžiais.</w:t>
      </w:r>
      <w:r w:rsidR="00477B0B" w:rsidRPr="006740E5">
        <w:rPr>
          <w:rFonts w:ascii="Times New Roman" w:hAnsi="Times New Roman"/>
          <w:sz w:val="24"/>
          <w:szCs w:val="24"/>
        </w:rPr>
        <w:t xml:space="preserve"> Tyrimo eigoje surinkti duomenys apdoroti taikant kiekybinę analizę.</w:t>
      </w:r>
    </w:p>
    <w:p w:rsidR="00F9742E" w:rsidRPr="006740E5" w:rsidRDefault="00F9742E" w:rsidP="00FB15B3">
      <w:pPr>
        <w:tabs>
          <w:tab w:val="left" w:pos="-6379"/>
        </w:tabs>
        <w:spacing w:after="0" w:line="360" w:lineRule="auto"/>
        <w:jc w:val="both"/>
        <w:rPr>
          <w:rFonts w:ascii="Times New Roman" w:hAnsi="Times New Roman"/>
          <w:sz w:val="20"/>
          <w:szCs w:val="20"/>
        </w:rPr>
      </w:pPr>
    </w:p>
    <w:p w:rsidR="00C66C7D" w:rsidRPr="006740E5" w:rsidRDefault="0014790C" w:rsidP="0014790C">
      <w:pPr>
        <w:pStyle w:val="ListParagraph"/>
        <w:numPr>
          <w:ilvl w:val="1"/>
          <w:numId w:val="9"/>
        </w:numPr>
        <w:tabs>
          <w:tab w:val="left" w:pos="-6379"/>
          <w:tab w:val="left" w:pos="-2127"/>
          <w:tab w:val="left" w:pos="142"/>
        </w:tabs>
        <w:ind w:left="0" w:firstLine="0"/>
        <w:jc w:val="center"/>
        <w:rPr>
          <w:rFonts w:ascii="Times New Roman" w:hAnsi="Times New Roman"/>
          <w:b/>
          <w:sz w:val="24"/>
          <w:szCs w:val="24"/>
        </w:rPr>
      </w:pPr>
      <w:bookmarkStart w:id="6" w:name="_Toc248397767"/>
      <w:r w:rsidRPr="006740E5">
        <w:rPr>
          <w:rFonts w:ascii="Times New Roman" w:hAnsi="Times New Roman"/>
          <w:b/>
          <w:sz w:val="24"/>
          <w:szCs w:val="24"/>
        </w:rPr>
        <w:t xml:space="preserve">Tyrimo rezultatų </w:t>
      </w:r>
      <w:r w:rsidR="00C66C7D" w:rsidRPr="006740E5">
        <w:rPr>
          <w:rFonts w:ascii="Times New Roman" w:hAnsi="Times New Roman"/>
          <w:b/>
          <w:sz w:val="24"/>
          <w:szCs w:val="24"/>
        </w:rPr>
        <w:t>analizė</w:t>
      </w:r>
      <w:bookmarkEnd w:id="6"/>
    </w:p>
    <w:p w:rsidR="00C66C7D" w:rsidRPr="006740E5" w:rsidRDefault="00C66C7D" w:rsidP="00FB15B3">
      <w:pPr>
        <w:pStyle w:val="ListParagraph"/>
        <w:tabs>
          <w:tab w:val="left" w:pos="-6379"/>
        </w:tabs>
        <w:spacing w:after="0"/>
        <w:ind w:left="1814"/>
        <w:rPr>
          <w:rFonts w:ascii="Times New Roman" w:hAnsi="Times New Roman"/>
          <w:b/>
          <w:sz w:val="24"/>
          <w:szCs w:val="24"/>
        </w:rPr>
      </w:pPr>
    </w:p>
    <w:p w:rsidR="00C66C7D" w:rsidRPr="006740E5" w:rsidRDefault="0014790C" w:rsidP="00FB15B3">
      <w:pPr>
        <w:tabs>
          <w:tab w:val="left" w:pos="-6379"/>
        </w:tabs>
        <w:jc w:val="center"/>
        <w:rPr>
          <w:rFonts w:ascii="Times New Roman" w:hAnsi="Times New Roman"/>
          <w:b/>
          <w:sz w:val="24"/>
          <w:szCs w:val="24"/>
        </w:rPr>
      </w:pPr>
      <w:r w:rsidRPr="006740E5">
        <w:rPr>
          <w:rFonts w:ascii="Times New Roman" w:hAnsi="Times New Roman"/>
          <w:b/>
          <w:sz w:val="24"/>
          <w:szCs w:val="24"/>
        </w:rPr>
        <w:t>3.2</w:t>
      </w:r>
      <w:r w:rsidR="00C66C7D" w:rsidRPr="006740E5">
        <w:rPr>
          <w:rFonts w:ascii="Times New Roman" w:hAnsi="Times New Roman"/>
          <w:b/>
          <w:sz w:val="24"/>
          <w:szCs w:val="24"/>
        </w:rPr>
        <w:t xml:space="preserve">.1. </w:t>
      </w:r>
      <w:r w:rsidR="00B9388C" w:rsidRPr="006740E5">
        <w:rPr>
          <w:rFonts w:ascii="Times New Roman" w:hAnsi="Times New Roman"/>
          <w:b/>
          <w:sz w:val="24"/>
          <w:szCs w:val="24"/>
        </w:rPr>
        <w:t>Dabartinėje</w:t>
      </w:r>
      <w:r w:rsidRPr="006740E5">
        <w:rPr>
          <w:rFonts w:ascii="Times New Roman" w:hAnsi="Times New Roman"/>
          <w:b/>
          <w:sz w:val="24"/>
          <w:szCs w:val="24"/>
        </w:rPr>
        <w:t xml:space="preserve"> Lietuvos pašto rinkoje siūlomų paslaugų palyginimas </w:t>
      </w:r>
      <w:r w:rsidRPr="006740E5">
        <w:rPr>
          <w:rFonts w:ascii="Times New Roman" w:hAnsi="Times New Roman"/>
          <w:b/>
          <w:sz w:val="24"/>
          <w:szCs w:val="24"/>
        </w:rPr>
        <w:br/>
        <w:t>tarp viešojo ir privataus sektoriaus pašto paslaugų teikėjų</w:t>
      </w:r>
    </w:p>
    <w:p w:rsidR="00C66C7D" w:rsidRPr="006740E5" w:rsidRDefault="00C66C7D" w:rsidP="00FB15B3">
      <w:pPr>
        <w:tabs>
          <w:tab w:val="left" w:pos="-6379"/>
          <w:tab w:val="left" w:pos="-6237"/>
        </w:tabs>
        <w:spacing w:before="20" w:after="40" w:line="360" w:lineRule="auto"/>
        <w:ind w:firstLine="567"/>
        <w:jc w:val="both"/>
        <w:rPr>
          <w:rFonts w:ascii="Times New Roman" w:hAnsi="Times New Roman"/>
          <w:sz w:val="24"/>
          <w:szCs w:val="24"/>
        </w:rPr>
      </w:pPr>
    </w:p>
    <w:p w:rsidR="00C66C7D" w:rsidRPr="006740E5" w:rsidRDefault="00C66C7D" w:rsidP="0067511C">
      <w:pPr>
        <w:tabs>
          <w:tab w:val="left" w:pos="-6379"/>
          <w:tab w:val="left" w:pos="-6237"/>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Siekiant i</w:t>
      </w:r>
      <w:r w:rsidRPr="006740E5">
        <w:rPr>
          <w:rFonts w:ascii="Times New Roman" w:eastAsia="EUAlbertina-Regular-Identity-H" w:hAnsi="Times New Roman"/>
          <w:sz w:val="24"/>
          <w:szCs w:val="24"/>
        </w:rPr>
        <w:t>šanalizuoti Lietuvos pašto rinkoje dalyvaujančių pašto paslaugų teikėjų siūlomas paslaugas, šių paslaugų teikime taikomas e. priemones ir nustatyti pagrindines AB ,,Lietuvos paštas’’ dalyvavimo rinkoje problemas</w:t>
      </w:r>
      <w:r w:rsidRPr="006740E5">
        <w:rPr>
          <w:rFonts w:ascii="Times New Roman" w:hAnsi="Times New Roman"/>
          <w:sz w:val="24"/>
          <w:szCs w:val="24"/>
        </w:rPr>
        <w:t xml:space="preserve">, reikia atlikti esamos Lietuvos pašto rinkos padėties analizę, įvertinti privačius pašto paslaugų teikėjus ir lyginamosios analizės būdu nustatyti valstybinio pašto paslaugų teikėjo dalyvavimo problemas bei galimybes nustatytoms problemoms spręsti Lietuvos pašto rinkoje remiantis šios rinkos dalyvių nuomonių tyrimu ir jų veiklos analize. </w:t>
      </w:r>
    </w:p>
    <w:p w:rsidR="00C66C7D" w:rsidRPr="006740E5" w:rsidRDefault="00C66C7D" w:rsidP="00FB15B3">
      <w:pPr>
        <w:tabs>
          <w:tab w:val="left" w:pos="-6379"/>
          <w:tab w:val="left" w:pos="-6237"/>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Tyrime dalyvavusių </w:t>
      </w:r>
      <w:r w:rsidR="00A57EE8" w:rsidRPr="006740E5">
        <w:rPr>
          <w:rFonts w:ascii="Times New Roman" w:hAnsi="Times New Roman"/>
          <w:sz w:val="24"/>
          <w:szCs w:val="24"/>
        </w:rPr>
        <w:t>subjektų</w:t>
      </w:r>
      <w:r w:rsidRPr="006740E5">
        <w:rPr>
          <w:rFonts w:ascii="Times New Roman" w:hAnsi="Times New Roman"/>
          <w:sz w:val="24"/>
          <w:szCs w:val="24"/>
        </w:rPr>
        <w:t xml:space="preserve"> kompetencijos analizė pateikta 17 lentelėje atskleidė pasirinkt</w:t>
      </w:r>
      <w:r w:rsidR="00A57EE8" w:rsidRPr="006740E5">
        <w:rPr>
          <w:rFonts w:ascii="Times New Roman" w:hAnsi="Times New Roman"/>
          <w:sz w:val="24"/>
          <w:szCs w:val="24"/>
        </w:rPr>
        <w:t xml:space="preserve">us subjektus, kurių </w:t>
      </w:r>
      <w:r w:rsidR="0004279E" w:rsidRPr="006740E5">
        <w:rPr>
          <w:rFonts w:ascii="Times New Roman" w:hAnsi="Times New Roman"/>
          <w:sz w:val="24"/>
          <w:szCs w:val="24"/>
        </w:rPr>
        <w:t>verslo</w:t>
      </w:r>
      <w:r w:rsidR="00A57EE8" w:rsidRPr="006740E5">
        <w:rPr>
          <w:rFonts w:ascii="Times New Roman" w:hAnsi="Times New Roman"/>
          <w:sz w:val="24"/>
          <w:szCs w:val="24"/>
        </w:rPr>
        <w:t xml:space="preserve"> plėtros vadybininkai pristato subjekto poziciją, tyrimui</w:t>
      </w:r>
      <w:r w:rsidRPr="006740E5">
        <w:rPr>
          <w:rFonts w:ascii="Times New Roman" w:hAnsi="Times New Roman"/>
          <w:sz w:val="24"/>
          <w:szCs w:val="24"/>
        </w:rPr>
        <w:t xml:space="preserve"> kompetentingais ir pasirinktai problemai analizuoti tinkamais pašto paslaugų sektoriaus atstovais. Vieno respondento kompetencija iškeltus reikalavimus savarankiškumo ir veikimo teritorijos kriterijams atitinka mažiau, tačiau šis subjektas Lietuvos pašto rinkoje dalyvauja ilgiau nei penkerius metus, taiko modernias technologijas organizuodama veiklą ir teikia tris elektronines paslaugas (toliau – e. paslaugos) – tyrimo respondentų kontekste to pakanka pasitikėti šio respondento kompetencija.</w:t>
      </w:r>
    </w:p>
    <w:p w:rsidR="00C66C7D" w:rsidRPr="006740E5" w:rsidRDefault="00C66C7D" w:rsidP="00FB15B3">
      <w:pPr>
        <w:tabs>
          <w:tab w:val="left" w:pos="-6379"/>
          <w:tab w:val="left" w:pos="-6237"/>
          <w:tab w:val="left" w:pos="-2127"/>
        </w:tabs>
        <w:spacing w:before="20" w:after="40" w:line="360" w:lineRule="auto"/>
        <w:jc w:val="center"/>
        <w:rPr>
          <w:rFonts w:ascii="Times New Roman" w:hAnsi="Times New Roman"/>
          <w:b/>
          <w:sz w:val="24"/>
          <w:szCs w:val="24"/>
        </w:rPr>
      </w:pPr>
      <w:r w:rsidRPr="006740E5">
        <w:rPr>
          <w:rFonts w:ascii="Times New Roman" w:hAnsi="Times New Roman"/>
          <w:b/>
          <w:sz w:val="24"/>
          <w:szCs w:val="24"/>
        </w:rPr>
        <w:t>17 lentelė.</w:t>
      </w:r>
      <w:r w:rsidRPr="006740E5">
        <w:rPr>
          <w:rFonts w:ascii="Times New Roman" w:hAnsi="Times New Roman"/>
          <w:sz w:val="24"/>
          <w:szCs w:val="24"/>
        </w:rPr>
        <w:t xml:space="preserve"> </w:t>
      </w:r>
      <w:r w:rsidR="00A57EE8" w:rsidRPr="006740E5">
        <w:rPr>
          <w:rFonts w:ascii="Times New Roman" w:hAnsi="Times New Roman"/>
          <w:b/>
          <w:sz w:val="24"/>
          <w:szCs w:val="24"/>
        </w:rPr>
        <w:t>Subjektų</w:t>
      </w:r>
      <w:r w:rsidRPr="006740E5">
        <w:rPr>
          <w:rFonts w:ascii="Times New Roman" w:hAnsi="Times New Roman"/>
          <w:b/>
          <w:sz w:val="24"/>
          <w:szCs w:val="24"/>
        </w:rPr>
        <w:t xml:space="preserve"> kompetencijos analizė</w:t>
      </w:r>
    </w:p>
    <w:tbl>
      <w:tblPr>
        <w:tblW w:w="0" w:type="auto"/>
        <w:jc w:val="center"/>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7"/>
        <w:gridCol w:w="850"/>
        <w:gridCol w:w="1134"/>
        <w:gridCol w:w="1984"/>
        <w:gridCol w:w="1560"/>
      </w:tblGrid>
      <w:tr w:rsidR="00C66C7D" w:rsidRPr="006740E5" w:rsidTr="008222E8">
        <w:trPr>
          <w:cantSplit/>
          <w:trHeight w:val="297"/>
          <w:jc w:val="center"/>
        </w:trPr>
        <w:tc>
          <w:tcPr>
            <w:tcW w:w="7655" w:type="dxa"/>
            <w:gridSpan w:val="5"/>
            <w:tcBorders>
              <w:top w:val="single" w:sz="12" w:space="0" w:color="auto"/>
              <w:left w:val="single" w:sz="12" w:space="0" w:color="auto"/>
              <w:right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Kriterijai</w:t>
            </w:r>
          </w:p>
        </w:tc>
      </w:tr>
      <w:tr w:rsidR="00C66C7D" w:rsidRPr="006740E5" w:rsidTr="008222E8">
        <w:trPr>
          <w:cantSplit/>
          <w:trHeight w:val="431"/>
          <w:jc w:val="center"/>
        </w:trPr>
        <w:tc>
          <w:tcPr>
            <w:tcW w:w="2127" w:type="dxa"/>
            <w:tcBorders>
              <w:left w:val="single" w:sz="12" w:space="0" w:color="auto"/>
              <w:bottom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Savarankiškumas priimant sprendimus</w:t>
            </w:r>
          </w:p>
        </w:tc>
        <w:tc>
          <w:tcPr>
            <w:tcW w:w="850" w:type="dxa"/>
            <w:tcBorders>
              <w:bottom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Veiklos trukmė</w:t>
            </w:r>
          </w:p>
        </w:tc>
        <w:tc>
          <w:tcPr>
            <w:tcW w:w="1134" w:type="dxa"/>
            <w:tcBorders>
              <w:bottom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Veikimo būdas</w:t>
            </w:r>
          </w:p>
        </w:tc>
        <w:tc>
          <w:tcPr>
            <w:tcW w:w="1984" w:type="dxa"/>
            <w:tcBorders>
              <w:bottom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Teikiamų tradicinių paslaugų sk.</w:t>
            </w:r>
          </w:p>
        </w:tc>
        <w:tc>
          <w:tcPr>
            <w:tcW w:w="1560" w:type="dxa"/>
            <w:tcBorders>
              <w:bottom w:val="single" w:sz="12" w:space="0" w:color="auto"/>
              <w:right w:val="single" w:sz="12" w:space="0" w:color="auto"/>
            </w:tcBorders>
            <w:shd w:val="pct10" w:color="auto" w:fill="auto"/>
            <w:vAlign w:val="center"/>
          </w:tcPr>
          <w:p w:rsidR="00C66C7D" w:rsidRPr="006740E5" w:rsidRDefault="00C66C7D" w:rsidP="008222E8">
            <w:pPr>
              <w:tabs>
                <w:tab w:val="left" w:pos="-6379"/>
              </w:tabs>
              <w:spacing w:after="0" w:line="240" w:lineRule="auto"/>
              <w:jc w:val="center"/>
              <w:rPr>
                <w:rFonts w:ascii="Times New Roman" w:hAnsi="Times New Roman"/>
                <w:b/>
                <w:sz w:val="20"/>
                <w:szCs w:val="20"/>
              </w:rPr>
            </w:pPr>
            <w:r w:rsidRPr="006740E5">
              <w:rPr>
                <w:rFonts w:ascii="Times New Roman" w:hAnsi="Times New Roman"/>
                <w:b/>
                <w:sz w:val="20"/>
                <w:szCs w:val="20"/>
              </w:rPr>
              <w:t xml:space="preserve">Teikiamų </w:t>
            </w:r>
            <w:r w:rsidRPr="006740E5">
              <w:rPr>
                <w:rFonts w:ascii="Times New Roman" w:hAnsi="Times New Roman"/>
                <w:b/>
                <w:sz w:val="20"/>
                <w:szCs w:val="20"/>
              </w:rPr>
              <w:br/>
              <w:t>e. paslaugų sk.</w:t>
            </w:r>
          </w:p>
        </w:tc>
      </w:tr>
      <w:tr w:rsidR="00C66C7D" w:rsidRPr="006740E5" w:rsidTr="008222E8">
        <w:trPr>
          <w:jc w:val="center"/>
        </w:trPr>
        <w:tc>
          <w:tcPr>
            <w:tcW w:w="2127" w:type="dxa"/>
            <w:tcBorders>
              <w:top w:val="single" w:sz="12" w:space="0" w:color="auto"/>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tcBorders>
              <w:top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1–5 m.</w:t>
            </w:r>
          </w:p>
        </w:tc>
        <w:tc>
          <w:tcPr>
            <w:tcW w:w="1134" w:type="dxa"/>
            <w:tcBorders>
              <w:top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Nuotolinis</w:t>
            </w:r>
          </w:p>
        </w:tc>
        <w:tc>
          <w:tcPr>
            <w:tcW w:w="1984" w:type="dxa"/>
            <w:tcBorders>
              <w:top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5</w:t>
            </w:r>
          </w:p>
        </w:tc>
        <w:tc>
          <w:tcPr>
            <w:tcW w:w="1560" w:type="dxa"/>
            <w:tcBorders>
              <w:top w:val="single" w:sz="12" w:space="0" w:color="auto"/>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2</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Mišrus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5</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Nuotolinis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3</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0</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&gt;5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Nuotolinis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17</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9</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&gt;5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Mišrus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4</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0</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&gt;5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Mišrus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5</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3</w:t>
            </w:r>
          </w:p>
        </w:tc>
      </w:tr>
      <w:tr w:rsidR="00C66C7D" w:rsidRPr="006740E5" w:rsidTr="008222E8">
        <w:trPr>
          <w:jc w:val="center"/>
        </w:trPr>
        <w:tc>
          <w:tcPr>
            <w:tcW w:w="2127" w:type="dxa"/>
            <w:tcBorders>
              <w:lef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Dalinis</w:t>
            </w:r>
          </w:p>
        </w:tc>
        <w:tc>
          <w:tcPr>
            <w:tcW w:w="850"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&gt;5 m.</w:t>
            </w:r>
          </w:p>
        </w:tc>
        <w:tc>
          <w:tcPr>
            <w:tcW w:w="113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Mišrus</w:t>
            </w:r>
          </w:p>
        </w:tc>
        <w:tc>
          <w:tcPr>
            <w:tcW w:w="1984" w:type="dxa"/>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9</w:t>
            </w:r>
          </w:p>
        </w:tc>
        <w:tc>
          <w:tcPr>
            <w:tcW w:w="1560" w:type="dxa"/>
            <w:tcBorders>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3</w:t>
            </w:r>
          </w:p>
        </w:tc>
      </w:tr>
      <w:tr w:rsidR="00C66C7D" w:rsidRPr="006740E5" w:rsidTr="008222E8">
        <w:trPr>
          <w:jc w:val="center"/>
        </w:trPr>
        <w:tc>
          <w:tcPr>
            <w:tcW w:w="2127" w:type="dxa"/>
            <w:tcBorders>
              <w:left w:val="single" w:sz="12" w:space="0" w:color="auto"/>
              <w:bottom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Visiškas</w:t>
            </w:r>
          </w:p>
        </w:tc>
        <w:tc>
          <w:tcPr>
            <w:tcW w:w="850" w:type="dxa"/>
            <w:tcBorders>
              <w:bottom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&gt;5 m.</w:t>
            </w:r>
          </w:p>
        </w:tc>
        <w:tc>
          <w:tcPr>
            <w:tcW w:w="1134" w:type="dxa"/>
            <w:tcBorders>
              <w:bottom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Mišrus</w:t>
            </w:r>
          </w:p>
        </w:tc>
        <w:tc>
          <w:tcPr>
            <w:tcW w:w="1984" w:type="dxa"/>
            <w:tcBorders>
              <w:bottom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19</w:t>
            </w:r>
          </w:p>
        </w:tc>
        <w:tc>
          <w:tcPr>
            <w:tcW w:w="1560" w:type="dxa"/>
            <w:tcBorders>
              <w:bottom w:val="single" w:sz="12" w:space="0" w:color="auto"/>
              <w:right w:val="single" w:sz="12" w:space="0" w:color="auto"/>
            </w:tcBorders>
            <w:vAlign w:val="center"/>
          </w:tcPr>
          <w:p w:rsidR="00C66C7D" w:rsidRPr="006740E5" w:rsidRDefault="00C66C7D" w:rsidP="008222E8">
            <w:pPr>
              <w:tabs>
                <w:tab w:val="left" w:pos="-6379"/>
              </w:tabs>
              <w:spacing w:after="0"/>
              <w:jc w:val="center"/>
              <w:rPr>
                <w:rFonts w:ascii="Times New Roman" w:hAnsi="Times New Roman"/>
                <w:sz w:val="20"/>
                <w:szCs w:val="20"/>
              </w:rPr>
            </w:pPr>
            <w:r w:rsidRPr="006740E5">
              <w:rPr>
                <w:rFonts w:ascii="Times New Roman" w:hAnsi="Times New Roman"/>
                <w:sz w:val="20"/>
                <w:szCs w:val="20"/>
              </w:rPr>
              <w:t>2</w:t>
            </w:r>
          </w:p>
        </w:tc>
      </w:tr>
    </w:tbl>
    <w:p w:rsidR="00C66C7D" w:rsidRPr="006740E5" w:rsidRDefault="00C66C7D" w:rsidP="00FB15B3">
      <w:pPr>
        <w:tabs>
          <w:tab w:val="left" w:pos="-6379"/>
        </w:tabs>
        <w:spacing w:after="0" w:line="360" w:lineRule="auto"/>
        <w:ind w:firstLine="567"/>
        <w:jc w:val="both"/>
        <w:rPr>
          <w:rFonts w:ascii="Times New Roman" w:hAnsi="Times New Roman"/>
          <w:sz w:val="24"/>
          <w:szCs w:val="24"/>
        </w:rPr>
      </w:pP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Beveik visi respondentai – net septyni iš aštuonių (tai sudaro 87,5 proc. apklaustųjų) yra visiškai savarankiški subjektai savo veiklos efektyvumo skatinimo sprendimus priimantys remdamiesi </w:t>
      </w:r>
      <w:r w:rsidRPr="006740E5">
        <w:rPr>
          <w:rFonts w:ascii="Times New Roman" w:hAnsi="Times New Roman"/>
          <w:sz w:val="24"/>
          <w:szCs w:val="24"/>
        </w:rPr>
        <w:br/>
        <w:t xml:space="preserve">sava patirtimi ir individualiu požiūriu ir rinkos padėtį. Aštuntasis respondentas veikia dalinai </w:t>
      </w:r>
      <w:r w:rsidRPr="006740E5">
        <w:rPr>
          <w:rFonts w:ascii="Times New Roman" w:hAnsi="Times New Roman"/>
          <w:sz w:val="24"/>
          <w:szCs w:val="24"/>
        </w:rPr>
        <w:lastRenderedPageBreak/>
        <w:t>savarankiškai – veikia kaip dukterinė įmonė. Pagal LR Akcinių bendrovių įstatymo (Žin.,</w:t>
      </w:r>
      <w:r w:rsidRPr="006740E5">
        <w:rPr>
          <w:rFonts w:ascii="Times New Roman" w:hAnsi="Times New Roman"/>
          <w:caps/>
          <w:sz w:val="24"/>
          <w:szCs w:val="24"/>
        </w:rPr>
        <w:t xml:space="preserve"> 2010, 1−22</w:t>
      </w:r>
      <w:r w:rsidRPr="006740E5">
        <w:rPr>
          <w:rFonts w:ascii="Times New Roman" w:hAnsi="Times New Roman"/>
          <w:sz w:val="24"/>
          <w:szCs w:val="24"/>
        </w:rPr>
        <w:t xml:space="preserve">) penktą straipsnį, dukterinė įmonė savarankiškai priima sprendimus, tačiau patronuojanti (motininė) įmonė tam tikrų akcininkų balsų skaičiumi gali atšaukti dukterinės įmonės sprendimus. Šiame tyrime aktualu, kad respondentai priimantys spendimus patys analizuotų aplinką, dukterinės įmonės statusą turintys subjektai patys analizuoja aplinką prieš priimdami sprendimą, tuo remiantis laikytina, </w:t>
      </w:r>
      <w:r w:rsidRPr="006740E5">
        <w:rPr>
          <w:rFonts w:ascii="Times New Roman" w:hAnsi="Times New Roman"/>
          <w:sz w:val="24"/>
          <w:szCs w:val="24"/>
        </w:rPr>
        <w:br/>
        <w:t xml:space="preserve">kad visi respondentai atitinka iškeltąjį Savarankiškumo priimant sprendimus kriterijų. </w:t>
      </w:r>
      <w:r w:rsidRPr="006740E5">
        <w:rPr>
          <w:rFonts w:ascii="Times New Roman" w:hAnsi="Times New Roman"/>
          <w:sz w:val="24"/>
          <w:szCs w:val="24"/>
        </w:rPr>
        <w:br/>
        <w:t xml:space="preserve">Visi respondentai pašto rinkoje dalyvauja ilgiau nei vienerius metus: trys įmonės (tai sudaro 37,5 proc. apklaustųjų) veiklą vykdo nuo vienerių iki penkerių metų, jos savo veiklą pradėjo intensyviau liberalizuojamos pašto rinkos laikotarpiu, keturios (tai sudaro 50 proc. apklaustųjų) įmonės veiklą sėkmingai vykdo jau ilgiau nei penkerius metus, jos savo veiklą pradėjo dar stiprios </w:t>
      </w:r>
      <w:r w:rsidRPr="006740E5">
        <w:rPr>
          <w:rFonts w:ascii="Times New Roman" w:hAnsi="Times New Roman"/>
          <w:sz w:val="24"/>
          <w:szCs w:val="24"/>
        </w:rPr>
        <w:br/>
        <w:t xml:space="preserve">AB ,,Lietuvos paštas’’ monopolijos laikotarpiu. Remiantis tuo, kad ilgiau veikiančios įmonės sugeba išsilaikyti net griežtai valstybės reguliuojamoje rinkoje, o iki penkerių metų veikiančios įmonės </w:t>
      </w:r>
      <w:r w:rsidRPr="006740E5">
        <w:rPr>
          <w:rFonts w:ascii="Times New Roman" w:hAnsi="Times New Roman"/>
          <w:sz w:val="24"/>
          <w:szCs w:val="24"/>
        </w:rPr>
        <w:br/>
        <w:t xml:space="preserve">yra pelningos ir pamažu plečia veiklą, laikytina, kad respondentai atitinka iškeltąjį Veiklos trukmės kriterijų. Organizuodami savo veiklą ir teikdami paslaugas visi respondentai teigė taikantys modernius metodus – nei viena įmonė, iš apklaustųjų, savo veiklos vykdymo aplinkos neįvertino kaip griežtai tradicinės, kuomet </w:t>
      </w:r>
      <w:r w:rsidRPr="006740E5">
        <w:rPr>
          <w:rFonts w:ascii="Times New Roman" w:hAnsi="Times New Roman"/>
          <w:sz w:val="24"/>
          <w:szCs w:val="24"/>
          <w:lang w:eastAsia="lt-LT"/>
        </w:rPr>
        <w:t xml:space="preserve">visi su įmonės veikla susiję klausimai yra tvarkomi akis į akį biure, </w:t>
      </w:r>
      <w:r w:rsidRPr="006740E5">
        <w:rPr>
          <w:rFonts w:ascii="Times New Roman" w:hAnsi="Times New Roman"/>
          <w:sz w:val="24"/>
          <w:szCs w:val="24"/>
          <w:lang w:eastAsia="lt-LT"/>
        </w:rPr>
        <w:br/>
        <w:t>klientų aptarnavimo padalinyje ar per partnerius</w:t>
      </w:r>
      <w:r w:rsidRPr="006740E5">
        <w:rPr>
          <w:rFonts w:ascii="Times New Roman" w:hAnsi="Times New Roman"/>
          <w:sz w:val="24"/>
          <w:szCs w:val="24"/>
        </w:rPr>
        <w:t xml:space="preserve">. Pristatydami savo veiklos organizavimo aplinką penki respondentai (tai sudaro 62,5 proc. apklaustųjų) ją įvertino kaip mišrią, trys respondentai </w:t>
      </w:r>
      <w:r w:rsidRPr="006740E5">
        <w:rPr>
          <w:rFonts w:ascii="Times New Roman" w:hAnsi="Times New Roman"/>
          <w:sz w:val="24"/>
          <w:szCs w:val="24"/>
        </w:rPr>
        <w:br/>
        <w:t xml:space="preserve">(tai sudaro 37,5 proc. apklaustųjų) teigė organizuojantys savo veiklą išimtinai nuotoliniu būdu. Remiantis tuo, kad nei viena įmonė neveikia išskirtinai tradiciniais būdais, laikytina, kad respondentai atitinka iškeltąjį Veikimo būdo kriterijų. Pagal teikiamų tradicinių paslaugų skaičių respondentai pasiskirstė gana netolygiai, tai rodo skirtingą požiūrį į rinką ir/ar skirtingus gebėjimus prisitaikyti prie rinkos sąlygų. Tikėtina, kad plačiau veikiantys ir/ar modernius veikimo būdus naudojantys subjektai teiktų platesnį paslaugų spektrą, nes sėkmingai vykdo veiklą ir turi pakankamai efektyviai valdomus išteklius, tačiau nėra jokių reikšmingų ryšių tarp konkretų veikimo būdą ar veikimo teritoriją pasirinkusių subjektų ir teikiamų tradicinių paslaugų skaičiaus. Gauti duomenys neleidžia teigti, </w:t>
      </w:r>
      <w:r w:rsidRPr="006740E5">
        <w:rPr>
          <w:rFonts w:ascii="Times New Roman" w:hAnsi="Times New Roman"/>
          <w:sz w:val="24"/>
          <w:szCs w:val="24"/>
        </w:rPr>
        <w:br/>
        <w:t xml:space="preserve">kad respondentai visiškai atitiktų iškeltąjį Teikiamų tradicinių paslaugų skaičiaus kriterijų, tačiau tokių įvairiapusių respondentų nuomonių analizė naudinga tuo, kad pateikia skirtingą padėti rinkoje užimančių subjektų požiūrius ir nuomonę. Pagal teikiamų e. paslaugų skaičių respondentai pasiskirstė gan netolygiai: po du respondentus (tai sudaro 25 proc. apklaustųjų) teigė: visiškai neteikiantys </w:t>
      </w:r>
      <w:r w:rsidRPr="006740E5">
        <w:rPr>
          <w:rFonts w:ascii="Times New Roman" w:hAnsi="Times New Roman"/>
          <w:sz w:val="24"/>
          <w:szCs w:val="24"/>
        </w:rPr>
        <w:br/>
        <w:t xml:space="preserve">e. paslaugų, teikiantys dvi e. paslaugas, teikiantys tris paslaugas; po vieną respondentą (tai sudaro </w:t>
      </w:r>
      <w:r w:rsidRPr="006740E5">
        <w:rPr>
          <w:rFonts w:ascii="Times New Roman" w:hAnsi="Times New Roman"/>
          <w:sz w:val="24"/>
          <w:szCs w:val="24"/>
        </w:rPr>
        <w:br/>
        <w:t xml:space="preserve">12,5 proc. apklaustųjų) teigė teikiantys vieną ir devynias e. paslaugas. Laikytina, kad respondentai atitinka iškeltąjį Teikiamų E. paslaugų skaičiaus kriterijų, nes 75 proc. įmonių dalyvaujančių tyrime jau teikia e. paslaugas ir visos planuoja papildyti jų spektrą ar pradėti teikti e. paslaugas. </w:t>
      </w:r>
      <w:r w:rsidRPr="006740E5">
        <w:rPr>
          <w:rFonts w:ascii="Times New Roman" w:hAnsi="Times New Roman"/>
          <w:sz w:val="24"/>
          <w:szCs w:val="24"/>
        </w:rPr>
        <w:br/>
        <w:t xml:space="preserve">Remiantis respondentų kompetencijos analize, galima teigti, jog apklaustieji su dalyvavimo rinkoje </w:t>
      </w:r>
      <w:r w:rsidRPr="006740E5">
        <w:rPr>
          <w:rFonts w:ascii="Times New Roman" w:hAnsi="Times New Roman"/>
          <w:sz w:val="24"/>
          <w:szCs w:val="24"/>
        </w:rPr>
        <w:lastRenderedPageBreak/>
        <w:t xml:space="preserve">metodais susijusius sprendimus priima patys įvertindami situaciją rinkoje, stabiliai vykdo veiklą, </w:t>
      </w:r>
      <w:r w:rsidRPr="006740E5">
        <w:rPr>
          <w:rFonts w:ascii="Times New Roman" w:hAnsi="Times New Roman"/>
          <w:sz w:val="24"/>
          <w:szCs w:val="24"/>
        </w:rPr>
        <w:br/>
        <w:t>gerai pažįsta Lietuvos pašto rinką, veikloje taiko modernius metodus ir siūlo gana platų paslaugų spektrą, todėl yra kompetentingi vertinti Lietuvos pašto rinką ir AB ,,Lietuvos paštas’’ konkurencingumą Lietuvos pašto rinkoje.</w:t>
      </w: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Siekiant atskleisti dabartinę Lietuvos pašto rinkos padėtį ir AB ,,Lietuvos paštas’’ vaidmenį joje yra būtina išanalizuoti valstybinio pašto paslaugų teikėjo padėtį potencialių investuotojų požiūriu, pašto srities įmonių veiklos organizavimo aplinką, teikiamas paslaugas ir taikomą atsiskaitymų formą. Potencialių investuotojų požiūrio analizė pateikta 11 pav. atskleidė AB ,,Lietuvos paštas’’ nepalankų tendencingumą.</w:t>
      </w:r>
    </w:p>
    <w:p w:rsidR="00C66C7D" w:rsidRPr="006740E5" w:rsidRDefault="00FB614B" w:rsidP="00FB15B3">
      <w:pPr>
        <w:tabs>
          <w:tab w:val="left" w:pos="-6379"/>
        </w:tabs>
        <w:spacing w:after="0" w:line="360" w:lineRule="auto"/>
        <w:jc w:val="center"/>
        <w:rPr>
          <w:rFonts w:ascii="Times New Roman" w:hAnsi="Times New Roman"/>
          <w:iCs/>
          <w:sz w:val="24"/>
          <w:szCs w:val="24"/>
        </w:rPr>
      </w:pPr>
      <w:r w:rsidRPr="006740E5">
        <w:rPr>
          <w:rFonts w:ascii="Times New Roman" w:hAnsi="Times New Roman"/>
          <w:sz w:val="24"/>
          <w:szCs w:val="24"/>
          <w:lang w:eastAsia="lt-LT"/>
        </w:rPr>
        <w:drawing>
          <wp:inline distT="0" distB="0" distL="0" distR="0">
            <wp:extent cx="5474144" cy="947450"/>
            <wp:effectExtent l="19050" t="0" r="12256" b="5050"/>
            <wp:docPr id="13" name="Picture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66C7D" w:rsidRPr="006740E5" w:rsidRDefault="00C66C7D" w:rsidP="00FB15B3">
      <w:pPr>
        <w:tabs>
          <w:tab w:val="left" w:pos="-6379"/>
        </w:tabs>
        <w:spacing w:after="240" w:line="360" w:lineRule="auto"/>
        <w:ind w:firstLine="567"/>
        <w:jc w:val="center"/>
        <w:rPr>
          <w:rFonts w:ascii="Times New Roman" w:hAnsi="Times New Roman"/>
          <w:b/>
          <w:sz w:val="24"/>
          <w:szCs w:val="24"/>
        </w:rPr>
      </w:pPr>
      <w:r w:rsidRPr="006740E5">
        <w:rPr>
          <w:rFonts w:ascii="Times New Roman" w:hAnsi="Times New Roman"/>
          <w:sz w:val="24"/>
          <w:szCs w:val="24"/>
        </w:rPr>
        <w:t xml:space="preserve">11 pav. </w:t>
      </w:r>
      <w:r w:rsidRPr="006740E5">
        <w:rPr>
          <w:rFonts w:ascii="Times New Roman" w:hAnsi="Times New Roman"/>
          <w:b/>
          <w:sz w:val="24"/>
          <w:szCs w:val="24"/>
        </w:rPr>
        <w:t>Potencialių investuotojų požiūrio į AB ,,Lietuvos paštas’’ analizė (vnt.)</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iCs/>
          <w:sz w:val="24"/>
          <w:szCs w:val="24"/>
        </w:rPr>
        <w:t xml:space="preserve">AB ,,Lietuvos paštas’’ patrauklumo galimiems investuotojams tyrimas parodė, kad respondentai valstybinį pašto paslaugų teikėjo nelaiko konkurencingu pašto rinkos dalyviu – du respondentai </w:t>
      </w:r>
      <w:r w:rsidRPr="006740E5">
        <w:rPr>
          <w:rFonts w:ascii="Times New Roman" w:hAnsi="Times New Roman"/>
          <w:iCs/>
          <w:sz w:val="24"/>
          <w:szCs w:val="24"/>
        </w:rPr>
        <w:br/>
      </w:r>
      <w:r w:rsidRPr="006740E5">
        <w:rPr>
          <w:rFonts w:ascii="Times New Roman" w:hAnsi="Times New Roman"/>
          <w:sz w:val="24"/>
          <w:szCs w:val="24"/>
        </w:rPr>
        <w:t xml:space="preserve">(tai sudaro 25 proc. apklaustųjų) </w:t>
      </w:r>
      <w:r w:rsidRPr="006740E5">
        <w:rPr>
          <w:rFonts w:ascii="Times New Roman" w:hAnsi="Times New Roman"/>
          <w:iCs/>
          <w:sz w:val="24"/>
          <w:szCs w:val="24"/>
        </w:rPr>
        <w:t xml:space="preserve">AB ,,Lietuvos paštas’’ laiko subjektu turinčiu reikšmingų problemų, kurias pašalinus subjektas turi potencialą sėkmei, keturi respondentai </w:t>
      </w:r>
      <w:r w:rsidRPr="006740E5">
        <w:rPr>
          <w:rFonts w:ascii="Times New Roman" w:hAnsi="Times New Roman"/>
          <w:sz w:val="24"/>
          <w:szCs w:val="24"/>
        </w:rPr>
        <w:t xml:space="preserve">(tai sudaro 50 proc. apklaustųjų) </w:t>
      </w:r>
      <w:r w:rsidRPr="006740E5">
        <w:rPr>
          <w:rFonts w:ascii="Times New Roman" w:hAnsi="Times New Roman"/>
          <w:iCs/>
          <w:sz w:val="24"/>
          <w:szCs w:val="24"/>
        </w:rPr>
        <w:t xml:space="preserve">mato valstybinį pašto paslaugų teikėją kaip nekonkurencingą ir gan sparčiai užleidžiantį turimą rinką konkurentams, todėl teigia, kad investuoti į jo veiklą nesiryžtų, visgi du respondentai </w:t>
      </w:r>
      <w:r w:rsidRPr="006740E5">
        <w:rPr>
          <w:rFonts w:ascii="Times New Roman" w:hAnsi="Times New Roman"/>
          <w:sz w:val="24"/>
          <w:szCs w:val="24"/>
        </w:rPr>
        <w:t xml:space="preserve">(tai sudaro </w:t>
      </w:r>
      <w:r w:rsidRPr="006740E5">
        <w:rPr>
          <w:rFonts w:ascii="Times New Roman" w:hAnsi="Times New Roman"/>
          <w:sz w:val="24"/>
          <w:szCs w:val="24"/>
        </w:rPr>
        <w:br/>
        <w:t xml:space="preserve">25 proc. apklaustųjų) </w:t>
      </w:r>
      <w:r w:rsidRPr="006740E5">
        <w:rPr>
          <w:rFonts w:ascii="Times New Roman" w:hAnsi="Times New Roman"/>
          <w:iCs/>
          <w:sz w:val="24"/>
          <w:szCs w:val="24"/>
        </w:rPr>
        <w:t xml:space="preserve">įžvelgia AB ,,Lietuvos paštas’’ konkurencinę naudą net ir dabartiniu metu, </w:t>
      </w:r>
      <w:r w:rsidRPr="006740E5">
        <w:rPr>
          <w:rFonts w:ascii="Times New Roman" w:hAnsi="Times New Roman"/>
          <w:iCs/>
          <w:sz w:val="24"/>
          <w:szCs w:val="24"/>
        </w:rPr>
        <w:br/>
        <w:t xml:space="preserve">ir mano, kad būtų verta investuoti į subjekto veiklą. Potencialių investuotojų požiūrio </w:t>
      </w:r>
      <w:r w:rsidRPr="006740E5">
        <w:rPr>
          <w:rFonts w:ascii="Times New Roman" w:hAnsi="Times New Roman"/>
          <w:iCs/>
          <w:sz w:val="24"/>
          <w:szCs w:val="24"/>
        </w:rPr>
        <w:br/>
        <w:t xml:space="preserve">į AB ,,Lietuvos paštas’’ analizė parodė, kad net 75 proc. jų mato AB ,,Lietuvos paštas’’ kaip šiuo metu neefektyviai veikiantį pašto paslaugų teikėją </w:t>
      </w:r>
      <w:r w:rsidRPr="006740E5">
        <w:rPr>
          <w:rFonts w:ascii="Times New Roman" w:hAnsi="Times New Roman"/>
          <w:sz w:val="24"/>
          <w:szCs w:val="24"/>
        </w:rPr>
        <w:t xml:space="preserve">turintį reikšmingų konkuravimo rinkoje problemų, </w:t>
      </w:r>
      <w:r w:rsidRPr="006740E5">
        <w:rPr>
          <w:rFonts w:ascii="Times New Roman" w:hAnsi="Times New Roman"/>
          <w:sz w:val="24"/>
          <w:szCs w:val="24"/>
        </w:rPr>
        <w:br/>
        <w:t>kurios nesprendžiamos ilgainiui prives įmonę prie visiško rinkos praradimo.</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AB ,,Lietuvos paštas’’ ir kitų Lietuvos pašto rinkos atstovų teikiamų paslaugų spektro lyginamoji analizė atskleidė labai platų valstybinio pašto paslaugų teikėjo siūlomų paslaugų spektrą, </w:t>
      </w:r>
      <w:r w:rsidRPr="006740E5">
        <w:rPr>
          <w:rFonts w:ascii="Times New Roman" w:hAnsi="Times New Roman"/>
          <w:sz w:val="24"/>
          <w:szCs w:val="24"/>
        </w:rPr>
        <w:br/>
        <w:t xml:space="preserve">kurį respondentai įvertino teigiamai. Šeši respondentai (tai sudaro 75 proc. apklaustųjų) mano, </w:t>
      </w:r>
      <w:r w:rsidRPr="006740E5">
        <w:rPr>
          <w:rFonts w:ascii="Times New Roman" w:hAnsi="Times New Roman"/>
          <w:sz w:val="24"/>
          <w:szCs w:val="24"/>
        </w:rPr>
        <w:br/>
        <w:t>kad platus paslaugų spektras AB ,,Lietuvos paštas’’ yra naudingas, nes jis</w:t>
      </w:r>
      <w:r w:rsidRPr="006740E5">
        <w:rPr>
          <w:rFonts w:ascii="Times New Roman" w:hAnsi="Times New Roman"/>
          <w:sz w:val="24"/>
          <w:szCs w:val="24"/>
          <w:lang w:eastAsia="lt-LT"/>
        </w:rPr>
        <w:t xml:space="preserve"> sukuria saugumo mechanizmą – vienų paslaugų nepopuliarumo atveju prarandamos pajamos yra kompensuojamos sėkmingai plėtojant kitas paslaugas, o priešingą nuomonę, kad platus paslaugų spektras žalingas, </w:t>
      </w:r>
      <w:r w:rsidRPr="006740E5">
        <w:rPr>
          <w:rFonts w:ascii="Times New Roman" w:hAnsi="Times New Roman"/>
          <w:sz w:val="24"/>
          <w:szCs w:val="24"/>
          <w:lang w:eastAsia="lt-LT"/>
        </w:rPr>
        <w:br/>
        <w:t xml:space="preserve">nes eikvoja daugiau administracinių ir kitų išteklių nei sukuria ekonominės naudos įmonei, išreiškė </w:t>
      </w:r>
      <w:r w:rsidRPr="006740E5">
        <w:rPr>
          <w:rFonts w:ascii="Times New Roman" w:hAnsi="Times New Roman"/>
          <w:sz w:val="24"/>
          <w:szCs w:val="24"/>
          <w:lang w:eastAsia="lt-LT"/>
        </w:rPr>
        <w:br/>
        <w:t xml:space="preserve">tik du respondentai </w:t>
      </w:r>
      <w:r w:rsidRPr="006740E5">
        <w:rPr>
          <w:rFonts w:ascii="Times New Roman" w:hAnsi="Times New Roman"/>
          <w:sz w:val="24"/>
          <w:szCs w:val="24"/>
        </w:rPr>
        <w:t xml:space="preserve">(tai sudaro 25 proc. apklaustųjų). Paslaugų spektro analizės metu išryškėjo </w:t>
      </w:r>
      <w:r w:rsidRPr="006740E5">
        <w:rPr>
          <w:rFonts w:ascii="Times New Roman" w:hAnsi="Times New Roman"/>
          <w:sz w:val="24"/>
          <w:szCs w:val="24"/>
        </w:rPr>
        <w:br/>
        <w:t xml:space="preserve">dar viena priežastis plataus paslaugų spektro išlaikymo būtinybei: visos tyrime dalyvavusios įmonės </w:t>
      </w:r>
      <w:r w:rsidRPr="006740E5">
        <w:rPr>
          <w:rFonts w:ascii="Times New Roman" w:hAnsi="Times New Roman"/>
          <w:sz w:val="24"/>
          <w:szCs w:val="24"/>
        </w:rPr>
        <w:lastRenderedPageBreak/>
        <w:t xml:space="preserve">teikia pasiuntinių, pašto siuntų ir pašto korespondencijos paslaugas – stambiąsias pagal apimtį </w:t>
      </w:r>
      <w:r w:rsidRPr="006740E5">
        <w:rPr>
          <w:rFonts w:ascii="Times New Roman" w:hAnsi="Times New Roman"/>
          <w:sz w:val="24"/>
          <w:szCs w:val="24"/>
        </w:rPr>
        <w:br/>
        <w:t>ir pajamas (tuo pačiu ir didžiausią konkurenciją rinkoje turinčias) paslaugas, tačiau nei viena neteikia abonentinės dėžutės nuomos, siuntų/informacijos paruošimo, prenumeratos ir kt. – smulkiųjų pagal apimtį ir pajamas paslaugų (žr. 18 lentelę.). Smulkiosios paslaugos yra AB ,,Lietuvos paštas’’ unikalumas, potencialas Lietuvos pašto rinkoje, kurį įmonė turėtų kiek įmanoma geriau išnaudoti.</w:t>
      </w:r>
    </w:p>
    <w:p w:rsidR="00C66C7D" w:rsidRPr="006740E5" w:rsidRDefault="00C66C7D" w:rsidP="00FB15B3">
      <w:pPr>
        <w:tabs>
          <w:tab w:val="left" w:pos="-6379"/>
        </w:tabs>
        <w:spacing w:before="120"/>
        <w:jc w:val="center"/>
        <w:rPr>
          <w:rFonts w:ascii="Times New Roman" w:hAnsi="Times New Roman"/>
          <w:b/>
          <w:sz w:val="24"/>
          <w:szCs w:val="24"/>
        </w:rPr>
      </w:pPr>
      <w:r w:rsidRPr="006740E5">
        <w:rPr>
          <w:rFonts w:ascii="Times New Roman" w:hAnsi="Times New Roman"/>
          <w:b/>
          <w:sz w:val="24"/>
          <w:szCs w:val="24"/>
        </w:rPr>
        <w:t>18 lentelė.</w:t>
      </w:r>
      <w:r w:rsidRPr="006740E5">
        <w:rPr>
          <w:rFonts w:ascii="Times New Roman" w:hAnsi="Times New Roman"/>
          <w:sz w:val="24"/>
          <w:szCs w:val="24"/>
        </w:rPr>
        <w:t xml:space="preserve"> </w:t>
      </w:r>
      <w:r w:rsidRPr="006740E5">
        <w:rPr>
          <w:rFonts w:ascii="Times New Roman" w:hAnsi="Times New Roman"/>
          <w:b/>
          <w:iCs/>
          <w:sz w:val="24"/>
          <w:szCs w:val="24"/>
        </w:rPr>
        <w:t xml:space="preserve">AB ,,Lietuvos paštas’’ ir kitų Lietuvos pašto rinkos atstovų </w:t>
      </w:r>
      <w:r w:rsidRPr="006740E5">
        <w:rPr>
          <w:rFonts w:ascii="Times New Roman" w:hAnsi="Times New Roman"/>
          <w:b/>
          <w:iCs/>
          <w:sz w:val="24"/>
          <w:szCs w:val="24"/>
        </w:rPr>
        <w:br/>
        <w:t>teikiamų paslaugų spektro lyginamoji analizė</w:t>
      </w:r>
    </w:p>
    <w:tbl>
      <w:tblPr>
        <w:tblW w:w="0" w:type="auto"/>
        <w:jc w:val="center"/>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644"/>
        <w:gridCol w:w="3526"/>
      </w:tblGrid>
      <w:tr w:rsidR="00C66C7D" w:rsidRPr="006740E5" w:rsidTr="002C37AA">
        <w:trPr>
          <w:jc w:val="center"/>
        </w:trPr>
        <w:tc>
          <w:tcPr>
            <w:tcW w:w="3644" w:type="dxa"/>
            <w:tcBorders>
              <w:top w:val="single" w:sz="12" w:space="0" w:color="auto"/>
              <w:left w:val="single" w:sz="12" w:space="0" w:color="auto"/>
              <w:bottom w:val="single" w:sz="12" w:space="0" w:color="auto"/>
            </w:tcBorders>
            <w:shd w:val="pct5" w:color="auto" w:fill="auto"/>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
                <w:bCs/>
                <w:sz w:val="18"/>
                <w:szCs w:val="18"/>
              </w:rPr>
            </w:pPr>
            <w:r w:rsidRPr="006740E5">
              <w:rPr>
                <w:rFonts w:ascii="Times New Roman" w:hAnsi="Times New Roman"/>
                <w:b/>
                <w:bCs/>
                <w:sz w:val="18"/>
                <w:szCs w:val="18"/>
              </w:rPr>
              <w:t xml:space="preserve">AB ,,Lietuvos paštas’’ </w:t>
            </w:r>
            <w:r w:rsidRPr="006740E5">
              <w:rPr>
                <w:rFonts w:ascii="Times New Roman" w:hAnsi="Times New Roman"/>
                <w:b/>
                <w:bCs/>
                <w:sz w:val="18"/>
                <w:szCs w:val="18"/>
              </w:rPr>
              <w:br/>
              <w:t>teikiamos paslaugos</w:t>
            </w:r>
          </w:p>
        </w:tc>
        <w:tc>
          <w:tcPr>
            <w:tcW w:w="3526" w:type="dxa"/>
            <w:tcBorders>
              <w:top w:val="single" w:sz="12" w:space="0" w:color="auto"/>
              <w:bottom w:val="single" w:sz="12" w:space="0" w:color="auto"/>
              <w:right w:val="single" w:sz="12" w:space="0" w:color="auto"/>
            </w:tcBorders>
            <w:shd w:val="pct5" w:color="auto" w:fill="auto"/>
          </w:tcPr>
          <w:p w:rsidR="00C66C7D" w:rsidRPr="006740E5" w:rsidRDefault="00C66C7D" w:rsidP="002C37AA">
            <w:pPr>
              <w:tabs>
                <w:tab w:val="left" w:pos="-6379"/>
                <w:tab w:val="left" w:pos="567"/>
              </w:tabs>
              <w:spacing w:before="20" w:after="40" w:line="240" w:lineRule="auto"/>
              <w:jc w:val="center"/>
              <w:rPr>
                <w:rFonts w:ascii="Times New Roman" w:hAnsi="Times New Roman"/>
                <w:b/>
                <w:sz w:val="18"/>
                <w:szCs w:val="18"/>
              </w:rPr>
            </w:pPr>
            <w:r w:rsidRPr="006740E5">
              <w:rPr>
                <w:rFonts w:ascii="Times New Roman" w:hAnsi="Times New Roman"/>
                <w:b/>
                <w:sz w:val="18"/>
                <w:szCs w:val="18"/>
              </w:rPr>
              <w:t>Kiti rinkos dalyviai teikiantys analogiškas paslaugas (vnt.)</w:t>
            </w:r>
          </w:p>
        </w:tc>
      </w:tr>
      <w:tr w:rsidR="00C66C7D" w:rsidRPr="006740E5" w:rsidTr="002C37AA">
        <w:trPr>
          <w:jc w:val="center"/>
        </w:trPr>
        <w:tc>
          <w:tcPr>
            <w:tcW w:w="3644" w:type="dxa"/>
            <w:tcBorders>
              <w:top w:val="single" w:sz="12" w:space="0" w:color="auto"/>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Pašto korespondencijos</w:t>
            </w:r>
          </w:p>
        </w:tc>
        <w:tc>
          <w:tcPr>
            <w:tcW w:w="3526" w:type="dxa"/>
            <w:tcBorders>
              <w:top w:val="single" w:sz="12" w:space="0" w:color="auto"/>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8</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Pašto siuntų</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8</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Pasiuntinių (kurjerių) paslaugų</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8</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El. paslaugų</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7</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Reklaminio pašto</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4</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Pašto faksogramos</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1</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Pašto perlaidų</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0</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 xml:space="preserve">Prenumeratos </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0</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Prekyba</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0</w:t>
            </w:r>
          </w:p>
        </w:tc>
      </w:tr>
      <w:tr w:rsidR="00C66C7D" w:rsidRPr="006740E5" w:rsidTr="002C37AA">
        <w:trPr>
          <w:jc w:val="center"/>
        </w:trPr>
        <w:tc>
          <w:tcPr>
            <w:tcW w:w="3644" w:type="dxa"/>
            <w:tcBorders>
              <w:left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Siuntų/Informacijos paruošimas</w:t>
            </w:r>
          </w:p>
        </w:tc>
        <w:tc>
          <w:tcPr>
            <w:tcW w:w="3526" w:type="dxa"/>
            <w:tcBorders>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0</w:t>
            </w:r>
          </w:p>
        </w:tc>
      </w:tr>
      <w:tr w:rsidR="00C66C7D" w:rsidRPr="006740E5" w:rsidTr="002C37AA">
        <w:trPr>
          <w:jc w:val="center"/>
        </w:trPr>
        <w:tc>
          <w:tcPr>
            <w:tcW w:w="3644" w:type="dxa"/>
            <w:tcBorders>
              <w:left w:val="single" w:sz="12" w:space="0" w:color="auto"/>
              <w:bottom w:val="single" w:sz="12" w:space="0" w:color="auto"/>
            </w:tcBorders>
            <w:vAlign w:val="center"/>
          </w:tcPr>
          <w:p w:rsidR="00C66C7D" w:rsidRPr="006740E5" w:rsidRDefault="00C66C7D" w:rsidP="002C37AA">
            <w:pPr>
              <w:tabs>
                <w:tab w:val="left" w:pos="-6379"/>
                <w:tab w:val="left" w:pos="567"/>
              </w:tabs>
              <w:spacing w:before="20" w:after="40" w:line="240" w:lineRule="auto"/>
              <w:jc w:val="center"/>
              <w:rPr>
                <w:rFonts w:ascii="Times New Roman" w:hAnsi="Times New Roman"/>
                <w:bCs/>
                <w:sz w:val="18"/>
                <w:szCs w:val="18"/>
              </w:rPr>
            </w:pPr>
            <w:r w:rsidRPr="006740E5">
              <w:rPr>
                <w:rFonts w:ascii="Times New Roman" w:hAnsi="Times New Roman"/>
                <w:bCs/>
                <w:sz w:val="18"/>
                <w:szCs w:val="18"/>
              </w:rPr>
              <w:t>Abonentinės dėžutės nuoma</w:t>
            </w:r>
          </w:p>
        </w:tc>
        <w:tc>
          <w:tcPr>
            <w:tcW w:w="3526" w:type="dxa"/>
            <w:tcBorders>
              <w:bottom w:val="single" w:sz="12" w:space="0" w:color="auto"/>
              <w:right w:val="single" w:sz="12" w:space="0" w:color="auto"/>
            </w:tcBorders>
          </w:tcPr>
          <w:p w:rsidR="00C66C7D" w:rsidRPr="006740E5" w:rsidRDefault="00C66C7D" w:rsidP="002C37AA">
            <w:pPr>
              <w:tabs>
                <w:tab w:val="left" w:pos="-6379"/>
                <w:tab w:val="left" w:pos="567"/>
              </w:tabs>
              <w:spacing w:before="20" w:after="40" w:line="240" w:lineRule="auto"/>
              <w:jc w:val="center"/>
              <w:rPr>
                <w:rFonts w:ascii="Times New Roman" w:hAnsi="Times New Roman"/>
                <w:sz w:val="18"/>
                <w:szCs w:val="18"/>
              </w:rPr>
            </w:pPr>
            <w:r w:rsidRPr="006740E5">
              <w:rPr>
                <w:rFonts w:ascii="Times New Roman" w:hAnsi="Times New Roman"/>
                <w:sz w:val="18"/>
                <w:szCs w:val="18"/>
              </w:rPr>
              <w:t>0</w:t>
            </w:r>
          </w:p>
        </w:tc>
      </w:tr>
    </w:tbl>
    <w:p w:rsidR="00C66C7D" w:rsidRPr="006740E5" w:rsidRDefault="00C66C7D" w:rsidP="00FB15B3">
      <w:pPr>
        <w:tabs>
          <w:tab w:val="left" w:pos="-6379"/>
        </w:tabs>
        <w:spacing w:before="20" w:after="40" w:line="240" w:lineRule="auto"/>
        <w:ind w:firstLine="567"/>
        <w:jc w:val="both"/>
        <w:rPr>
          <w:rFonts w:ascii="Times New Roman" w:hAnsi="Times New Roman"/>
          <w:sz w:val="10"/>
          <w:szCs w:val="10"/>
        </w:rPr>
      </w:pP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Respondentai vertindami AB ,,Lietuvos paštas’’ paslaugų teikimą kryptingai teigė, jog yra būtinas elektroninis paslaugų organizavimas ir teikimas – nei vienas respondentas nepasisakė, </w:t>
      </w:r>
      <w:r w:rsidRPr="006740E5">
        <w:rPr>
          <w:rFonts w:ascii="Times New Roman" w:hAnsi="Times New Roman"/>
          <w:sz w:val="24"/>
          <w:szCs w:val="24"/>
        </w:rPr>
        <w:br/>
        <w:t xml:space="preserve">kad teikiamų paslaugų organizavimo ir teikimo perkėlimas į elektroninę erdvę (toliau – e. erdvę) nebūtų reikšmingas AB ,,Lietuvos paštas’’ patrauklumui investuotojų atžvilgiu. Išsiskyrė </w:t>
      </w:r>
      <w:r w:rsidRPr="006740E5">
        <w:rPr>
          <w:rFonts w:ascii="Times New Roman" w:hAnsi="Times New Roman"/>
          <w:sz w:val="24"/>
          <w:szCs w:val="24"/>
        </w:rPr>
        <w:br/>
        <w:t xml:space="preserve">tik respondentų nuomonės apie tai kokiu lygiu šios permainos būtų reikšmingos AB ,,Lietuvos paštas’’ potencialių investuotojų požiūriu. Paslaugų organizavimo perkėlimą į e. erdvę tiek kaip reikšmingai darantį įtaka subjekto patrauklumui, tiek kaip nežymiai galintį paveikti potencialių investuotojų nuomonę pasirinko po keturis respondentus (tai sudaro po 50 proc. apklaustųjų). Elektroninio paslaugų teikimo vertinimas atskleidė respondentus reikšmingiau vertinančius šią naujovę – šeši (tai sudaro </w:t>
      </w:r>
      <w:r w:rsidRPr="006740E5">
        <w:rPr>
          <w:rFonts w:ascii="Times New Roman" w:hAnsi="Times New Roman"/>
          <w:sz w:val="24"/>
          <w:szCs w:val="24"/>
        </w:rPr>
        <w:br/>
        <w:t xml:space="preserve">75 proc. apklaustųjų) respondentai mato šios naujovės įdiegimą kaip stiprinantį AB ,,Lietuvos paštas’’ padėtį rinkoje, o du respondentai (tai sudaro 25 proc. apklaustųjų) šios naujovės diegimą įvertino </w:t>
      </w:r>
      <w:r w:rsidRPr="006740E5">
        <w:rPr>
          <w:rFonts w:ascii="Times New Roman" w:hAnsi="Times New Roman"/>
          <w:sz w:val="24"/>
          <w:szCs w:val="24"/>
        </w:rPr>
        <w:br/>
        <w:t xml:space="preserve">kaip nors ir nežymų, bet teigiamą pokytį subjekto padėties stiprinimui rinkoje. Respondentai, </w:t>
      </w:r>
      <w:r w:rsidRPr="006740E5">
        <w:rPr>
          <w:rFonts w:ascii="Times New Roman" w:hAnsi="Times New Roman"/>
          <w:sz w:val="24"/>
          <w:szCs w:val="24"/>
        </w:rPr>
        <w:br/>
        <w:t xml:space="preserve">paslaugų organizavimo ir teikimo perkėlimą į e. erdvę įvertinę kaip reikšmingą, patys savo veiklą organizuoja nuotoliniu būdu, o e. paslaugas sėkmingai teikia jau ilgiau nei vienerius metus. </w:t>
      </w:r>
      <w:r w:rsidRPr="006740E5">
        <w:rPr>
          <w:rFonts w:ascii="Times New Roman" w:hAnsi="Times New Roman"/>
          <w:sz w:val="24"/>
          <w:szCs w:val="24"/>
        </w:rPr>
        <w:br/>
        <w:t xml:space="preserve">Veiklos organizavimas ir paslaugų teikimas e. erdvėje nėra naujas dalykas verslo sferoje, </w:t>
      </w:r>
      <w:r w:rsidRPr="006740E5">
        <w:rPr>
          <w:rFonts w:ascii="Times New Roman" w:hAnsi="Times New Roman"/>
          <w:sz w:val="24"/>
          <w:szCs w:val="24"/>
        </w:rPr>
        <w:br/>
        <w:t xml:space="preserve">atlikta analizė parodė, kad tai nėra revoliucinė naujiena jau ir Lietuvos pašto sektoriuje. E. erdvėje veikiantys pašto paslaugų subjektai veiklą vykdo sėkmingai ir stabiliai, todėl AB ,,Lietuvos paštas’’ svarbu savo veikloje pritaikyti e. priemones siekiant išsilaikyti rinkoje ir tai netgi galima pasiekti su minimalia rizika – valstybiniam pašto paslaugų teikėjui jau nereikia ieškoti naujo veiklos modelio </w:t>
      </w:r>
      <w:r w:rsidRPr="006740E5">
        <w:rPr>
          <w:rFonts w:ascii="Times New Roman" w:hAnsi="Times New Roman"/>
          <w:sz w:val="24"/>
          <w:szCs w:val="24"/>
        </w:rPr>
        <w:lastRenderedPageBreak/>
        <w:t>rizikingomis sąnaudomis, o jam tereikia pritaikyti jau kitų pašto sektoriaus dalyvių išbandytas priemones dalyvaujant rinkoje.</w:t>
      </w:r>
    </w:p>
    <w:p w:rsidR="00C66C7D" w:rsidRPr="006740E5" w:rsidRDefault="00C66C7D" w:rsidP="00FB15B3">
      <w:pPr>
        <w:tabs>
          <w:tab w:val="left" w:pos="-637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Nuotolinių veiklos organizavimo ir paslaugų teikimo būdų pasirinkimo priežasčių analizė atskleidė kryptingą požiūrį į ekonomiškumą: keturi respondentai </w:t>
      </w:r>
      <w:r w:rsidRPr="006740E5">
        <w:rPr>
          <w:rFonts w:ascii="Times New Roman" w:hAnsi="Times New Roman"/>
          <w:sz w:val="24"/>
          <w:szCs w:val="24"/>
        </w:rPr>
        <w:t xml:space="preserve">(tai sudaro 50 proc. apklaustųjų) </w:t>
      </w:r>
      <w:r w:rsidRPr="006740E5">
        <w:rPr>
          <w:rFonts w:ascii="Times New Roman" w:hAnsi="Times New Roman"/>
          <w:iCs/>
          <w:sz w:val="24"/>
          <w:szCs w:val="24"/>
        </w:rPr>
        <w:t xml:space="preserve">išreiškė priežastis susijusias tik su ekonominių sąnaudų mažinimo galimybe veiklą perkeliant </w:t>
      </w:r>
      <w:r w:rsidRPr="006740E5">
        <w:rPr>
          <w:rFonts w:ascii="Times New Roman" w:hAnsi="Times New Roman"/>
          <w:iCs/>
          <w:sz w:val="24"/>
          <w:szCs w:val="24"/>
        </w:rPr>
        <w:br/>
        <w:t xml:space="preserve">į e. erdvę, trys respondentai </w:t>
      </w:r>
      <w:r w:rsidRPr="006740E5">
        <w:rPr>
          <w:rFonts w:ascii="Times New Roman" w:hAnsi="Times New Roman"/>
          <w:sz w:val="24"/>
          <w:szCs w:val="24"/>
        </w:rPr>
        <w:t xml:space="preserve">(tai sudaro 37,5 proc. apklaustųjų) </w:t>
      </w:r>
      <w:r w:rsidRPr="006740E5">
        <w:rPr>
          <w:rFonts w:ascii="Times New Roman" w:hAnsi="Times New Roman"/>
          <w:iCs/>
          <w:sz w:val="24"/>
          <w:szCs w:val="24"/>
        </w:rPr>
        <w:t xml:space="preserve">pasirinko priežastis susijusias </w:t>
      </w:r>
      <w:r w:rsidRPr="006740E5">
        <w:rPr>
          <w:rFonts w:ascii="Times New Roman" w:hAnsi="Times New Roman"/>
          <w:iCs/>
          <w:sz w:val="24"/>
          <w:szCs w:val="24"/>
        </w:rPr>
        <w:br/>
        <w:t xml:space="preserve">ir su ekonominių sąnaudų mažinimu ir su kitų suinteresuotų šalių nauda ir tik vienas respondentas </w:t>
      </w:r>
      <w:r w:rsidRPr="006740E5">
        <w:rPr>
          <w:rFonts w:ascii="Times New Roman" w:hAnsi="Times New Roman"/>
          <w:iCs/>
          <w:sz w:val="24"/>
          <w:szCs w:val="24"/>
        </w:rPr>
        <w:br/>
      </w:r>
      <w:r w:rsidRPr="006740E5">
        <w:rPr>
          <w:rFonts w:ascii="Times New Roman" w:hAnsi="Times New Roman"/>
          <w:sz w:val="24"/>
          <w:szCs w:val="24"/>
        </w:rPr>
        <w:t xml:space="preserve">(tai sudaro 12,5 proc. apklaustųjų) </w:t>
      </w:r>
      <w:r w:rsidRPr="006740E5">
        <w:rPr>
          <w:rFonts w:ascii="Times New Roman" w:hAnsi="Times New Roman"/>
          <w:iCs/>
          <w:sz w:val="24"/>
          <w:szCs w:val="24"/>
        </w:rPr>
        <w:t xml:space="preserve">e. erdvės pasirinkimą grindė kitų suinteresuotų šalių nauda </w:t>
      </w:r>
      <w:r w:rsidRPr="006740E5">
        <w:rPr>
          <w:rFonts w:ascii="Times New Roman" w:hAnsi="Times New Roman"/>
          <w:iCs/>
          <w:sz w:val="24"/>
          <w:szCs w:val="24"/>
        </w:rPr>
        <w:br/>
      </w:r>
      <w:r w:rsidRPr="006740E5">
        <w:rPr>
          <w:rFonts w:ascii="Times New Roman" w:hAnsi="Times New Roman"/>
          <w:sz w:val="24"/>
          <w:szCs w:val="24"/>
        </w:rPr>
        <w:t>(žr. 12 pav.)</w:t>
      </w:r>
      <w:r w:rsidRPr="006740E5">
        <w:rPr>
          <w:rFonts w:ascii="Times New Roman" w:hAnsi="Times New Roman"/>
          <w:iCs/>
          <w:sz w:val="24"/>
          <w:szCs w:val="24"/>
        </w:rPr>
        <w:t>. Analizė parodė, kad socialinės atsakomybės ir partnerystės siekimas su suinteresuotomis šalimis vis dar yra silpnai vertinama Lietuvos pašto sektoriuje.</w:t>
      </w:r>
    </w:p>
    <w:p w:rsidR="00C66C7D" w:rsidRPr="006740E5" w:rsidRDefault="00C66C7D" w:rsidP="00FB15B3">
      <w:pPr>
        <w:tabs>
          <w:tab w:val="left" w:pos="-6379"/>
        </w:tabs>
        <w:spacing w:before="20" w:after="40" w:line="240" w:lineRule="auto"/>
        <w:ind w:firstLine="567"/>
        <w:jc w:val="both"/>
        <w:rPr>
          <w:rFonts w:ascii="Times New Roman" w:hAnsi="Times New Roman"/>
          <w:sz w:val="12"/>
          <w:szCs w:val="12"/>
        </w:rPr>
      </w:pPr>
    </w:p>
    <w:p w:rsidR="00C66C7D" w:rsidRPr="006740E5" w:rsidRDefault="00FB614B" w:rsidP="00FB15B3">
      <w:pPr>
        <w:tabs>
          <w:tab w:val="left" w:pos="-6379"/>
        </w:tabs>
        <w:spacing w:before="20" w:after="40" w:line="360" w:lineRule="auto"/>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5222661" cy="760163"/>
            <wp:effectExtent l="19050" t="0" r="16089" b="1837"/>
            <wp:docPr id="14"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66C7D" w:rsidRPr="006740E5" w:rsidRDefault="00C66C7D" w:rsidP="00FB15B3">
      <w:pPr>
        <w:tabs>
          <w:tab w:val="left" w:pos="-6379"/>
        </w:tabs>
        <w:spacing w:after="240"/>
        <w:jc w:val="center"/>
        <w:rPr>
          <w:rFonts w:ascii="Times New Roman" w:hAnsi="Times New Roman"/>
          <w:b/>
          <w:iCs/>
          <w:sz w:val="24"/>
          <w:szCs w:val="24"/>
        </w:rPr>
      </w:pPr>
      <w:r w:rsidRPr="006740E5">
        <w:rPr>
          <w:rFonts w:ascii="Times New Roman" w:hAnsi="Times New Roman"/>
          <w:iCs/>
          <w:sz w:val="24"/>
          <w:szCs w:val="24"/>
        </w:rPr>
        <w:t xml:space="preserve">12 pav. </w:t>
      </w:r>
      <w:r w:rsidRPr="006740E5">
        <w:rPr>
          <w:rFonts w:ascii="Times New Roman" w:hAnsi="Times New Roman"/>
          <w:b/>
          <w:iCs/>
          <w:sz w:val="24"/>
          <w:szCs w:val="24"/>
        </w:rPr>
        <w:t xml:space="preserve">Nuotolinių veiklos organizavimo ir paslaugų teikimo būdų pasirinkimo </w:t>
      </w:r>
      <w:r w:rsidRPr="006740E5">
        <w:rPr>
          <w:rFonts w:ascii="Times New Roman" w:hAnsi="Times New Roman"/>
          <w:b/>
          <w:iCs/>
          <w:sz w:val="24"/>
          <w:szCs w:val="24"/>
        </w:rPr>
        <w:br/>
        <w:t>priežasčių analizė (vnt.)</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Pašto sektoriaus įmonių paslaugų plėtros analizė atskleidė, kad tradicinių paslaugų plėtros įmonės neplanuoja – respondentų nuomone šiuo metu turimas paslaugų spektras jų veiklai </w:t>
      </w:r>
      <w:r w:rsidRPr="006740E5">
        <w:rPr>
          <w:rFonts w:ascii="Times New Roman" w:hAnsi="Times New Roman"/>
          <w:sz w:val="24"/>
          <w:szCs w:val="24"/>
        </w:rPr>
        <w:br/>
        <w:t>yra optimalus. Penki respondentai (tai sudaro 62,5 proc. apklaustųjų) visgi teigė, jog įmonėse planuojama pasiūlyti naujų e. paslaugų. Trys respondentai (tai sudaro 37,5 proc. apklaustųjų) neatskleidė planuojamų teikti e. paslaugų. Kiti respondentai įvardijo būsimas paslaugas: vieno respondento (tai sudaro 12,5 proc. apklaustųjų) teigimu planuojamos e. sąskaitos, elektroninės ataskaitos ir paslaugų valdymas interneto puslapyje; taip pat viena įmonė (tai sudaro 12,5 proc. apklaustųjų) rengiasi pristatyti paslaugą e. prenumerata (ji bus antroji įmonė pašto sektoriuje siūlanti šią paslaugą).</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Lietuvos pašto rinkoje teikiamų e. paslaugų analizė parodė, kad, žvelgiant iš informacinės visuomenės požiūrio taško, ši sritis dar menkai išvystyta (žr. 13 pav.). Interneto tinklalapius turi ir juose informaciją apie paslaugas teikia šešios (tai sudaro 75 proc. apklaustųjų) tyrime dalyvavusios įmonės, penki respondentai (tai sudaro 62,5 proc. apklaustųjų) teigė teikiantys siuntų sekimo internetu paslauga, du respondentai (tai sudaro 25 proc. apklaustųjų) teigė teikiantys įmokų ir mokesčių priėmimo paslaugą ir po viena respondentą (tai sudaro 12,5 proc. apklaustųjų) pasisakė teikiantys siuntų draudimo internetu, elektroninės prenumeratos (toliau – e. prenumeratos) ir elektroninių užsakymų (toliau – e. užsakymai) paslauga. Keturi respondentai (tai sudaro 50 proc. apklaustųjų) teigė teikiantys elektronines sąskaitas (toliau – e. sąskaitos). Trys respondentai (tai sudaro 37,5 proc. apklaustųjų) siūlo elektroninių atsiskaitymų (toliau – e. atsiskaitymai) už jų paslaugas galimybę bei </w:t>
      </w:r>
      <w:r w:rsidRPr="006740E5">
        <w:rPr>
          <w:rFonts w:ascii="Times New Roman" w:hAnsi="Times New Roman"/>
          <w:sz w:val="24"/>
          <w:szCs w:val="24"/>
        </w:rPr>
        <w:lastRenderedPageBreak/>
        <w:t xml:space="preserve">teikia informacijos paruošimo paslaugą (toliau – IPP). Viso sektoriuje teikiamos devynios </w:t>
      </w:r>
      <w:r w:rsidRPr="006740E5">
        <w:rPr>
          <w:rFonts w:ascii="Times New Roman" w:hAnsi="Times New Roman"/>
          <w:sz w:val="24"/>
          <w:szCs w:val="24"/>
        </w:rPr>
        <w:br/>
        <w:t>e. paslaugos, kurios buvo išvystytos maždaug per trejų metų laikotarpį. Nedidelis e. paslaugų skaičius rinkoje ir lėta jų plėtra rodo, kad e. paslaugos sektoriuje yra aktuali ir pelninga ir dar neužimta sfera, todėl AB ,,Lietuvos paštas’’ turėtų pasinaudoti turimu svariu išteklių pranašumu prieš konkurentus ir įsitvirtinti pašto sektoriaus e. paslaugų rinkoje, kol to nepadarė kiti.</w:t>
      </w:r>
    </w:p>
    <w:p w:rsidR="00C66C7D" w:rsidRPr="006740E5" w:rsidRDefault="00C66C7D" w:rsidP="00FB15B3">
      <w:pPr>
        <w:tabs>
          <w:tab w:val="left" w:pos="-6379"/>
        </w:tabs>
        <w:spacing w:before="20" w:after="40" w:line="240" w:lineRule="auto"/>
        <w:ind w:firstLine="567"/>
        <w:jc w:val="both"/>
        <w:rPr>
          <w:rFonts w:ascii="Times New Roman" w:hAnsi="Times New Roman"/>
          <w:sz w:val="6"/>
          <w:szCs w:val="6"/>
        </w:rPr>
      </w:pPr>
    </w:p>
    <w:p w:rsidR="00C66C7D" w:rsidRPr="006740E5" w:rsidRDefault="00FB614B" w:rsidP="00FB15B3">
      <w:pPr>
        <w:tabs>
          <w:tab w:val="left" w:pos="-6379"/>
          <w:tab w:val="left" w:pos="-6237"/>
        </w:tabs>
        <w:spacing w:before="20" w:after="40" w:line="360" w:lineRule="auto"/>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4842372" cy="2027104"/>
            <wp:effectExtent l="19050" t="0" r="15378" b="0"/>
            <wp:docPr id="15" name="Picture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66C7D" w:rsidRPr="006740E5" w:rsidRDefault="00C66C7D" w:rsidP="00FB15B3">
      <w:pPr>
        <w:tabs>
          <w:tab w:val="left" w:pos="-6379"/>
        </w:tabs>
        <w:spacing w:after="0" w:line="240" w:lineRule="auto"/>
        <w:ind w:firstLine="1134"/>
        <w:rPr>
          <w:rFonts w:ascii="Times New Roman" w:hAnsi="Times New Roman"/>
          <w:iCs/>
          <w:sz w:val="20"/>
          <w:szCs w:val="20"/>
        </w:rPr>
      </w:pPr>
      <w:r w:rsidRPr="006740E5">
        <w:rPr>
          <w:rFonts w:ascii="Times New Roman" w:hAnsi="Times New Roman"/>
          <w:iCs/>
          <w:sz w:val="20"/>
          <w:szCs w:val="20"/>
        </w:rPr>
        <w:t>*Respondentai galėjo pasirinkti daugiau nei vieną atsakymą.</w:t>
      </w:r>
    </w:p>
    <w:p w:rsidR="00C66C7D" w:rsidRPr="006740E5" w:rsidRDefault="00C66C7D" w:rsidP="00A57EE8">
      <w:pPr>
        <w:tabs>
          <w:tab w:val="left" w:pos="-6379"/>
        </w:tabs>
        <w:spacing w:after="120" w:line="360" w:lineRule="auto"/>
        <w:jc w:val="center"/>
        <w:rPr>
          <w:rFonts w:ascii="Times New Roman" w:hAnsi="Times New Roman"/>
          <w:b/>
          <w:iCs/>
          <w:sz w:val="24"/>
          <w:szCs w:val="24"/>
        </w:rPr>
      </w:pPr>
      <w:r w:rsidRPr="006740E5">
        <w:rPr>
          <w:rFonts w:ascii="Times New Roman" w:hAnsi="Times New Roman"/>
          <w:iCs/>
          <w:sz w:val="24"/>
          <w:szCs w:val="24"/>
        </w:rPr>
        <w:t xml:space="preserve">13 pav. </w:t>
      </w:r>
      <w:r w:rsidRPr="006740E5">
        <w:rPr>
          <w:rFonts w:ascii="Times New Roman" w:hAnsi="Times New Roman"/>
          <w:b/>
          <w:iCs/>
          <w:sz w:val="24"/>
          <w:szCs w:val="24"/>
        </w:rPr>
        <w:t>Lietuvos pašto rinkoje teikiamų e. paslaugų analizė (vnt.)</w:t>
      </w:r>
    </w:p>
    <w:p w:rsidR="00C66C7D" w:rsidRPr="006740E5" w:rsidRDefault="00C66C7D" w:rsidP="00FB15B3">
      <w:pPr>
        <w:tabs>
          <w:tab w:val="left" w:pos="-637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Taikomų atsiskaitymo metodų Lietuvos pašto rinkoje analizė (žr. 14 pav.) pateikė panašius rezultatus į e. paslaugų analizės metu gautą informaciją – atsiskaitymo būdų spektras yra nedidelis, patys būdai nėra inovatyvūs. Tyrimo metu visi aštuoni respondentai teigė, kad jų įmonėms </w:t>
      </w:r>
      <w:r w:rsidRPr="006740E5">
        <w:rPr>
          <w:rFonts w:ascii="Times New Roman" w:hAnsi="Times New Roman"/>
          <w:iCs/>
          <w:sz w:val="24"/>
          <w:szCs w:val="24"/>
        </w:rPr>
        <w:br/>
        <w:t xml:space="preserve">už paslaugas galima atsiskaitysi bankiniu pavedimu, keturi respondentai </w:t>
      </w:r>
      <w:r w:rsidRPr="006740E5">
        <w:rPr>
          <w:rFonts w:ascii="Times New Roman" w:hAnsi="Times New Roman"/>
          <w:sz w:val="24"/>
          <w:szCs w:val="24"/>
        </w:rPr>
        <w:t xml:space="preserve">(tai sudaro 50 proc. apklaustųjų) </w:t>
      </w:r>
      <w:r w:rsidRPr="006740E5">
        <w:rPr>
          <w:rFonts w:ascii="Times New Roman" w:hAnsi="Times New Roman"/>
          <w:iCs/>
          <w:sz w:val="24"/>
          <w:szCs w:val="24"/>
        </w:rPr>
        <w:t xml:space="preserve">pažymėjo, kad atsiskaitymas grynaisiais pinigai yra alternatyva jų įmonėje, </w:t>
      </w:r>
      <w:r w:rsidRPr="006740E5">
        <w:rPr>
          <w:rFonts w:ascii="Times New Roman" w:hAnsi="Times New Roman"/>
          <w:iCs/>
          <w:sz w:val="24"/>
          <w:szCs w:val="24"/>
        </w:rPr>
        <w:br/>
        <w:t xml:space="preserve">vienas respondentas </w:t>
      </w:r>
      <w:r w:rsidRPr="006740E5">
        <w:rPr>
          <w:rFonts w:ascii="Times New Roman" w:hAnsi="Times New Roman"/>
          <w:sz w:val="24"/>
          <w:szCs w:val="24"/>
        </w:rPr>
        <w:t>(tai sudaro 12,5 proc. apklaustųjų)</w:t>
      </w:r>
      <w:r w:rsidRPr="006740E5">
        <w:rPr>
          <w:rFonts w:ascii="Times New Roman" w:hAnsi="Times New Roman"/>
          <w:iCs/>
          <w:sz w:val="24"/>
          <w:szCs w:val="24"/>
        </w:rPr>
        <w:t xml:space="preserve"> teigė, kad jų įmonėje priimami apmokėjimai SMS žinute (tačiau tik už siuntos stebėjimą internetu), o dar vienas respondentas </w:t>
      </w:r>
      <w:r w:rsidRPr="006740E5">
        <w:rPr>
          <w:rFonts w:ascii="Times New Roman" w:hAnsi="Times New Roman"/>
          <w:sz w:val="24"/>
          <w:szCs w:val="24"/>
        </w:rPr>
        <w:t xml:space="preserve">(tai sudaro 12,5 proc. apklaustųjų) </w:t>
      </w:r>
      <w:r w:rsidRPr="006740E5">
        <w:rPr>
          <w:rFonts w:ascii="Times New Roman" w:hAnsi="Times New Roman"/>
          <w:iCs/>
          <w:sz w:val="24"/>
          <w:szCs w:val="24"/>
        </w:rPr>
        <w:t>pasirinko atsakymo variantą ,,kita‘‘, tačiau nepanoro patikslinti savo pasirinkimo. Remiantis analizės metu gautais duomenimis, galima daryti išvadą, kad šiuolaikinių technologinių galimybių apsuptyje AB ,,Lietuvos paštas’’ siekdamas būti konkurencingas rinkoje tikrai turi kur plėstis neieškodamas revoliucinio sprendimo atsiskaitymų sistemai optimizuoti.</w:t>
      </w:r>
    </w:p>
    <w:p w:rsidR="00C66C7D" w:rsidRPr="006740E5" w:rsidRDefault="00FB614B" w:rsidP="00FB15B3">
      <w:pPr>
        <w:tabs>
          <w:tab w:val="left" w:pos="-6379"/>
        </w:tabs>
        <w:spacing w:before="20" w:after="40" w:line="360" w:lineRule="auto"/>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4872883" cy="1531345"/>
            <wp:effectExtent l="19050" t="0" r="22967" b="0"/>
            <wp:docPr id="16"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66C7D" w:rsidRPr="006740E5" w:rsidRDefault="00C66C7D" w:rsidP="00FB15B3">
      <w:pPr>
        <w:tabs>
          <w:tab w:val="left" w:pos="-6379"/>
        </w:tabs>
        <w:spacing w:after="0" w:line="240" w:lineRule="auto"/>
        <w:ind w:firstLine="1134"/>
        <w:contextualSpacing/>
        <w:rPr>
          <w:rFonts w:ascii="Times New Roman" w:hAnsi="Times New Roman"/>
          <w:iCs/>
          <w:sz w:val="20"/>
          <w:szCs w:val="20"/>
        </w:rPr>
      </w:pPr>
      <w:r w:rsidRPr="006740E5">
        <w:rPr>
          <w:rFonts w:ascii="Times New Roman" w:hAnsi="Times New Roman"/>
          <w:iCs/>
          <w:sz w:val="20"/>
          <w:szCs w:val="20"/>
        </w:rPr>
        <w:t>*Respondentai galėjo pasirinkti daugiau nei vieną atsakymą.</w:t>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14 pav. </w:t>
      </w:r>
      <w:r w:rsidRPr="006740E5">
        <w:rPr>
          <w:rFonts w:ascii="Times New Roman" w:hAnsi="Times New Roman"/>
          <w:b/>
          <w:iCs/>
          <w:sz w:val="24"/>
          <w:szCs w:val="24"/>
        </w:rPr>
        <w:t>Taikomų atsiskaitymo metodų Lietuvos pašto rinkoje analizė (vnt.)</w:t>
      </w:r>
    </w:p>
    <w:p w:rsidR="00C66C7D" w:rsidRPr="006740E5" w:rsidRDefault="00C66C7D" w:rsidP="00FB15B3">
      <w:pPr>
        <w:tabs>
          <w:tab w:val="left" w:pos="-637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lastRenderedPageBreak/>
        <w:t xml:space="preserve">Valstybinės įmonės AB ,,Lietuvos paštas‘‘ ir kitų Lietuvos pašto rinkos dalyvių teikiamų </w:t>
      </w:r>
      <w:r w:rsidRPr="006740E5">
        <w:rPr>
          <w:rFonts w:ascii="Times New Roman" w:hAnsi="Times New Roman"/>
          <w:iCs/>
          <w:sz w:val="24"/>
          <w:szCs w:val="24"/>
        </w:rPr>
        <w:br/>
        <w:t xml:space="preserve">e. paslaugų analizė (vnt.) pateikta 15 paveiksle parodė, kad valstybinis pašto paslaugų teikėjas vos peržengia analizuojamų pašto paslaugų teikėjų teikiamų e. paslaugų skaičiaus vidurkį (vertinantį šį faktorių, reiktų atsižvelgti į tai, kad AB ,,Lietuvos paštas‘‘ savo dydžiu ir galimybėmis yra stipriai pranašesnė už nagrinėjamus jos konkurentus, todėl tik </w:t>
      </w:r>
      <w:r w:rsidR="0004279E" w:rsidRPr="006740E5">
        <w:rPr>
          <w:rFonts w:ascii="Times New Roman" w:hAnsi="Times New Roman"/>
          <w:iCs/>
          <w:sz w:val="24"/>
          <w:szCs w:val="24"/>
        </w:rPr>
        <w:t>pasiekti</w:t>
      </w:r>
      <w:r w:rsidRPr="006740E5">
        <w:rPr>
          <w:rFonts w:ascii="Times New Roman" w:hAnsi="Times New Roman"/>
          <w:iCs/>
          <w:sz w:val="24"/>
          <w:szCs w:val="24"/>
        </w:rPr>
        <w:t xml:space="preserve"> teikiamų e. paslaugų vidurkį yra labai žemas rodiklis valstybinei bendrovei). Analizuojamų pašto paslaugų teikėjų teikiamų </w:t>
      </w:r>
      <w:r w:rsidRPr="006740E5">
        <w:rPr>
          <w:rFonts w:ascii="Times New Roman" w:hAnsi="Times New Roman"/>
          <w:iCs/>
          <w:sz w:val="24"/>
          <w:szCs w:val="24"/>
        </w:rPr>
        <w:br/>
        <w:t xml:space="preserve">e. paslaugų spektrą sudaro devynios skirtingos paslaugos, tad e. paslaugų teikimo vidurkis yra </w:t>
      </w:r>
      <w:r w:rsidRPr="006740E5">
        <w:rPr>
          <w:rFonts w:ascii="Times New Roman" w:hAnsi="Times New Roman"/>
          <w:iCs/>
          <w:sz w:val="24"/>
          <w:szCs w:val="24"/>
        </w:rPr>
        <w:br/>
        <w:t xml:space="preserve">3,33 e. paslaugos. Penki iš devynių pašto paslaugų teikėjų (tai sudaro 55,56 proc. subjektų) teikia mažiau e. paslaugų nei e. paslaugų teikimo vidurkis. Keturi iš devynių pašto paslaugų teikėjų </w:t>
      </w:r>
      <w:r w:rsidRPr="006740E5">
        <w:rPr>
          <w:rFonts w:ascii="Times New Roman" w:hAnsi="Times New Roman"/>
          <w:iCs/>
          <w:sz w:val="24"/>
          <w:szCs w:val="24"/>
        </w:rPr>
        <w:br/>
        <w:t>(tai sudaro 44,44 proc. subjektų) teikia daugiau e. paslaugų nei e. paslaugų teikimo vidurkis.</w:t>
      </w:r>
    </w:p>
    <w:p w:rsidR="00C66C7D" w:rsidRPr="006740E5" w:rsidRDefault="00C66C7D" w:rsidP="00FB15B3">
      <w:pPr>
        <w:tabs>
          <w:tab w:val="left" w:pos="-6379"/>
        </w:tabs>
        <w:spacing w:before="20" w:after="40" w:line="240" w:lineRule="auto"/>
        <w:ind w:firstLine="567"/>
        <w:jc w:val="both"/>
        <w:rPr>
          <w:rFonts w:ascii="Times New Roman" w:hAnsi="Times New Roman"/>
          <w:iCs/>
          <w:sz w:val="10"/>
          <w:szCs w:val="10"/>
        </w:rPr>
      </w:pPr>
    </w:p>
    <w:p w:rsidR="00C66C7D" w:rsidRPr="006740E5" w:rsidRDefault="00FB614B" w:rsidP="00FB15B3">
      <w:pPr>
        <w:tabs>
          <w:tab w:val="left" w:pos="-6379"/>
        </w:tabs>
        <w:spacing w:before="20" w:after="40" w:line="360" w:lineRule="auto"/>
        <w:jc w:val="center"/>
        <w:rPr>
          <w:rFonts w:ascii="Times New Roman" w:hAnsi="Times New Roman"/>
          <w:iCs/>
          <w:sz w:val="24"/>
          <w:szCs w:val="24"/>
        </w:rPr>
      </w:pPr>
      <w:r w:rsidRPr="006740E5">
        <w:rPr>
          <w:rFonts w:ascii="Times New Roman" w:hAnsi="Times New Roman"/>
          <w:sz w:val="24"/>
          <w:szCs w:val="24"/>
          <w:lang w:eastAsia="lt-LT"/>
        </w:rPr>
        <w:drawing>
          <wp:inline distT="0" distB="0" distL="0" distR="0">
            <wp:extent cx="4904232" cy="2498979"/>
            <wp:effectExtent l="19050" t="0" r="10668" b="0"/>
            <wp:docPr id="17"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15 pav. </w:t>
      </w:r>
      <w:r w:rsidRPr="006740E5">
        <w:rPr>
          <w:rFonts w:ascii="Times New Roman" w:hAnsi="Times New Roman"/>
          <w:b/>
          <w:iCs/>
          <w:sz w:val="24"/>
          <w:szCs w:val="24"/>
        </w:rPr>
        <w:t>Valstybinės įmonės</w:t>
      </w:r>
      <w:r w:rsidRPr="006740E5">
        <w:rPr>
          <w:rFonts w:ascii="Times New Roman" w:hAnsi="Times New Roman"/>
          <w:iCs/>
          <w:sz w:val="24"/>
          <w:szCs w:val="24"/>
        </w:rPr>
        <w:t xml:space="preserve"> </w:t>
      </w:r>
      <w:r w:rsidRPr="006740E5">
        <w:rPr>
          <w:rFonts w:ascii="Times New Roman" w:hAnsi="Times New Roman"/>
          <w:b/>
          <w:iCs/>
          <w:sz w:val="24"/>
          <w:szCs w:val="24"/>
        </w:rPr>
        <w:t xml:space="preserve">AB ,,Lietuvos paštas‘‘ ir kitų Lietuvos pašto rinkos dalyvių </w:t>
      </w:r>
      <w:r w:rsidRPr="006740E5">
        <w:rPr>
          <w:rFonts w:ascii="Times New Roman" w:hAnsi="Times New Roman"/>
          <w:b/>
          <w:iCs/>
          <w:sz w:val="24"/>
          <w:szCs w:val="24"/>
        </w:rPr>
        <w:br/>
        <w:t>teikiamų e. paslaugų analizė (vnt.)</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Dabartinė Lietuvos pašto rinkos padėtis kaip itin novatoriška yra labiau pateikiama žiniasklaidos ar pačių įmonių nei tokia šiuo metu realiai jau yra. Kol kas įmonės dar tik pradeda ieškoti e. verslo taikymo galimybių šiame sektoriuje, todėl dabar yra idealus laikas AB ,,Lietuvos paštas’’ optimizuoti turimų išteklių panaudojimą pritaikant jį informacinės visuomenės poreikiams ir iškilti į rinkos viršūnę.</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p>
    <w:p w:rsidR="00C66C7D" w:rsidRPr="006740E5" w:rsidRDefault="0014790C" w:rsidP="0014790C">
      <w:pPr>
        <w:tabs>
          <w:tab w:val="left" w:pos="-6379"/>
        </w:tabs>
        <w:spacing w:before="20" w:after="40" w:line="360" w:lineRule="auto"/>
        <w:jc w:val="center"/>
        <w:rPr>
          <w:rFonts w:ascii="Times New Roman" w:hAnsi="Times New Roman"/>
          <w:b/>
          <w:sz w:val="24"/>
          <w:szCs w:val="24"/>
        </w:rPr>
      </w:pPr>
      <w:r w:rsidRPr="006740E5">
        <w:rPr>
          <w:rFonts w:ascii="Times New Roman" w:hAnsi="Times New Roman"/>
          <w:b/>
          <w:sz w:val="24"/>
          <w:szCs w:val="24"/>
        </w:rPr>
        <w:t>3.2</w:t>
      </w:r>
      <w:r w:rsidR="00C66C7D" w:rsidRPr="006740E5">
        <w:rPr>
          <w:rFonts w:ascii="Times New Roman" w:hAnsi="Times New Roman"/>
          <w:b/>
          <w:sz w:val="24"/>
          <w:szCs w:val="24"/>
        </w:rPr>
        <w:t>.2</w:t>
      </w:r>
      <w:r w:rsidRPr="006740E5">
        <w:rPr>
          <w:rFonts w:ascii="Times New Roman" w:hAnsi="Times New Roman"/>
          <w:b/>
          <w:sz w:val="24"/>
          <w:szCs w:val="24"/>
        </w:rPr>
        <w:t>.</w:t>
      </w:r>
      <w:r w:rsidR="00C66C7D" w:rsidRPr="006740E5">
        <w:rPr>
          <w:rFonts w:ascii="Times New Roman" w:hAnsi="Times New Roman"/>
          <w:b/>
          <w:sz w:val="24"/>
          <w:szCs w:val="24"/>
        </w:rPr>
        <w:t xml:space="preserve"> </w:t>
      </w:r>
      <w:r w:rsidRPr="006740E5">
        <w:rPr>
          <w:rFonts w:ascii="Times New Roman" w:hAnsi="Times New Roman"/>
          <w:b/>
          <w:sz w:val="24"/>
          <w:szCs w:val="24"/>
        </w:rPr>
        <w:t xml:space="preserve">AB ,,Lietuvos paštas’’ dalyvavimo Lietuvos pašto rinkoje </w:t>
      </w:r>
      <w:r w:rsidRPr="006740E5">
        <w:rPr>
          <w:rFonts w:ascii="Times New Roman" w:hAnsi="Times New Roman"/>
          <w:b/>
          <w:sz w:val="24"/>
          <w:szCs w:val="24"/>
        </w:rPr>
        <w:br/>
        <w:t>konkurencingumo galimybių įvertinimas</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Siekiant įvertinti AB ,,Lietuvos paštas’’ dalyvavimą rinkoje yra būtina nustatyti stipriąsias </w:t>
      </w:r>
      <w:r w:rsidRPr="006740E5">
        <w:rPr>
          <w:rFonts w:ascii="Times New Roman" w:hAnsi="Times New Roman"/>
          <w:sz w:val="24"/>
          <w:szCs w:val="24"/>
        </w:rPr>
        <w:br/>
        <w:t xml:space="preserve">ir silpnąsias subjekto veiklos sritis, todėl respondentai buvo prašomi įvertinti valstybinio pašto </w:t>
      </w:r>
      <w:r w:rsidRPr="006740E5">
        <w:rPr>
          <w:rFonts w:ascii="Times New Roman" w:hAnsi="Times New Roman"/>
          <w:sz w:val="24"/>
          <w:szCs w:val="24"/>
        </w:rPr>
        <w:lastRenderedPageBreak/>
        <w:t>paslaugų teikėjo darbo organizavimo metodus, rinkodaros sistemą, teikiamas paslaugas ir klientų, pagal juridinį statusą, reikšmingumą Lietuvos pašto rinkoje.</w:t>
      </w:r>
    </w:p>
    <w:p w:rsidR="00C66C7D" w:rsidRPr="006740E5" w:rsidRDefault="00C66C7D" w:rsidP="00FB15B3">
      <w:pPr>
        <w:tabs>
          <w:tab w:val="left" w:pos="-6379"/>
        </w:tabs>
        <w:spacing w:after="0" w:line="360" w:lineRule="auto"/>
        <w:ind w:firstLine="567"/>
        <w:jc w:val="center"/>
        <w:rPr>
          <w:rFonts w:ascii="Times New Roman" w:hAnsi="Times New Roman"/>
          <w:sz w:val="16"/>
          <w:szCs w:val="16"/>
        </w:rPr>
      </w:pPr>
    </w:p>
    <w:p w:rsidR="00C66C7D" w:rsidRPr="006740E5" w:rsidRDefault="00FB614B" w:rsidP="00FB15B3">
      <w:pPr>
        <w:tabs>
          <w:tab w:val="left" w:pos="-6379"/>
        </w:tabs>
        <w:spacing w:before="20" w:after="40" w:line="360" w:lineRule="auto"/>
        <w:jc w:val="center"/>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6143244" cy="858393"/>
            <wp:effectExtent l="12192" t="6096" r="7239" b="2286"/>
            <wp:docPr id="18" name="Picture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66C7D" w:rsidRPr="006740E5" w:rsidRDefault="00C66C7D" w:rsidP="00FB15B3">
      <w:pPr>
        <w:tabs>
          <w:tab w:val="left" w:pos="-6379"/>
        </w:tabs>
        <w:spacing w:after="0" w:line="360" w:lineRule="auto"/>
        <w:ind w:firstLine="142"/>
        <w:rPr>
          <w:rFonts w:ascii="Times New Roman" w:hAnsi="Times New Roman"/>
          <w:iCs/>
          <w:sz w:val="20"/>
          <w:szCs w:val="20"/>
        </w:rPr>
      </w:pPr>
      <w:r w:rsidRPr="006740E5">
        <w:rPr>
          <w:rFonts w:ascii="Times New Roman" w:hAnsi="Times New Roman"/>
          <w:iCs/>
          <w:sz w:val="20"/>
          <w:szCs w:val="20"/>
        </w:rPr>
        <w:t>*Respondentai galėjo pasirinkti daugiau nei vieną atsakymą.</w:t>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16 pav. </w:t>
      </w:r>
      <w:r w:rsidRPr="006740E5">
        <w:rPr>
          <w:rFonts w:ascii="Times New Roman" w:hAnsi="Times New Roman"/>
          <w:b/>
          <w:iCs/>
          <w:sz w:val="24"/>
          <w:szCs w:val="24"/>
        </w:rPr>
        <w:t>AB ,,Lietuvos paštas’’ darbo organizavimo metodų vertinimas</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AB ,,Lietuvos paštas’’ darbo organizavimo metodų vertinimo </w:t>
      </w:r>
      <w:r w:rsidRPr="006740E5">
        <w:rPr>
          <w:rFonts w:ascii="Times New Roman" w:hAnsi="Times New Roman"/>
          <w:iCs/>
          <w:sz w:val="24"/>
          <w:szCs w:val="24"/>
        </w:rPr>
        <w:t xml:space="preserve">(žr. 16 pav.) analizė </w:t>
      </w:r>
      <w:r w:rsidRPr="006740E5">
        <w:rPr>
          <w:rFonts w:ascii="Times New Roman" w:hAnsi="Times New Roman"/>
          <w:sz w:val="24"/>
          <w:szCs w:val="24"/>
        </w:rPr>
        <w:t xml:space="preserve">atskleidė bendrą respondentų požiūrį į valstybinio pašto paslaugų teikėjo darbo organizavimo problemas – respondentai suvokia ir pripažįsta materialinius AB ,,Lietuvos paštas’’ pranašumus rinkoje, bet visi apklaustieji neigiamai atsiliepė apie vadybines subjekto problemas, o tiksliau žmogiškųjų išteklių valdymą. Visi aštuoni apklaustieji teigė, jog būtina sumažinti darbuotojų skaičių. Šiuo metu </w:t>
      </w:r>
      <w:r w:rsidRPr="006740E5">
        <w:rPr>
          <w:rFonts w:ascii="Times New Roman" w:hAnsi="Times New Roman"/>
          <w:sz w:val="24"/>
          <w:szCs w:val="24"/>
        </w:rPr>
        <w:br/>
        <w:t xml:space="preserve">AB ,,Lietuvos paštas’’ dirba 7627 asmenys, tuo tarpu respondentų apimtyje vyrauja SVV </w:t>
      </w:r>
      <w:r w:rsidRPr="006740E5">
        <w:rPr>
          <w:rFonts w:ascii="Times New Roman" w:hAnsi="Times New Roman"/>
          <w:sz w:val="24"/>
          <w:szCs w:val="24"/>
        </w:rPr>
        <w:br/>
        <w:t xml:space="preserve">(žr. 19 lentelę). SVV sėkmingai vykdančios veiklą Lietuvos pašto sektoriuje savo sėkme įrodė, kad siekiant būti konkurencingu šioje srityje nereikia būti gigantu darbuotojų apimtimi, o svarbu gerai organizuoti turimus žmogiškuosius išteklius. Vienas respondentas (tai sudaro 12,5 proc. apklaustųjų) teigė, kad siekiant optimalaus darbo organizavimo yra būtina atsisakyti politinių pareigybių. </w:t>
      </w:r>
      <w:r w:rsidRPr="006740E5">
        <w:rPr>
          <w:rFonts w:ascii="Times New Roman" w:hAnsi="Times New Roman"/>
          <w:sz w:val="24"/>
          <w:szCs w:val="24"/>
        </w:rPr>
        <w:br/>
        <w:t xml:space="preserve">Pagal AB Lietuvos pašto įstatus, bendrovės valdymo organus sudaro: </w:t>
      </w:r>
      <w:r w:rsidRPr="006740E5">
        <w:rPr>
          <w:rFonts w:ascii="Times New Roman" w:hAnsi="Times New Roman"/>
          <w:bCs/>
          <w:sz w:val="24"/>
          <w:szCs w:val="24"/>
        </w:rPr>
        <w:t>visuotinis akcininkų susirinkimas (</w:t>
      </w:r>
      <w:r w:rsidRPr="006740E5">
        <w:rPr>
          <w:rFonts w:ascii="Times New Roman" w:hAnsi="Times New Roman"/>
          <w:sz w:val="24"/>
          <w:szCs w:val="24"/>
        </w:rPr>
        <w:t xml:space="preserve">Lietuvos Respublikos susisiekimo ministerijos priimti raštiški sprendimai prilyginami visuotinio akcininkų susirinkimo sprendimams) ir </w:t>
      </w:r>
      <w:r w:rsidRPr="006740E5">
        <w:rPr>
          <w:rFonts w:ascii="Times New Roman" w:hAnsi="Times New Roman"/>
          <w:bCs/>
          <w:sz w:val="24"/>
          <w:szCs w:val="24"/>
        </w:rPr>
        <w:t>valdyba (</w:t>
      </w:r>
      <w:r w:rsidRPr="006740E5">
        <w:rPr>
          <w:rFonts w:ascii="Times New Roman" w:hAnsi="Times New Roman"/>
          <w:sz w:val="24"/>
          <w:szCs w:val="24"/>
        </w:rPr>
        <w:t xml:space="preserve">AB ,,Lietuvos paštas’’ valdybos pirmininkas yra LR susisiekimo ministras). Deja įmonei veikiant valstybinio kapitalo pagrindu politinių sprendimų ir atskaitomybės išvengti nėra įmanoma. Trys respondentai (tai sudaro 37,5 proc. apklaustųjų) mano, kad viena iš didžiausių įmonės problemų dalyvaujant Lietuvos pašto rinkoje yra ne pakankamai aukšta darbuotojų kvalifikacija, dėl kurios nukenčia darbuotojo veiklos efektyvumas </w:t>
      </w:r>
      <w:r w:rsidRPr="006740E5">
        <w:rPr>
          <w:rFonts w:ascii="Times New Roman" w:hAnsi="Times New Roman"/>
          <w:sz w:val="24"/>
          <w:szCs w:val="24"/>
        </w:rPr>
        <w:br/>
        <w:t>ir klientų aptarnavimo kokybė. Šeši respondentai (tai sudaro 75 proc. apklaustųjų) mano, kad valstybinis pašto paslaugų teikėjas silpnai dalyvauja rinkoje, nes įmonėje nėra teikiamas pakankamas dėmesys darbuotojų motyvacijai skatinti.</w:t>
      </w:r>
    </w:p>
    <w:p w:rsidR="00C66C7D" w:rsidRPr="006740E5" w:rsidRDefault="00C66C7D" w:rsidP="00FB15B3">
      <w:pPr>
        <w:tabs>
          <w:tab w:val="left" w:pos="-6379"/>
        </w:tabs>
        <w:spacing w:before="200" w:line="360" w:lineRule="auto"/>
        <w:jc w:val="center"/>
        <w:rPr>
          <w:rFonts w:ascii="Times New Roman" w:hAnsi="Times New Roman"/>
          <w:b/>
          <w:sz w:val="24"/>
          <w:szCs w:val="24"/>
        </w:rPr>
      </w:pPr>
      <w:r w:rsidRPr="006740E5">
        <w:rPr>
          <w:rFonts w:ascii="Times New Roman" w:hAnsi="Times New Roman"/>
          <w:b/>
          <w:sz w:val="24"/>
          <w:szCs w:val="24"/>
        </w:rPr>
        <w:t>19 lentelė.</w:t>
      </w:r>
      <w:r w:rsidRPr="006740E5">
        <w:rPr>
          <w:rFonts w:ascii="Times New Roman" w:hAnsi="Times New Roman"/>
          <w:sz w:val="24"/>
          <w:szCs w:val="24"/>
        </w:rPr>
        <w:t xml:space="preserve"> </w:t>
      </w:r>
      <w:r w:rsidRPr="006740E5">
        <w:rPr>
          <w:rFonts w:ascii="Times New Roman" w:hAnsi="Times New Roman"/>
          <w:b/>
          <w:sz w:val="24"/>
          <w:szCs w:val="24"/>
        </w:rPr>
        <w:t>Respondentų klasifikacijos pagal darbuotojų skaičių analizė</w:t>
      </w:r>
    </w:p>
    <w:tbl>
      <w:tblPr>
        <w:tblW w:w="9779" w:type="dxa"/>
        <w:jc w:val="center"/>
        <w:tblInd w:w="252"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A0"/>
      </w:tblPr>
      <w:tblGrid>
        <w:gridCol w:w="3542"/>
        <w:gridCol w:w="1276"/>
        <w:gridCol w:w="1559"/>
        <w:gridCol w:w="1843"/>
        <w:gridCol w:w="1559"/>
      </w:tblGrid>
      <w:tr w:rsidR="00C66C7D" w:rsidRPr="006740E5" w:rsidTr="008222E8">
        <w:trPr>
          <w:jc w:val="center"/>
        </w:trPr>
        <w:tc>
          <w:tcPr>
            <w:tcW w:w="3542" w:type="dxa"/>
            <w:vMerge w:val="restart"/>
            <w:tcBorders>
              <w:top w:val="single" w:sz="12" w:space="0" w:color="000000"/>
            </w:tcBorders>
            <w:shd w:val="pct10" w:color="auto" w:fill="auto"/>
            <w:vAlign w:val="center"/>
          </w:tcPr>
          <w:p w:rsidR="00C66C7D" w:rsidRPr="006740E5" w:rsidRDefault="00C66C7D" w:rsidP="008222E8">
            <w:pPr>
              <w:tabs>
                <w:tab w:val="left" w:pos="-6379"/>
              </w:tabs>
              <w:spacing w:before="20" w:after="40"/>
              <w:jc w:val="center"/>
              <w:rPr>
                <w:rFonts w:ascii="Times New Roman" w:hAnsi="Times New Roman"/>
                <w:b/>
                <w:sz w:val="20"/>
                <w:szCs w:val="20"/>
              </w:rPr>
            </w:pPr>
            <w:r w:rsidRPr="006740E5">
              <w:rPr>
                <w:rFonts w:ascii="Times New Roman" w:hAnsi="Times New Roman"/>
                <w:b/>
                <w:sz w:val="20"/>
                <w:szCs w:val="20"/>
              </w:rPr>
              <w:t>Tiriamoji aibė</w:t>
            </w:r>
          </w:p>
        </w:tc>
        <w:tc>
          <w:tcPr>
            <w:tcW w:w="6237" w:type="dxa"/>
            <w:gridSpan w:val="4"/>
            <w:tcBorders>
              <w:top w:val="single" w:sz="12" w:space="0" w:color="000000"/>
            </w:tcBorders>
            <w:shd w:val="pct10" w:color="auto" w:fill="auto"/>
          </w:tcPr>
          <w:p w:rsidR="00C66C7D" w:rsidRPr="006740E5" w:rsidRDefault="00C66C7D" w:rsidP="008222E8">
            <w:pPr>
              <w:tabs>
                <w:tab w:val="left" w:pos="-6379"/>
              </w:tabs>
              <w:spacing w:before="20" w:after="40"/>
              <w:jc w:val="center"/>
              <w:rPr>
                <w:rFonts w:ascii="Times New Roman" w:hAnsi="Times New Roman"/>
                <w:b/>
                <w:sz w:val="20"/>
                <w:szCs w:val="20"/>
              </w:rPr>
            </w:pPr>
            <w:r w:rsidRPr="006740E5">
              <w:rPr>
                <w:rFonts w:ascii="Times New Roman" w:hAnsi="Times New Roman"/>
                <w:b/>
                <w:sz w:val="20"/>
                <w:szCs w:val="20"/>
              </w:rPr>
              <w:t>Įmonių klasifikacija pagal darbuotojų skaičių</w:t>
            </w:r>
          </w:p>
        </w:tc>
      </w:tr>
      <w:tr w:rsidR="00C66C7D" w:rsidRPr="006740E5" w:rsidTr="008222E8">
        <w:trPr>
          <w:jc w:val="center"/>
        </w:trPr>
        <w:tc>
          <w:tcPr>
            <w:tcW w:w="3542" w:type="dxa"/>
            <w:vMerge/>
            <w:tcBorders>
              <w:bottom w:val="single" w:sz="12" w:space="0" w:color="auto"/>
            </w:tcBorders>
            <w:shd w:val="pct10" w:color="auto" w:fill="auto"/>
          </w:tcPr>
          <w:p w:rsidR="00C66C7D" w:rsidRPr="006740E5" w:rsidRDefault="00C66C7D" w:rsidP="008222E8">
            <w:pPr>
              <w:tabs>
                <w:tab w:val="left" w:pos="-6379"/>
              </w:tabs>
              <w:spacing w:before="20" w:after="40"/>
              <w:rPr>
                <w:rFonts w:ascii="Times New Roman" w:hAnsi="Times New Roman"/>
                <w:sz w:val="20"/>
                <w:szCs w:val="20"/>
              </w:rPr>
            </w:pPr>
          </w:p>
        </w:tc>
        <w:tc>
          <w:tcPr>
            <w:tcW w:w="1276" w:type="dxa"/>
            <w:tcBorders>
              <w:bottom w:val="single" w:sz="12" w:space="0" w:color="auto"/>
            </w:tcBorders>
            <w:shd w:val="pct5" w:color="auto" w:fill="auto"/>
          </w:tcPr>
          <w:p w:rsidR="00C66C7D" w:rsidRPr="006740E5" w:rsidRDefault="00C66C7D" w:rsidP="008222E8">
            <w:pPr>
              <w:tabs>
                <w:tab w:val="left" w:pos="-6379"/>
              </w:tabs>
              <w:spacing w:before="20" w:after="40"/>
              <w:rPr>
                <w:rFonts w:ascii="Times New Roman" w:hAnsi="Times New Roman"/>
                <w:b/>
                <w:sz w:val="20"/>
                <w:szCs w:val="20"/>
              </w:rPr>
            </w:pPr>
            <w:r w:rsidRPr="006740E5">
              <w:rPr>
                <w:rFonts w:ascii="Times New Roman" w:hAnsi="Times New Roman"/>
                <w:b/>
                <w:sz w:val="20"/>
                <w:szCs w:val="20"/>
              </w:rPr>
              <w:t>Mikro (≤10)</w:t>
            </w:r>
          </w:p>
        </w:tc>
        <w:tc>
          <w:tcPr>
            <w:tcW w:w="1559" w:type="dxa"/>
            <w:tcBorders>
              <w:bottom w:val="single" w:sz="12" w:space="0" w:color="auto"/>
            </w:tcBorders>
            <w:shd w:val="pct5" w:color="auto" w:fill="auto"/>
          </w:tcPr>
          <w:p w:rsidR="00C66C7D" w:rsidRPr="006740E5" w:rsidRDefault="00C66C7D" w:rsidP="008222E8">
            <w:pPr>
              <w:tabs>
                <w:tab w:val="left" w:pos="-6379"/>
              </w:tabs>
              <w:spacing w:before="20" w:after="40"/>
              <w:rPr>
                <w:rFonts w:ascii="Times New Roman" w:hAnsi="Times New Roman"/>
                <w:b/>
                <w:sz w:val="20"/>
                <w:szCs w:val="20"/>
              </w:rPr>
            </w:pPr>
            <w:r w:rsidRPr="006740E5">
              <w:rPr>
                <w:rFonts w:ascii="Times New Roman" w:hAnsi="Times New Roman"/>
                <w:b/>
                <w:sz w:val="20"/>
                <w:szCs w:val="20"/>
              </w:rPr>
              <w:t>Smulki (11−50)</w:t>
            </w:r>
          </w:p>
        </w:tc>
        <w:tc>
          <w:tcPr>
            <w:tcW w:w="1843" w:type="dxa"/>
            <w:tcBorders>
              <w:bottom w:val="single" w:sz="12" w:space="0" w:color="auto"/>
            </w:tcBorders>
            <w:shd w:val="pct5" w:color="auto" w:fill="auto"/>
          </w:tcPr>
          <w:p w:rsidR="00C66C7D" w:rsidRPr="006740E5" w:rsidRDefault="00C66C7D" w:rsidP="008222E8">
            <w:pPr>
              <w:tabs>
                <w:tab w:val="left" w:pos="-6379"/>
              </w:tabs>
              <w:spacing w:before="20" w:after="40"/>
              <w:rPr>
                <w:rFonts w:ascii="Times New Roman" w:hAnsi="Times New Roman"/>
                <w:b/>
                <w:sz w:val="20"/>
                <w:szCs w:val="20"/>
              </w:rPr>
            </w:pPr>
            <w:r w:rsidRPr="006740E5">
              <w:rPr>
                <w:rFonts w:ascii="Times New Roman" w:hAnsi="Times New Roman"/>
                <w:b/>
                <w:sz w:val="20"/>
                <w:szCs w:val="20"/>
              </w:rPr>
              <w:t>Vidutinė (51−250)</w:t>
            </w:r>
          </w:p>
        </w:tc>
        <w:tc>
          <w:tcPr>
            <w:tcW w:w="1559" w:type="dxa"/>
            <w:tcBorders>
              <w:bottom w:val="single" w:sz="12" w:space="0" w:color="auto"/>
            </w:tcBorders>
            <w:shd w:val="pct5" w:color="auto" w:fill="auto"/>
          </w:tcPr>
          <w:p w:rsidR="00C66C7D" w:rsidRPr="006740E5" w:rsidRDefault="00C66C7D" w:rsidP="008222E8">
            <w:pPr>
              <w:tabs>
                <w:tab w:val="left" w:pos="-6379"/>
              </w:tabs>
              <w:spacing w:before="20" w:after="40"/>
              <w:rPr>
                <w:rFonts w:ascii="Times New Roman" w:hAnsi="Times New Roman"/>
                <w:b/>
                <w:sz w:val="20"/>
                <w:szCs w:val="20"/>
              </w:rPr>
            </w:pPr>
            <w:r w:rsidRPr="006740E5">
              <w:rPr>
                <w:rFonts w:ascii="Times New Roman" w:hAnsi="Times New Roman"/>
                <w:b/>
                <w:sz w:val="20"/>
                <w:szCs w:val="20"/>
              </w:rPr>
              <w:t>Stambi (≥251)</w:t>
            </w:r>
          </w:p>
        </w:tc>
      </w:tr>
      <w:tr w:rsidR="00C66C7D" w:rsidRPr="006740E5" w:rsidTr="008222E8">
        <w:trPr>
          <w:jc w:val="center"/>
        </w:trPr>
        <w:tc>
          <w:tcPr>
            <w:tcW w:w="3542" w:type="dxa"/>
            <w:tcBorders>
              <w:top w:val="single" w:sz="12" w:space="0" w:color="auto"/>
              <w:bottom w:val="single" w:sz="12" w:space="0" w:color="000000"/>
            </w:tcBorders>
          </w:tcPr>
          <w:p w:rsidR="00C66C7D" w:rsidRPr="006740E5" w:rsidRDefault="00C66C7D" w:rsidP="008222E8">
            <w:pPr>
              <w:tabs>
                <w:tab w:val="left" w:pos="-6379"/>
              </w:tabs>
              <w:spacing w:before="20" w:after="40"/>
              <w:jc w:val="center"/>
              <w:rPr>
                <w:rFonts w:ascii="Times New Roman" w:hAnsi="Times New Roman"/>
                <w:b/>
                <w:sz w:val="20"/>
                <w:szCs w:val="20"/>
              </w:rPr>
            </w:pPr>
            <w:r w:rsidRPr="006740E5">
              <w:rPr>
                <w:rFonts w:ascii="Times New Roman" w:hAnsi="Times New Roman"/>
                <w:b/>
                <w:sz w:val="20"/>
                <w:szCs w:val="20"/>
              </w:rPr>
              <w:t>Respondentų skaičius (vnt./proc.)</w:t>
            </w:r>
          </w:p>
        </w:tc>
        <w:tc>
          <w:tcPr>
            <w:tcW w:w="1276" w:type="dxa"/>
            <w:tcBorders>
              <w:top w:val="single" w:sz="12" w:space="0" w:color="auto"/>
              <w:bottom w:val="single" w:sz="12" w:space="0" w:color="000000"/>
            </w:tcBorders>
            <w:vAlign w:val="center"/>
          </w:tcPr>
          <w:p w:rsidR="00C66C7D" w:rsidRPr="006740E5" w:rsidRDefault="00C66C7D" w:rsidP="008222E8">
            <w:pPr>
              <w:tabs>
                <w:tab w:val="left" w:pos="-6379"/>
              </w:tabs>
              <w:spacing w:before="20" w:after="40"/>
              <w:jc w:val="center"/>
              <w:rPr>
                <w:rFonts w:ascii="Times New Roman" w:hAnsi="Times New Roman"/>
                <w:sz w:val="20"/>
                <w:szCs w:val="20"/>
              </w:rPr>
            </w:pPr>
            <w:r w:rsidRPr="006740E5">
              <w:rPr>
                <w:rFonts w:ascii="Times New Roman" w:hAnsi="Times New Roman"/>
                <w:sz w:val="20"/>
                <w:szCs w:val="20"/>
              </w:rPr>
              <w:t>4 (50,00)</w:t>
            </w:r>
          </w:p>
        </w:tc>
        <w:tc>
          <w:tcPr>
            <w:tcW w:w="1559" w:type="dxa"/>
            <w:tcBorders>
              <w:top w:val="single" w:sz="12" w:space="0" w:color="auto"/>
              <w:bottom w:val="single" w:sz="12" w:space="0" w:color="000000"/>
            </w:tcBorders>
            <w:vAlign w:val="center"/>
          </w:tcPr>
          <w:p w:rsidR="00C66C7D" w:rsidRPr="006740E5" w:rsidRDefault="00C66C7D" w:rsidP="008222E8">
            <w:pPr>
              <w:tabs>
                <w:tab w:val="left" w:pos="-6379"/>
              </w:tabs>
              <w:spacing w:before="20" w:after="40"/>
              <w:jc w:val="center"/>
              <w:rPr>
                <w:rFonts w:ascii="Times New Roman" w:hAnsi="Times New Roman"/>
                <w:sz w:val="20"/>
                <w:szCs w:val="20"/>
              </w:rPr>
            </w:pPr>
            <w:r w:rsidRPr="006740E5">
              <w:rPr>
                <w:rFonts w:ascii="Times New Roman" w:hAnsi="Times New Roman"/>
                <w:sz w:val="20"/>
                <w:szCs w:val="20"/>
              </w:rPr>
              <w:t>1 (12,5)</w:t>
            </w:r>
          </w:p>
        </w:tc>
        <w:tc>
          <w:tcPr>
            <w:tcW w:w="1843" w:type="dxa"/>
            <w:tcBorders>
              <w:top w:val="single" w:sz="12" w:space="0" w:color="auto"/>
              <w:bottom w:val="single" w:sz="12" w:space="0" w:color="000000"/>
            </w:tcBorders>
            <w:vAlign w:val="center"/>
          </w:tcPr>
          <w:p w:rsidR="00C66C7D" w:rsidRPr="006740E5" w:rsidRDefault="00C66C7D" w:rsidP="008222E8">
            <w:pPr>
              <w:tabs>
                <w:tab w:val="left" w:pos="-6379"/>
              </w:tabs>
              <w:spacing w:before="20" w:after="40"/>
              <w:jc w:val="center"/>
              <w:rPr>
                <w:rFonts w:ascii="Times New Roman" w:hAnsi="Times New Roman"/>
                <w:sz w:val="20"/>
                <w:szCs w:val="20"/>
              </w:rPr>
            </w:pPr>
            <w:r w:rsidRPr="006740E5">
              <w:rPr>
                <w:rFonts w:ascii="Times New Roman" w:hAnsi="Times New Roman"/>
                <w:sz w:val="20"/>
                <w:szCs w:val="20"/>
              </w:rPr>
              <w:t>2 (25,00)</w:t>
            </w:r>
          </w:p>
        </w:tc>
        <w:tc>
          <w:tcPr>
            <w:tcW w:w="1559" w:type="dxa"/>
            <w:tcBorders>
              <w:top w:val="single" w:sz="12" w:space="0" w:color="auto"/>
              <w:bottom w:val="single" w:sz="12" w:space="0" w:color="000000"/>
            </w:tcBorders>
            <w:vAlign w:val="center"/>
          </w:tcPr>
          <w:p w:rsidR="00C66C7D" w:rsidRPr="006740E5" w:rsidRDefault="00C66C7D" w:rsidP="008222E8">
            <w:pPr>
              <w:tabs>
                <w:tab w:val="left" w:pos="-6379"/>
              </w:tabs>
              <w:spacing w:before="20" w:after="40"/>
              <w:jc w:val="center"/>
              <w:rPr>
                <w:rFonts w:ascii="Times New Roman" w:hAnsi="Times New Roman"/>
                <w:sz w:val="20"/>
                <w:szCs w:val="20"/>
              </w:rPr>
            </w:pPr>
            <w:r w:rsidRPr="006740E5">
              <w:rPr>
                <w:rFonts w:ascii="Times New Roman" w:hAnsi="Times New Roman"/>
                <w:sz w:val="20"/>
                <w:szCs w:val="20"/>
              </w:rPr>
              <w:t>1 (12,5)</w:t>
            </w:r>
          </w:p>
        </w:tc>
      </w:tr>
    </w:tbl>
    <w:p w:rsidR="00C66C7D" w:rsidRPr="006740E5" w:rsidRDefault="00C66C7D" w:rsidP="00FB15B3">
      <w:pPr>
        <w:tabs>
          <w:tab w:val="left" w:pos="-6379"/>
        </w:tabs>
        <w:spacing w:before="20" w:after="40" w:line="360" w:lineRule="auto"/>
        <w:ind w:firstLine="567"/>
        <w:rPr>
          <w:rFonts w:ascii="Times New Roman" w:hAnsi="Times New Roman"/>
          <w:sz w:val="24"/>
          <w:szCs w:val="24"/>
        </w:rPr>
      </w:pP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lastRenderedPageBreak/>
        <w:t xml:space="preserve">Valstybinio pašto paslaugų teikėjo rinkodaros sistemos vertinimas atskleidė visišką sistemos neatitikimą esamam reikalingumui rinkoje (žr. 17 pav.). Vienas respondentas (tai sudaro 12,5 proc. apklaustųjų) teigė, kad būtina pakeisti šiuo metų taikomus paslaugų tarifus, taip pasisakė įmonė, </w:t>
      </w:r>
      <w:r w:rsidRPr="006740E5">
        <w:rPr>
          <w:rFonts w:ascii="Times New Roman" w:hAnsi="Times New Roman"/>
          <w:sz w:val="24"/>
          <w:szCs w:val="24"/>
        </w:rPr>
        <w:br/>
        <w:t xml:space="preserve">kuri jokiu atveju nebūtų linkusi investuoti į AB ,,Lietuvos paštas’’, matantiems bendrovės potencialą rinkoje jos tarifai nepasirodė netinkami. Du respondentai (tai sudaro 25 proc. apklaustųjų) teigė, </w:t>
      </w:r>
      <w:r w:rsidR="00D9662F" w:rsidRPr="006740E5">
        <w:rPr>
          <w:rFonts w:ascii="Times New Roman" w:hAnsi="Times New Roman"/>
          <w:sz w:val="24"/>
          <w:szCs w:val="24"/>
        </w:rPr>
        <w:br/>
      </w:r>
      <w:r w:rsidRPr="006740E5">
        <w:rPr>
          <w:rFonts w:ascii="Times New Roman" w:hAnsi="Times New Roman"/>
          <w:sz w:val="24"/>
          <w:szCs w:val="24"/>
        </w:rPr>
        <w:t xml:space="preserve">kad šiuo metu veikianti AB ,,Lietuvos paštas’’ interneto svetainė neatitinka vartotojų poreikių. Respondentai ši teiginį grindė per sudėtingu svetainės naršymu dėl painios tinklalapio struktūros. Keturi respondentai (tai sudaro 50 proc. apklaustųjų) mano, kad yra būtinas reklamos mastų padidinimas siekiant pritraukti klientus. Net šeši respondentai (tai sudaro 75 proc. apklaustųjų) </w:t>
      </w:r>
      <w:r w:rsidRPr="006740E5">
        <w:rPr>
          <w:rFonts w:ascii="Times New Roman" w:hAnsi="Times New Roman"/>
          <w:sz w:val="24"/>
          <w:szCs w:val="24"/>
        </w:rPr>
        <w:br/>
        <w:t xml:space="preserve">mato būtinybę sukurti visiškai naują valstybinio pašto paslaugų teikėjo įvaizdį, tai tie patys 75 proc. respondentų, kurie įžvelgia AB ,,Lietuvos pašas‘‘ turint potencialą rinkoje ir dėl to linkusių </w:t>
      </w:r>
      <w:r w:rsidRPr="006740E5">
        <w:rPr>
          <w:rFonts w:ascii="Times New Roman" w:hAnsi="Times New Roman"/>
          <w:sz w:val="24"/>
          <w:szCs w:val="24"/>
        </w:rPr>
        <w:br/>
        <w:t>į ją investuoti.</w:t>
      </w:r>
    </w:p>
    <w:p w:rsidR="00C66C7D" w:rsidRPr="006740E5" w:rsidRDefault="00C66C7D" w:rsidP="00FB15B3">
      <w:pPr>
        <w:tabs>
          <w:tab w:val="left" w:pos="-6379"/>
        </w:tabs>
        <w:spacing w:before="20" w:after="40" w:line="360" w:lineRule="auto"/>
        <w:ind w:firstLine="567"/>
        <w:rPr>
          <w:rFonts w:ascii="Times New Roman" w:hAnsi="Times New Roman"/>
          <w:sz w:val="16"/>
          <w:szCs w:val="16"/>
        </w:rPr>
      </w:pPr>
    </w:p>
    <w:p w:rsidR="00C66C7D" w:rsidRPr="006740E5" w:rsidRDefault="00FB614B" w:rsidP="00FB15B3">
      <w:pPr>
        <w:tabs>
          <w:tab w:val="left" w:pos="-6379"/>
        </w:tabs>
        <w:spacing w:before="20" w:after="40" w:line="360" w:lineRule="auto"/>
        <w:ind w:firstLine="567"/>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5230114" cy="851154"/>
            <wp:effectExtent l="12192" t="6096" r="5969" b="0"/>
            <wp:docPr id="19" name="Picture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66C7D" w:rsidRPr="006740E5" w:rsidRDefault="00C66C7D" w:rsidP="00FB15B3">
      <w:pPr>
        <w:tabs>
          <w:tab w:val="left" w:pos="-6379"/>
        </w:tabs>
        <w:spacing w:after="0" w:line="360" w:lineRule="auto"/>
        <w:ind w:firstLine="1276"/>
        <w:rPr>
          <w:rFonts w:ascii="Times New Roman" w:hAnsi="Times New Roman"/>
          <w:iCs/>
          <w:sz w:val="20"/>
          <w:szCs w:val="20"/>
        </w:rPr>
      </w:pPr>
      <w:r w:rsidRPr="006740E5">
        <w:rPr>
          <w:rFonts w:ascii="Times New Roman" w:hAnsi="Times New Roman"/>
          <w:iCs/>
          <w:sz w:val="20"/>
          <w:szCs w:val="20"/>
        </w:rPr>
        <w:t>*Respondentai galėjo pasirinkti daugiau nei vieną atsakymą.</w:t>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17 pav. </w:t>
      </w:r>
      <w:r w:rsidRPr="006740E5">
        <w:rPr>
          <w:rFonts w:ascii="Times New Roman" w:hAnsi="Times New Roman"/>
          <w:b/>
          <w:iCs/>
          <w:sz w:val="24"/>
          <w:szCs w:val="24"/>
        </w:rPr>
        <w:t>AB ,,Lietuvos paštas’’ rinkodaros sistemos vertinimas (vnt.)</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iCs/>
          <w:sz w:val="24"/>
          <w:szCs w:val="24"/>
        </w:rPr>
        <w:t>AB ,,Lietuvos paštas’’ teikiamų paslaugų Lietuvos pašto rinkoje vertinimas</w:t>
      </w:r>
      <w:r w:rsidRPr="006740E5">
        <w:rPr>
          <w:rFonts w:ascii="Times New Roman" w:hAnsi="Times New Roman"/>
          <w:sz w:val="24"/>
          <w:szCs w:val="24"/>
        </w:rPr>
        <w:t xml:space="preserve"> analizuojant konkurencingų rinkoje paslaugų ir AB ,,Lietuvos paštas’’ paslaugų išvystymo laipsnį parodė, </w:t>
      </w:r>
      <w:r w:rsidRPr="006740E5">
        <w:rPr>
          <w:rFonts w:ascii="Times New Roman" w:hAnsi="Times New Roman"/>
          <w:sz w:val="24"/>
          <w:szCs w:val="24"/>
        </w:rPr>
        <w:br/>
        <w:t xml:space="preserve">kad didžiausią konkurenciją rinkoje turinčios paslaugos (žr. 7 lentelę </w:t>
      </w:r>
      <w:r w:rsidR="006F224D" w:rsidRPr="006740E5">
        <w:rPr>
          <w:rFonts w:ascii="Times New Roman" w:hAnsi="Times New Roman"/>
          <w:sz w:val="24"/>
          <w:szCs w:val="24"/>
        </w:rPr>
        <w:t>20</w:t>
      </w:r>
      <w:r w:rsidRPr="006740E5">
        <w:rPr>
          <w:rFonts w:ascii="Times New Roman" w:hAnsi="Times New Roman"/>
          <w:sz w:val="24"/>
          <w:szCs w:val="24"/>
        </w:rPr>
        <w:t xml:space="preserve"> psl.) yra labai silpnai išvystytos (žr. 18 pav.). Respondentų nuomone (50 proc. apklaustųjų) sėkmingai išvystytos </w:t>
      </w:r>
      <w:r w:rsidRPr="006740E5">
        <w:rPr>
          <w:rFonts w:ascii="Times New Roman" w:hAnsi="Times New Roman"/>
          <w:sz w:val="24"/>
          <w:szCs w:val="24"/>
        </w:rPr>
        <w:br/>
        <w:t xml:space="preserve">AB ,,Lietuvos paštas’’ yra tik reklaminio pašto paslaugos. Kitas paslaugas, kurias respondentai įvardijo kaip konkurencingas, laiko silpnai išvystytomis: pasiuntinių paslaugas (62,5 proc. respondentų), e. paslaugas (50 proc. respondentų), pašto siuntų paslaugas (62,5 proc. respondentų), pašto korespondencijos paslaugas (50 proc. respondentų). Respondentų teigimu prenumeratos </w:t>
      </w:r>
      <w:r w:rsidRPr="006740E5">
        <w:rPr>
          <w:rFonts w:ascii="Times New Roman" w:hAnsi="Times New Roman"/>
          <w:sz w:val="24"/>
          <w:szCs w:val="24"/>
        </w:rPr>
        <w:br/>
        <w:t xml:space="preserve">(12,5 proc. apklaustųjų) ir pašto perlaidų (25 proc. apklaustųjų) paslaugos nėra itin konkurencingos rinkoje, tačiau AB ,,Lietuvos paštas’’ jas teikia ir jas teikia labai žemos kokybės. Konkurencingų ir </w:t>
      </w:r>
      <w:r w:rsidRPr="006740E5">
        <w:rPr>
          <w:rFonts w:ascii="Times New Roman" w:hAnsi="Times New Roman"/>
          <w:sz w:val="24"/>
          <w:szCs w:val="24"/>
        </w:rPr>
        <w:br/>
        <w:t xml:space="preserve">AB ,,Lietuvos paštas’’ teikiamų paslaugų analizė atskleidė, kad AB ,,Lietuvos paštas’’ savo veikloje teikia tik potencialiai konkurencingas paslaugas, nes teikiamų paslaugų kokybė neatitinka paklausos. </w:t>
      </w:r>
      <w:r w:rsidRPr="006740E5">
        <w:rPr>
          <w:rFonts w:ascii="Times New Roman" w:hAnsi="Times New Roman"/>
          <w:sz w:val="24"/>
          <w:szCs w:val="24"/>
        </w:rPr>
        <w:br/>
        <w:t xml:space="preserve">AB ,,Lietuvos paštas’’ teikia platų paslaugų spektrą – ne tik populiariausias rinkoje, </w:t>
      </w:r>
      <w:r w:rsidRPr="006740E5">
        <w:rPr>
          <w:rFonts w:ascii="Times New Roman" w:hAnsi="Times New Roman"/>
          <w:sz w:val="24"/>
          <w:szCs w:val="24"/>
        </w:rPr>
        <w:br/>
        <w:t xml:space="preserve">dėl to ir konkurencingiausias, paslaugas, bet ir daug papildomų smulkių paslaugų, kurių neteikia </w:t>
      </w:r>
      <w:r w:rsidRPr="006740E5">
        <w:rPr>
          <w:rFonts w:ascii="Times New Roman" w:hAnsi="Times New Roman"/>
          <w:sz w:val="24"/>
          <w:szCs w:val="24"/>
        </w:rPr>
        <w:br/>
        <w:t xml:space="preserve">kiti pašto paslaugų teikėjai smulkiųjų paslaugų teikimą AB ,,Lietuvos paštas’’ įvertinę teigiamai (pagrįsta 7 lentelės analizėje </w:t>
      </w:r>
      <w:r w:rsidR="006F224D" w:rsidRPr="006740E5">
        <w:rPr>
          <w:rFonts w:ascii="Times New Roman" w:hAnsi="Times New Roman"/>
          <w:sz w:val="24"/>
          <w:szCs w:val="24"/>
        </w:rPr>
        <w:t>20</w:t>
      </w:r>
      <w:r w:rsidRPr="006740E5">
        <w:rPr>
          <w:rFonts w:ascii="Times New Roman" w:hAnsi="Times New Roman"/>
          <w:sz w:val="24"/>
          <w:szCs w:val="24"/>
        </w:rPr>
        <w:t xml:space="preserve"> psl.).</w:t>
      </w:r>
    </w:p>
    <w:p w:rsidR="00C66C7D" w:rsidRPr="006740E5" w:rsidRDefault="00C66C7D" w:rsidP="00FB15B3">
      <w:pPr>
        <w:tabs>
          <w:tab w:val="left" w:pos="-6379"/>
        </w:tabs>
        <w:spacing w:before="20" w:after="40" w:line="360" w:lineRule="auto"/>
        <w:ind w:firstLine="567"/>
        <w:jc w:val="both"/>
        <w:rPr>
          <w:rFonts w:ascii="Times New Roman" w:hAnsi="Times New Roman"/>
          <w:sz w:val="16"/>
          <w:szCs w:val="16"/>
        </w:rPr>
      </w:pPr>
    </w:p>
    <w:p w:rsidR="00C66C7D" w:rsidRPr="006740E5" w:rsidRDefault="00FB614B" w:rsidP="00FB15B3">
      <w:pPr>
        <w:tabs>
          <w:tab w:val="left" w:pos="-6379"/>
        </w:tabs>
        <w:spacing w:before="20" w:after="40" w:line="360" w:lineRule="auto"/>
        <w:jc w:val="center"/>
        <w:rPr>
          <w:rFonts w:ascii="Times New Roman" w:hAnsi="Times New Roman"/>
          <w:sz w:val="24"/>
          <w:szCs w:val="24"/>
        </w:rPr>
      </w:pPr>
      <w:r w:rsidRPr="006740E5">
        <w:rPr>
          <w:rFonts w:ascii="Times New Roman" w:hAnsi="Times New Roman"/>
          <w:sz w:val="24"/>
          <w:szCs w:val="24"/>
          <w:lang w:eastAsia="lt-LT"/>
        </w:rPr>
        <w:drawing>
          <wp:inline distT="0" distB="0" distL="0" distR="0">
            <wp:extent cx="4943856" cy="2203323"/>
            <wp:effectExtent l="12192" t="6096" r="6477" b="381"/>
            <wp:docPr id="20" name="Picture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66C7D" w:rsidRPr="006740E5" w:rsidRDefault="00C66C7D" w:rsidP="00FB15B3">
      <w:pPr>
        <w:tabs>
          <w:tab w:val="left" w:pos="-6379"/>
        </w:tabs>
        <w:spacing w:after="0" w:line="360" w:lineRule="auto"/>
        <w:ind w:firstLine="1134"/>
        <w:rPr>
          <w:rFonts w:ascii="Times New Roman" w:hAnsi="Times New Roman"/>
          <w:iCs/>
          <w:sz w:val="20"/>
          <w:szCs w:val="20"/>
        </w:rPr>
      </w:pPr>
      <w:r w:rsidRPr="006740E5">
        <w:rPr>
          <w:rFonts w:ascii="Times New Roman" w:hAnsi="Times New Roman"/>
          <w:iCs/>
          <w:sz w:val="20"/>
          <w:szCs w:val="20"/>
        </w:rPr>
        <w:t>*Respondentai galėjo pasirinkti daugiau nei vieną atsakymą.</w:t>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18 pav. </w:t>
      </w:r>
      <w:r w:rsidRPr="006740E5">
        <w:rPr>
          <w:rFonts w:ascii="Times New Roman" w:hAnsi="Times New Roman"/>
          <w:b/>
          <w:iCs/>
          <w:sz w:val="24"/>
          <w:szCs w:val="24"/>
        </w:rPr>
        <w:t>AB ,,Lietuvos paštas’’ teikiamų paslaugų Lietuvos pašto rinkoje vertinimas (vnt.)</w:t>
      </w: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Klientų, pagal juridinį statusą, reikšmingumo Lietuvos pašto rinkoje vertinimas parodė, </w:t>
      </w:r>
      <w:r w:rsidRPr="006740E5">
        <w:rPr>
          <w:rFonts w:ascii="Times New Roman" w:hAnsi="Times New Roman"/>
          <w:iCs/>
          <w:sz w:val="24"/>
          <w:szCs w:val="24"/>
        </w:rPr>
        <w:br/>
        <w:t xml:space="preserve">kad klientų reikšmingumas pašto rinkoje yra skirtingas (žr. 19 pav.). Keturi respondentai </w:t>
      </w:r>
      <w:r w:rsidRPr="006740E5">
        <w:rPr>
          <w:rFonts w:ascii="Times New Roman" w:hAnsi="Times New Roman"/>
          <w:iCs/>
          <w:sz w:val="24"/>
          <w:szCs w:val="24"/>
        </w:rPr>
        <w:br/>
      </w:r>
      <w:r w:rsidRPr="006740E5">
        <w:rPr>
          <w:rFonts w:ascii="Times New Roman" w:hAnsi="Times New Roman"/>
          <w:sz w:val="24"/>
          <w:szCs w:val="24"/>
        </w:rPr>
        <w:t xml:space="preserve">(50 proc. apklaustųjų) </w:t>
      </w:r>
      <w:r w:rsidRPr="006740E5">
        <w:rPr>
          <w:rFonts w:ascii="Times New Roman" w:hAnsi="Times New Roman"/>
          <w:iCs/>
          <w:sz w:val="24"/>
          <w:szCs w:val="24"/>
        </w:rPr>
        <w:t xml:space="preserve">teigė, kad ir fiziniai ir juridiniai asmenys yra vienodai reikšmingi pašto sektoriaus subjektams. Trys respondentai </w:t>
      </w:r>
      <w:r w:rsidRPr="006740E5">
        <w:rPr>
          <w:rFonts w:ascii="Times New Roman" w:hAnsi="Times New Roman"/>
          <w:sz w:val="24"/>
          <w:szCs w:val="24"/>
        </w:rPr>
        <w:t xml:space="preserve">(tai sudaro 37,5 proc. apklaustųjų) </w:t>
      </w:r>
      <w:r w:rsidRPr="006740E5">
        <w:rPr>
          <w:rFonts w:ascii="Times New Roman" w:hAnsi="Times New Roman"/>
          <w:iCs/>
          <w:sz w:val="24"/>
          <w:szCs w:val="24"/>
        </w:rPr>
        <w:t xml:space="preserve">pasisakė, kad jų manymų svarbiausi yra verslo klientai. Vienas respondentas </w:t>
      </w:r>
      <w:r w:rsidRPr="006740E5">
        <w:rPr>
          <w:rFonts w:ascii="Times New Roman" w:hAnsi="Times New Roman"/>
          <w:sz w:val="24"/>
          <w:szCs w:val="24"/>
        </w:rPr>
        <w:t xml:space="preserve">(tai sudaro 12,5 proc. apklaustųjų) teigė, </w:t>
      </w:r>
      <w:r w:rsidRPr="006740E5">
        <w:rPr>
          <w:rFonts w:ascii="Times New Roman" w:hAnsi="Times New Roman"/>
          <w:sz w:val="24"/>
          <w:szCs w:val="24"/>
        </w:rPr>
        <w:br/>
        <w:t xml:space="preserve">kad fiziniai asmenys yra ta grupė į kurią reikia orientuotis pašto sektoriaus įmonėms. Apibendrinant respondentų praktinę veiklą atspindinčius teiginius, galima daryti išvadą, kad pašto rinkoje svarbesni yra juridiniai asmenys (juos kaip reikšmingus pašto rinkai paminėjo 87,5 proc. apklaustųjų), </w:t>
      </w:r>
      <w:r w:rsidRPr="006740E5">
        <w:rPr>
          <w:rFonts w:ascii="Times New Roman" w:hAnsi="Times New Roman"/>
          <w:sz w:val="24"/>
          <w:szCs w:val="24"/>
        </w:rPr>
        <w:br/>
        <w:t xml:space="preserve">tiksliau, siekiant teikti paslaugas juridiniams asmenims rinkoje yra didesnė konkurencija. </w:t>
      </w:r>
      <w:r w:rsidRPr="006740E5">
        <w:rPr>
          <w:rFonts w:ascii="Times New Roman" w:hAnsi="Times New Roman"/>
          <w:sz w:val="24"/>
          <w:szCs w:val="24"/>
        </w:rPr>
        <w:br/>
        <w:t xml:space="preserve">AB ,,Lietuvos paštas’’ nors ir siūlo platų paslaugų spektrą verslo subjektams, tačiau laikosi </w:t>
      </w:r>
      <w:r w:rsidRPr="006740E5">
        <w:rPr>
          <w:rFonts w:ascii="Times New Roman" w:hAnsi="Times New Roman"/>
          <w:sz w:val="24"/>
          <w:szCs w:val="24"/>
        </w:rPr>
        <w:br/>
        <w:t xml:space="preserve">fizinių asmenų svarbos krypties – visos viešinamos rinkodaros kampanijos yra orientuotos </w:t>
      </w:r>
      <w:r w:rsidRPr="006740E5">
        <w:rPr>
          <w:rFonts w:ascii="Times New Roman" w:hAnsi="Times New Roman"/>
          <w:sz w:val="24"/>
          <w:szCs w:val="24"/>
        </w:rPr>
        <w:br/>
        <w:t>į privatų žmogų ir jo poreikius.</w:t>
      </w:r>
    </w:p>
    <w:p w:rsidR="00C66C7D" w:rsidRPr="006740E5" w:rsidRDefault="00C66C7D" w:rsidP="00FB15B3">
      <w:pPr>
        <w:tabs>
          <w:tab w:val="left" w:pos="-6379"/>
        </w:tabs>
        <w:spacing w:after="0" w:line="360" w:lineRule="auto"/>
        <w:ind w:firstLine="567"/>
        <w:jc w:val="both"/>
        <w:rPr>
          <w:rFonts w:ascii="Times New Roman" w:hAnsi="Times New Roman"/>
          <w:iCs/>
          <w:sz w:val="16"/>
          <w:szCs w:val="16"/>
        </w:rPr>
      </w:pPr>
    </w:p>
    <w:p w:rsidR="00C66C7D" w:rsidRPr="006740E5" w:rsidRDefault="00FB614B" w:rsidP="00FB15B3">
      <w:pPr>
        <w:tabs>
          <w:tab w:val="left" w:pos="-6379"/>
        </w:tabs>
        <w:spacing w:after="0" w:line="360" w:lineRule="auto"/>
        <w:jc w:val="center"/>
        <w:rPr>
          <w:rFonts w:ascii="Times New Roman" w:hAnsi="Times New Roman"/>
          <w:iCs/>
          <w:sz w:val="24"/>
          <w:szCs w:val="24"/>
        </w:rPr>
      </w:pPr>
      <w:r w:rsidRPr="006740E5">
        <w:rPr>
          <w:rFonts w:ascii="Times New Roman" w:hAnsi="Times New Roman"/>
          <w:sz w:val="24"/>
          <w:szCs w:val="24"/>
          <w:lang w:eastAsia="lt-LT"/>
        </w:rPr>
        <w:drawing>
          <wp:inline distT="0" distB="0" distL="0" distR="0">
            <wp:extent cx="4836998" cy="803529"/>
            <wp:effectExtent l="12074" t="6096" r="8678" b="0"/>
            <wp:docPr id="21"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66C7D" w:rsidRPr="006740E5" w:rsidRDefault="00C66C7D" w:rsidP="00FB15B3">
      <w:pPr>
        <w:tabs>
          <w:tab w:val="left" w:pos="-6379"/>
        </w:tabs>
        <w:spacing w:after="240"/>
        <w:jc w:val="center"/>
        <w:rPr>
          <w:rFonts w:ascii="Times New Roman" w:hAnsi="Times New Roman"/>
          <w:b/>
          <w:iCs/>
          <w:sz w:val="24"/>
          <w:szCs w:val="24"/>
        </w:rPr>
      </w:pPr>
      <w:r w:rsidRPr="006740E5">
        <w:rPr>
          <w:rFonts w:ascii="Times New Roman" w:hAnsi="Times New Roman"/>
          <w:iCs/>
          <w:sz w:val="24"/>
          <w:szCs w:val="24"/>
        </w:rPr>
        <w:t xml:space="preserve">19 pav. </w:t>
      </w:r>
      <w:r w:rsidRPr="006740E5">
        <w:rPr>
          <w:rFonts w:ascii="Times New Roman" w:hAnsi="Times New Roman"/>
          <w:b/>
          <w:iCs/>
          <w:sz w:val="24"/>
          <w:szCs w:val="24"/>
        </w:rPr>
        <w:t xml:space="preserve">Klientų, pagal juridinį statusą, reikšmingumo Lietuvos pašto rinkoje </w:t>
      </w:r>
      <w:r w:rsidRPr="006740E5">
        <w:rPr>
          <w:rFonts w:ascii="Times New Roman" w:hAnsi="Times New Roman"/>
          <w:b/>
          <w:iCs/>
          <w:sz w:val="24"/>
          <w:szCs w:val="24"/>
        </w:rPr>
        <w:br/>
        <w:t>vertinimas (vnt.)</w:t>
      </w: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Klientų, pagal juridinį statusą, ir e. paslaugų teikimo sąveikos analizė patvirtino klientų, </w:t>
      </w:r>
      <w:r w:rsidRPr="006740E5">
        <w:rPr>
          <w:rFonts w:ascii="Times New Roman" w:hAnsi="Times New Roman"/>
          <w:iCs/>
          <w:sz w:val="24"/>
          <w:szCs w:val="24"/>
        </w:rPr>
        <w:br/>
        <w:t xml:space="preserve">pagal juridinį statusą, reikšmingumo Lietuvos pašto rinkoje vertinimo rezultatus – Lietuvos pašto rinkoje svarbesnis vaidmuo tenka juridiniams asmenims (žr. 20 pav.). Iš devynių rinkoje šiuo metu teikiamų e. paslaugų </w:t>
      </w:r>
      <w:r w:rsidR="006F224D" w:rsidRPr="006740E5">
        <w:rPr>
          <w:rFonts w:ascii="Times New Roman" w:hAnsi="Times New Roman"/>
          <w:iCs/>
          <w:sz w:val="24"/>
          <w:szCs w:val="24"/>
        </w:rPr>
        <w:t>(žr. 13 pav. 49</w:t>
      </w:r>
      <w:r w:rsidRPr="006740E5">
        <w:rPr>
          <w:rFonts w:ascii="Times New Roman" w:hAnsi="Times New Roman"/>
          <w:iCs/>
          <w:sz w:val="24"/>
          <w:szCs w:val="24"/>
        </w:rPr>
        <w:t xml:space="preserve"> psl.) juridiniams asmenims yra teikiamos visos, </w:t>
      </w:r>
      <w:r w:rsidRPr="006740E5">
        <w:rPr>
          <w:rFonts w:ascii="Times New Roman" w:hAnsi="Times New Roman"/>
          <w:iCs/>
          <w:sz w:val="24"/>
          <w:szCs w:val="24"/>
        </w:rPr>
        <w:br/>
        <w:t xml:space="preserve">o fiziniams asmenims – tik šešios (tai sudaro 66,67 proc. visų teikiamų e. paslaugų). Šiuo metu </w:t>
      </w:r>
      <w:r w:rsidRPr="006740E5">
        <w:rPr>
          <w:rFonts w:ascii="Times New Roman" w:hAnsi="Times New Roman"/>
          <w:iCs/>
          <w:sz w:val="24"/>
          <w:szCs w:val="24"/>
        </w:rPr>
        <w:br/>
      </w:r>
      <w:r w:rsidRPr="006740E5">
        <w:rPr>
          <w:rFonts w:ascii="Times New Roman" w:hAnsi="Times New Roman"/>
          <w:iCs/>
          <w:sz w:val="24"/>
          <w:szCs w:val="24"/>
        </w:rPr>
        <w:lastRenderedPageBreak/>
        <w:t xml:space="preserve">fiziniams asmenims dar nėra teikiamos e. užsakymų, siuntų draudimo internetu, ir e. prenumeratos paslaugos. AB ,,Lietuvos paštas’’ jau toli pažengęs fiziniams asmenims skirtos rinkodaros srityje, dabar bendrovei būtina šiems asmenims pasiūlyti tai ką siūlo kiti rinkos dalyviai ir dar daugiau, </w:t>
      </w:r>
      <w:r w:rsidRPr="006740E5">
        <w:rPr>
          <w:rFonts w:ascii="Times New Roman" w:hAnsi="Times New Roman"/>
          <w:iCs/>
          <w:sz w:val="24"/>
          <w:szCs w:val="24"/>
        </w:rPr>
        <w:br/>
        <w:t>taip pat daugiau dėmesio skirti tai rinkodaros sričiai, kuria siekiama pritraukti juridinius asmenis.</w:t>
      </w:r>
    </w:p>
    <w:p w:rsidR="00C66C7D" w:rsidRPr="006740E5" w:rsidRDefault="00C66C7D" w:rsidP="00FB15B3">
      <w:pPr>
        <w:tabs>
          <w:tab w:val="left" w:pos="-6379"/>
        </w:tabs>
        <w:spacing w:after="0" w:line="360" w:lineRule="auto"/>
        <w:ind w:firstLine="567"/>
        <w:rPr>
          <w:rFonts w:ascii="Times New Roman" w:hAnsi="Times New Roman"/>
          <w:b/>
          <w:iCs/>
          <w:sz w:val="16"/>
          <w:szCs w:val="16"/>
        </w:rPr>
      </w:pPr>
    </w:p>
    <w:p w:rsidR="00C66C7D" w:rsidRPr="006740E5" w:rsidRDefault="00FB614B" w:rsidP="00FB15B3">
      <w:pPr>
        <w:tabs>
          <w:tab w:val="left" w:pos="-6379"/>
        </w:tabs>
        <w:spacing w:after="0" w:line="360" w:lineRule="auto"/>
        <w:jc w:val="center"/>
        <w:rPr>
          <w:rFonts w:ascii="Times New Roman" w:hAnsi="Times New Roman"/>
          <w:b/>
          <w:iCs/>
          <w:sz w:val="24"/>
          <w:szCs w:val="24"/>
        </w:rPr>
      </w:pPr>
      <w:r w:rsidRPr="006740E5">
        <w:rPr>
          <w:rFonts w:ascii="Times New Roman" w:hAnsi="Times New Roman"/>
          <w:b/>
          <w:sz w:val="24"/>
          <w:szCs w:val="24"/>
          <w:lang w:eastAsia="lt-LT"/>
        </w:rPr>
        <w:drawing>
          <wp:inline distT="0" distB="0" distL="0" distR="0">
            <wp:extent cx="4836998" cy="878205"/>
            <wp:effectExtent l="12074" t="6096" r="8678" b="1524"/>
            <wp:docPr id="22" name="Picture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20 pav.</w:t>
      </w:r>
      <w:r w:rsidRPr="006740E5">
        <w:rPr>
          <w:rFonts w:ascii="Times New Roman" w:hAnsi="Times New Roman"/>
          <w:b/>
          <w:iCs/>
          <w:sz w:val="24"/>
          <w:szCs w:val="24"/>
        </w:rPr>
        <w:t xml:space="preserve"> Klientų (pagal juridinį statusą) ir e. paslaugų teikimo sąveikos analizė (vnt.)</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AB ,,Lietuvos paštas’’ dalyvavimo Lietuvos pašto rinkoje vertinimo analizė atskleidė svarbiausias valstybinio pašto paslaugų teikėjo problemines sritis dalyvaujant Lietuvos pašto paslaugų teikimo rinkoje: neefektyvus išteklių (ypatingai žmogiškųjų išteklių) valdymas, neveiksminga rinkodaros sistema, rinkos poreikių neatitinkantis požiūris į paslaugų gavėjus.</w:t>
      </w:r>
    </w:p>
    <w:p w:rsidR="00C66C7D" w:rsidRPr="006740E5" w:rsidRDefault="00C66C7D" w:rsidP="00FB15B3">
      <w:pPr>
        <w:tabs>
          <w:tab w:val="left" w:pos="-6379"/>
        </w:tabs>
        <w:spacing w:after="0" w:line="360" w:lineRule="auto"/>
        <w:ind w:firstLine="567"/>
        <w:jc w:val="both"/>
        <w:rPr>
          <w:rFonts w:ascii="Times New Roman" w:hAnsi="Times New Roman"/>
          <w:sz w:val="24"/>
          <w:szCs w:val="24"/>
        </w:rPr>
      </w:pPr>
    </w:p>
    <w:p w:rsidR="00C66C7D" w:rsidRPr="006740E5" w:rsidRDefault="00C66C7D" w:rsidP="00FB15B3">
      <w:pPr>
        <w:tabs>
          <w:tab w:val="left" w:pos="-6379"/>
        </w:tabs>
        <w:spacing w:before="120" w:after="120" w:line="360" w:lineRule="auto"/>
        <w:ind w:firstLine="567"/>
        <w:jc w:val="center"/>
        <w:rPr>
          <w:rFonts w:ascii="Times New Roman" w:hAnsi="Times New Roman"/>
          <w:iCs/>
          <w:sz w:val="24"/>
          <w:szCs w:val="24"/>
        </w:rPr>
      </w:pPr>
      <w:r w:rsidRPr="006740E5">
        <w:rPr>
          <w:rFonts w:ascii="Times New Roman" w:hAnsi="Times New Roman"/>
          <w:iCs/>
          <w:sz w:val="24"/>
          <w:szCs w:val="24"/>
        </w:rPr>
        <w:t>***</w:t>
      </w: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Apibendrinti tyrimo rezultatai (žr. 20 lentelę) leidžia daryti išvadą, kad AB ,,Lietuvos paštas’’ siekdama būti lydere rinkoje, pirmiau dar turi joje geriau įsitvirtinti, nes šiuo metų bendrovė </w:t>
      </w:r>
      <w:r w:rsidRPr="006740E5">
        <w:rPr>
          <w:rFonts w:ascii="Times New Roman" w:hAnsi="Times New Roman"/>
          <w:iCs/>
          <w:sz w:val="24"/>
          <w:szCs w:val="24"/>
        </w:rPr>
        <w:br/>
        <w:t xml:space="preserve">susiduria su svarbiomis valdymo problemomis. Dabartinės Lietuvos pašto rinkos padėties analizė parodė, kad sėkmingai dalyvaujant rinkoje būtina subjekto veikloje naudoti e. priemones ir </w:t>
      </w:r>
      <w:r w:rsidRPr="006740E5">
        <w:rPr>
          <w:rFonts w:ascii="Times New Roman" w:hAnsi="Times New Roman"/>
          <w:iCs/>
          <w:sz w:val="24"/>
          <w:szCs w:val="24"/>
        </w:rPr>
        <w:br/>
        <w:t>paslaugų teikimą kiek įmanoma perkelti į e. erdvę.</w:t>
      </w:r>
    </w:p>
    <w:p w:rsidR="00C66C7D" w:rsidRPr="006740E5" w:rsidRDefault="0081295D" w:rsidP="00FB15B3">
      <w:pPr>
        <w:tabs>
          <w:tab w:val="left" w:pos="-6379"/>
        </w:tabs>
        <w:spacing w:before="240" w:after="240" w:line="360" w:lineRule="auto"/>
        <w:jc w:val="center"/>
        <w:rPr>
          <w:rFonts w:ascii="Times New Roman" w:hAnsi="Times New Roman"/>
          <w:b/>
          <w:iCs/>
          <w:sz w:val="24"/>
          <w:szCs w:val="24"/>
        </w:rPr>
      </w:pPr>
      <w:r w:rsidRPr="006740E5">
        <w:rPr>
          <w:rFonts w:ascii="Times New Roman" w:hAnsi="Times New Roman"/>
          <w:b/>
          <w:iCs/>
          <w:sz w:val="24"/>
          <w:szCs w:val="24"/>
        </w:rPr>
        <w:t>20</w:t>
      </w:r>
      <w:r w:rsidR="00C66C7D" w:rsidRPr="006740E5">
        <w:rPr>
          <w:rFonts w:ascii="Times New Roman" w:hAnsi="Times New Roman"/>
          <w:b/>
          <w:iCs/>
          <w:sz w:val="24"/>
          <w:szCs w:val="24"/>
        </w:rPr>
        <w:t xml:space="preserve"> lentelė. Tyrimo rezultatų apibendrinimas</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678"/>
        <w:gridCol w:w="5245"/>
      </w:tblGrid>
      <w:tr w:rsidR="00C66C7D" w:rsidRPr="006740E5" w:rsidTr="008222E8">
        <w:tc>
          <w:tcPr>
            <w:tcW w:w="4678" w:type="dxa"/>
            <w:tcBorders>
              <w:top w:val="single" w:sz="12" w:space="0" w:color="000000"/>
              <w:left w:val="single" w:sz="12" w:space="0" w:color="000000"/>
              <w:bottom w:val="single" w:sz="12" w:space="0" w:color="000000"/>
            </w:tcBorders>
            <w:shd w:val="pct10" w:color="auto" w:fill="auto"/>
          </w:tcPr>
          <w:p w:rsidR="00C66C7D" w:rsidRPr="006740E5" w:rsidRDefault="00C66C7D" w:rsidP="008222E8">
            <w:pPr>
              <w:tabs>
                <w:tab w:val="left" w:pos="-6379"/>
              </w:tabs>
              <w:spacing w:after="0"/>
              <w:jc w:val="center"/>
              <w:rPr>
                <w:rFonts w:ascii="Times New Roman" w:hAnsi="Times New Roman"/>
                <w:b/>
                <w:iCs/>
                <w:sz w:val="20"/>
                <w:szCs w:val="20"/>
              </w:rPr>
            </w:pPr>
            <w:r w:rsidRPr="006740E5">
              <w:rPr>
                <w:rFonts w:ascii="Times New Roman" w:hAnsi="Times New Roman"/>
                <w:b/>
                <w:iCs/>
                <w:sz w:val="20"/>
                <w:szCs w:val="20"/>
              </w:rPr>
              <w:t xml:space="preserve">Dabartinės Lietuvos pašto rinkos padėties </w:t>
            </w:r>
            <w:r w:rsidRPr="006740E5">
              <w:rPr>
                <w:rFonts w:ascii="Times New Roman" w:hAnsi="Times New Roman"/>
                <w:b/>
                <w:iCs/>
                <w:sz w:val="20"/>
                <w:szCs w:val="20"/>
              </w:rPr>
              <w:br/>
              <w:t>analizės apibendrinimas</w:t>
            </w:r>
          </w:p>
        </w:tc>
        <w:tc>
          <w:tcPr>
            <w:tcW w:w="5245" w:type="dxa"/>
            <w:tcBorders>
              <w:top w:val="single" w:sz="12" w:space="0" w:color="000000"/>
              <w:bottom w:val="single" w:sz="12" w:space="0" w:color="000000"/>
              <w:right w:val="single" w:sz="12" w:space="0" w:color="000000"/>
            </w:tcBorders>
            <w:shd w:val="pct10" w:color="auto" w:fill="auto"/>
          </w:tcPr>
          <w:p w:rsidR="00C66C7D" w:rsidRPr="006740E5" w:rsidRDefault="00C66C7D" w:rsidP="008222E8">
            <w:pPr>
              <w:tabs>
                <w:tab w:val="left" w:pos="-6379"/>
              </w:tabs>
              <w:spacing w:after="0"/>
              <w:jc w:val="center"/>
              <w:rPr>
                <w:rFonts w:ascii="Times New Roman" w:hAnsi="Times New Roman"/>
                <w:b/>
                <w:iCs/>
                <w:sz w:val="20"/>
                <w:szCs w:val="20"/>
              </w:rPr>
            </w:pPr>
            <w:r w:rsidRPr="006740E5">
              <w:rPr>
                <w:rFonts w:ascii="Times New Roman" w:hAnsi="Times New Roman"/>
                <w:b/>
                <w:iCs/>
                <w:sz w:val="20"/>
                <w:szCs w:val="20"/>
              </w:rPr>
              <w:t>AB ,,Lietuvos paštas’’ dalyvavimo Lietuvos pašto rinkoje vertinimo apibendrinimas</w:t>
            </w:r>
          </w:p>
        </w:tc>
      </w:tr>
      <w:tr w:rsidR="00C66C7D" w:rsidRPr="006740E5" w:rsidTr="008222E8">
        <w:tc>
          <w:tcPr>
            <w:tcW w:w="4678" w:type="dxa"/>
            <w:tcBorders>
              <w:top w:val="single" w:sz="12" w:space="0" w:color="000000"/>
              <w:left w:val="single" w:sz="12" w:space="0" w:color="000000"/>
            </w:tcBorders>
            <w:vAlign w:val="center"/>
          </w:tcPr>
          <w:p w:rsidR="00C66C7D" w:rsidRPr="006740E5" w:rsidRDefault="00C66C7D" w:rsidP="008222E8">
            <w:pPr>
              <w:tabs>
                <w:tab w:val="left" w:pos="-6379"/>
              </w:tabs>
              <w:spacing w:after="0"/>
              <w:rPr>
                <w:rFonts w:ascii="Times New Roman" w:hAnsi="Times New Roman"/>
                <w:b/>
                <w:iCs/>
                <w:sz w:val="20"/>
                <w:szCs w:val="20"/>
              </w:rPr>
            </w:pPr>
            <w:r w:rsidRPr="006740E5">
              <w:rPr>
                <w:rFonts w:ascii="Times New Roman" w:hAnsi="Times New Roman"/>
                <w:b/>
                <w:iCs/>
                <w:sz w:val="20"/>
                <w:szCs w:val="20"/>
              </w:rPr>
              <w:t>Lietuvos pašto rinkoje šiuo metu sėkmingai veikiantys subjektai:</w:t>
            </w:r>
          </w:p>
        </w:tc>
        <w:tc>
          <w:tcPr>
            <w:tcW w:w="5245" w:type="dxa"/>
            <w:tcBorders>
              <w:top w:val="single" w:sz="12" w:space="0" w:color="000000"/>
              <w:right w:val="single" w:sz="12" w:space="0" w:color="000000"/>
            </w:tcBorders>
            <w:vAlign w:val="center"/>
          </w:tcPr>
          <w:p w:rsidR="00C66C7D" w:rsidRPr="006740E5" w:rsidRDefault="00C66C7D" w:rsidP="008222E8">
            <w:pPr>
              <w:tabs>
                <w:tab w:val="left" w:pos="-6379"/>
              </w:tabs>
              <w:spacing w:after="0"/>
              <w:ind w:left="35"/>
              <w:rPr>
                <w:rFonts w:ascii="Times New Roman" w:hAnsi="Times New Roman"/>
                <w:b/>
                <w:iCs/>
                <w:sz w:val="20"/>
                <w:szCs w:val="20"/>
              </w:rPr>
            </w:pPr>
            <w:r w:rsidRPr="006740E5">
              <w:rPr>
                <w:rFonts w:ascii="Times New Roman" w:hAnsi="Times New Roman"/>
                <w:b/>
                <w:iCs/>
                <w:sz w:val="20"/>
                <w:szCs w:val="20"/>
              </w:rPr>
              <w:t>AB ,,Lietuvos paštas’’ dalyvaudamas Lietuvos pašto paslaugų teikimo rinkoje susiduria su:</w:t>
            </w:r>
          </w:p>
        </w:tc>
      </w:tr>
      <w:tr w:rsidR="00C66C7D" w:rsidRPr="006740E5" w:rsidTr="008222E8">
        <w:tc>
          <w:tcPr>
            <w:tcW w:w="4678" w:type="dxa"/>
            <w:tcBorders>
              <w:left w:val="single" w:sz="12" w:space="0" w:color="000000"/>
            </w:tcBorders>
            <w:vAlign w:val="center"/>
          </w:tcPr>
          <w:p w:rsidR="00C66C7D" w:rsidRPr="006740E5" w:rsidRDefault="00C66C7D" w:rsidP="008222E8">
            <w:pPr>
              <w:tabs>
                <w:tab w:val="left" w:pos="-6379"/>
              </w:tabs>
              <w:spacing w:after="0"/>
              <w:rPr>
                <w:rFonts w:ascii="Times New Roman" w:hAnsi="Times New Roman"/>
                <w:iCs/>
                <w:sz w:val="20"/>
                <w:szCs w:val="20"/>
              </w:rPr>
            </w:pPr>
            <w:r w:rsidRPr="006740E5">
              <w:rPr>
                <w:rFonts w:ascii="Times New Roman" w:hAnsi="Times New Roman"/>
                <w:iCs/>
                <w:sz w:val="20"/>
                <w:szCs w:val="20"/>
              </w:rPr>
              <w:t>Taiko nuotolinės komunikacijos būdus bendraudami su klientais, tiekėjais ir partneriais.</w:t>
            </w:r>
          </w:p>
        </w:tc>
        <w:tc>
          <w:tcPr>
            <w:tcW w:w="5245" w:type="dxa"/>
            <w:tcBorders>
              <w:right w:val="single" w:sz="12" w:space="0" w:color="000000"/>
            </w:tcBorders>
            <w:vAlign w:val="center"/>
          </w:tcPr>
          <w:p w:rsidR="00C66C7D" w:rsidRPr="006740E5" w:rsidRDefault="00C66C7D" w:rsidP="008222E8">
            <w:pPr>
              <w:tabs>
                <w:tab w:val="left" w:pos="-6379"/>
              </w:tabs>
              <w:spacing w:after="0"/>
              <w:ind w:left="35"/>
              <w:rPr>
                <w:rFonts w:ascii="Times New Roman" w:hAnsi="Times New Roman"/>
                <w:iCs/>
                <w:sz w:val="20"/>
                <w:szCs w:val="20"/>
              </w:rPr>
            </w:pPr>
            <w:r w:rsidRPr="006740E5">
              <w:rPr>
                <w:rFonts w:ascii="Times New Roman" w:hAnsi="Times New Roman"/>
                <w:iCs/>
                <w:sz w:val="20"/>
                <w:szCs w:val="20"/>
              </w:rPr>
              <w:t>Žmogiškųjų išteklių valdymo problema, sukeliančia neigiamas pasekmes subjekto teigiamų paslaugų konkurencingumui rinkoje.</w:t>
            </w:r>
          </w:p>
        </w:tc>
      </w:tr>
      <w:tr w:rsidR="00C66C7D" w:rsidRPr="006740E5" w:rsidTr="008222E8">
        <w:tc>
          <w:tcPr>
            <w:tcW w:w="4678" w:type="dxa"/>
            <w:tcBorders>
              <w:left w:val="single" w:sz="12" w:space="0" w:color="000000"/>
            </w:tcBorders>
            <w:vAlign w:val="center"/>
          </w:tcPr>
          <w:p w:rsidR="00C66C7D" w:rsidRPr="006740E5" w:rsidRDefault="00C66C7D" w:rsidP="008222E8">
            <w:pPr>
              <w:tabs>
                <w:tab w:val="left" w:pos="-6379"/>
              </w:tabs>
              <w:spacing w:after="0"/>
              <w:rPr>
                <w:rFonts w:ascii="Times New Roman" w:hAnsi="Times New Roman"/>
                <w:iCs/>
                <w:sz w:val="20"/>
                <w:szCs w:val="20"/>
              </w:rPr>
            </w:pPr>
            <w:r w:rsidRPr="006740E5">
              <w:rPr>
                <w:rFonts w:ascii="Times New Roman" w:hAnsi="Times New Roman"/>
                <w:iCs/>
                <w:sz w:val="20"/>
                <w:szCs w:val="20"/>
              </w:rPr>
              <w:t>Teikia itin daug reikšmės e. paslaugoms, tačiau jų plėtrą vykdo pamažu.</w:t>
            </w:r>
          </w:p>
        </w:tc>
        <w:tc>
          <w:tcPr>
            <w:tcW w:w="5245" w:type="dxa"/>
            <w:tcBorders>
              <w:right w:val="single" w:sz="12" w:space="0" w:color="000000"/>
            </w:tcBorders>
            <w:vAlign w:val="center"/>
          </w:tcPr>
          <w:p w:rsidR="00C66C7D" w:rsidRPr="006740E5" w:rsidRDefault="00C66C7D" w:rsidP="008222E8">
            <w:pPr>
              <w:tabs>
                <w:tab w:val="left" w:pos="-6379"/>
              </w:tabs>
              <w:spacing w:after="0"/>
              <w:ind w:left="35"/>
              <w:rPr>
                <w:rFonts w:ascii="Times New Roman" w:hAnsi="Times New Roman"/>
                <w:iCs/>
                <w:sz w:val="20"/>
                <w:szCs w:val="20"/>
              </w:rPr>
            </w:pPr>
            <w:r w:rsidRPr="006740E5">
              <w:rPr>
                <w:rFonts w:ascii="Times New Roman" w:hAnsi="Times New Roman"/>
                <w:iCs/>
                <w:sz w:val="20"/>
                <w:szCs w:val="20"/>
              </w:rPr>
              <w:t>Rinkodaros sistemos neefektyvumu, ypač dėl to, kad visos viešos rinkodaros kampanijos yra orientuojamos į fizinius asmenis, kai didžiausia konkurencija rinkoje yra siekiant teikti paslaugas juridiniams asmenims.</w:t>
            </w:r>
          </w:p>
        </w:tc>
      </w:tr>
      <w:tr w:rsidR="00C66C7D" w:rsidRPr="006740E5" w:rsidTr="008222E8">
        <w:tc>
          <w:tcPr>
            <w:tcW w:w="4678" w:type="dxa"/>
            <w:tcBorders>
              <w:left w:val="single" w:sz="12" w:space="0" w:color="000000"/>
              <w:bottom w:val="single" w:sz="12" w:space="0" w:color="000000"/>
            </w:tcBorders>
            <w:vAlign w:val="center"/>
          </w:tcPr>
          <w:p w:rsidR="00C66C7D" w:rsidRPr="006740E5" w:rsidRDefault="00C66C7D" w:rsidP="008222E8">
            <w:pPr>
              <w:tabs>
                <w:tab w:val="left" w:pos="-6379"/>
              </w:tabs>
              <w:spacing w:after="0"/>
              <w:rPr>
                <w:rFonts w:ascii="Times New Roman" w:hAnsi="Times New Roman"/>
                <w:iCs/>
                <w:sz w:val="20"/>
                <w:szCs w:val="20"/>
              </w:rPr>
            </w:pPr>
            <w:r w:rsidRPr="006740E5">
              <w:rPr>
                <w:rFonts w:ascii="Times New Roman" w:hAnsi="Times New Roman"/>
                <w:iCs/>
                <w:sz w:val="20"/>
                <w:szCs w:val="20"/>
              </w:rPr>
              <w:t>Organizuodami savo veiklą ir paslaugų teikimą mažai dėmesio skiria kitų suinteresuotųjų šalių naudai.</w:t>
            </w:r>
          </w:p>
        </w:tc>
        <w:tc>
          <w:tcPr>
            <w:tcW w:w="5245" w:type="dxa"/>
            <w:tcBorders>
              <w:bottom w:val="single" w:sz="12" w:space="0" w:color="000000"/>
              <w:right w:val="single" w:sz="12" w:space="0" w:color="000000"/>
            </w:tcBorders>
            <w:vAlign w:val="center"/>
          </w:tcPr>
          <w:p w:rsidR="00C66C7D" w:rsidRPr="006740E5" w:rsidRDefault="00C66C7D" w:rsidP="008222E8">
            <w:pPr>
              <w:tabs>
                <w:tab w:val="left" w:pos="-6379"/>
              </w:tabs>
              <w:spacing w:after="0"/>
              <w:rPr>
                <w:rFonts w:ascii="Times New Roman" w:hAnsi="Times New Roman"/>
                <w:iCs/>
                <w:sz w:val="20"/>
                <w:szCs w:val="20"/>
              </w:rPr>
            </w:pPr>
            <w:r w:rsidRPr="006740E5">
              <w:rPr>
                <w:rFonts w:ascii="Times New Roman" w:hAnsi="Times New Roman"/>
                <w:iCs/>
                <w:sz w:val="20"/>
                <w:szCs w:val="20"/>
              </w:rPr>
              <w:t>Neadekvatus esamai rinkos situacijai klientų reikšmingumo vertinimas.</w:t>
            </w:r>
          </w:p>
        </w:tc>
      </w:tr>
    </w:tbl>
    <w:p w:rsidR="00C66C7D" w:rsidRPr="006740E5" w:rsidRDefault="00C66C7D" w:rsidP="0014790C">
      <w:pPr>
        <w:spacing w:line="360" w:lineRule="auto"/>
        <w:rPr>
          <w:sz w:val="16"/>
          <w:szCs w:val="16"/>
        </w:rPr>
      </w:pPr>
    </w:p>
    <w:p w:rsidR="0000019F" w:rsidRPr="006740E5" w:rsidRDefault="0000019F" w:rsidP="00FB15B3">
      <w:pPr>
        <w:tabs>
          <w:tab w:val="left" w:pos="-6379"/>
          <w:tab w:val="left" w:pos="-2127"/>
        </w:tabs>
        <w:spacing w:before="20" w:after="40" w:line="360" w:lineRule="auto"/>
        <w:jc w:val="center"/>
        <w:rPr>
          <w:rFonts w:ascii="Times New Roman" w:hAnsi="Times New Roman"/>
          <w:b/>
          <w:sz w:val="24"/>
          <w:szCs w:val="24"/>
        </w:rPr>
      </w:pPr>
    </w:p>
    <w:p w:rsidR="00C66C7D" w:rsidRPr="006740E5" w:rsidRDefault="0014790C" w:rsidP="00FB15B3">
      <w:pPr>
        <w:tabs>
          <w:tab w:val="left" w:pos="-6379"/>
          <w:tab w:val="left" w:pos="-2127"/>
        </w:tabs>
        <w:spacing w:before="20" w:after="40" w:line="360" w:lineRule="auto"/>
        <w:jc w:val="center"/>
        <w:rPr>
          <w:rFonts w:ascii="Times New Roman" w:hAnsi="Times New Roman"/>
          <w:b/>
          <w:sz w:val="24"/>
          <w:szCs w:val="24"/>
        </w:rPr>
      </w:pPr>
      <w:r w:rsidRPr="006740E5">
        <w:rPr>
          <w:rFonts w:ascii="Times New Roman" w:hAnsi="Times New Roman"/>
          <w:b/>
          <w:sz w:val="24"/>
          <w:szCs w:val="24"/>
        </w:rPr>
        <w:lastRenderedPageBreak/>
        <w:t>3.3</w:t>
      </w:r>
      <w:r w:rsidR="00C66C7D" w:rsidRPr="006740E5">
        <w:rPr>
          <w:rFonts w:ascii="Times New Roman" w:hAnsi="Times New Roman"/>
          <w:b/>
          <w:sz w:val="24"/>
          <w:szCs w:val="24"/>
        </w:rPr>
        <w:t xml:space="preserve">. </w:t>
      </w:r>
      <w:r w:rsidRPr="006740E5">
        <w:rPr>
          <w:rFonts w:ascii="Times New Roman" w:hAnsi="Times New Roman"/>
          <w:b/>
          <w:sz w:val="24"/>
          <w:szCs w:val="24"/>
          <w:lang w:eastAsia="lt-LT"/>
        </w:rPr>
        <w:t xml:space="preserve">AB ,,Lietuvos paštas’’ paslaugų teikimo modelis taikant naujas žinias. </w:t>
      </w:r>
      <w:r w:rsidR="003B2854" w:rsidRPr="006740E5">
        <w:rPr>
          <w:rFonts w:ascii="Times New Roman" w:hAnsi="Times New Roman"/>
          <w:b/>
          <w:sz w:val="24"/>
          <w:szCs w:val="24"/>
          <w:lang w:eastAsia="lt-LT"/>
        </w:rPr>
        <w:br/>
      </w:r>
      <w:r w:rsidRPr="006740E5">
        <w:rPr>
          <w:rFonts w:ascii="Times New Roman" w:hAnsi="Times New Roman"/>
          <w:b/>
          <w:sz w:val="24"/>
          <w:szCs w:val="24"/>
          <w:lang w:eastAsia="lt-LT"/>
        </w:rPr>
        <w:t>Modelio praktinis aktualumas liberalėjančioje rinkoje</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16"/>
          <w:szCs w:val="16"/>
        </w:rPr>
      </w:pP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AB ,,Lietuvos paštas’’ būtina pristatyti kaip modernią, šiuolaikišką, į vartotojų poreikius besiorientuojančią įmonę siekiant išlaikyti ir patraukti IKT teikiamus patogumus jau spėjusius įvertinti vartotojus. Registruotų siuntų paieškos sistemos internete ir ,,Mokomato‘‘ pristatymas vartotojams buvo tinkamas žingsnis siekiant įrodyti vartotojams subjekto polinkį veiklos inovacijoms siekiant įtikti vartotojui. Įtikinti informacinėje visuomenėje gyvenantį vartotoją nėra lengva, nes toks vartotojas jau yra pripratęs prie paslaugų gavimo greičio ir kokybės, tokį asmenį jau tampa sunku sudominti. </w:t>
      </w:r>
      <w:r w:rsidRPr="006740E5">
        <w:rPr>
          <w:rFonts w:ascii="Times New Roman" w:hAnsi="Times New Roman"/>
          <w:sz w:val="24"/>
          <w:szCs w:val="24"/>
        </w:rPr>
        <w:br/>
        <w:t>AB ,,Lietuvos paštas’’ nuo pat savo įkūrimo daugiau veikia iš inercijos neskirdamas pakankamo dėmesio naujai besikuriančiai labai ypatingai situacijai – rinkos liberalizavimui, vis dar per mažai užsiima savireklama ir laikosi gana ,,toli‘‘ nuo vartotojo.</w:t>
      </w:r>
    </w:p>
    <w:p w:rsidR="00C66C7D" w:rsidRPr="006740E5" w:rsidRDefault="00C66C7D" w:rsidP="00FB15B3">
      <w:pPr>
        <w:tabs>
          <w:tab w:val="left" w:pos="-637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AB ,,Lietuvos paštas’’ vyksta permainos, tačiau dauguma su vartotojų poreikių tenkinimu nesusiję arba susiję tik netiesiogiai. Dėl per pirmąjį 2009 m. pirmąjį pusmetį patirtų 10,3 mln. litų nuostolių, ateityje siekiant mažinti sąnaudas buvo sukurtas planas pertvarkyti 72 nuostolingus pašto skyrius visoje šalyje. Šiuo būdu siekiama sutaupyti 2009 m. iki 2 mln. litų, o 2010 m. iki 4 mln. litų. Tačiau įmonės struktūros reorganizavimas neišspręs bendrovės AB ,,Lietuvos paštas’’ problemų – tai tik proceso naujovė. Autorius Koellinger (2008) savo tyrimuose nagrinėjęs technologijų, inovacijų ir subjekto rezultatų pokyčio sąsajas nustatė, kad turinio naujovė daro reikšmingą pokytį subjekto rezultatų gerinimui, kai proceso naujovės tik sukuria patogumą darbuotojams. Filippini ir Zola (2005) analizuodami Šveicarijos pašto sistemos reorganizavimą nustatė, kad pašto skyrių mažinimas neigiamai veikia socialinę vietinių gyventojų gerovę, nes sumažinus pašto skyrių skaičių, asmenims tektų padidinti išlaidas kelionei iki naujojo artimiausio pašto skyriaus, taip pat prarandama vyresnio amžiaus žmonėms patraukli susitikimų vieta. Tyrimo metu vertinant bendrovės išteklių organizavimą, buvo pastebėta, kad jis nėra optimalus, tačiau elementarus pašto poskyrių skaičiaus sumažinimas problemos nespręs, o tik sukels naują, nes sumažinus pašto poskyrių sumažės paslaugų gavimo vietų. Norint sumažinti sąnaudas mažinant poskyrių skaičių yra būtina vartotojams pasiūlyti paslaugų pasiekimo alternatyvą. Tokia alternatyva galėtų būti e. paslaugos – jas įdiegus sumažėtų klientų srautai į poskyrius, tokiu atveju poskyrių skaičiaus mažinimas tikrai būtų efektyvi sąnaudų optimizavimo priemonė.</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lang w:eastAsia="lt-LT"/>
        </w:rPr>
      </w:pPr>
      <w:r w:rsidRPr="006740E5">
        <w:rPr>
          <w:rFonts w:ascii="Times New Roman" w:hAnsi="Times New Roman"/>
          <w:sz w:val="24"/>
          <w:szCs w:val="24"/>
        </w:rPr>
        <w:t xml:space="preserve">Dabar veikiantį </w:t>
      </w:r>
      <w:r w:rsidRPr="006740E5">
        <w:rPr>
          <w:rFonts w:ascii="Times New Roman" w:hAnsi="Times New Roman"/>
          <w:sz w:val="24"/>
          <w:szCs w:val="24"/>
          <w:lang w:eastAsia="lt-LT"/>
        </w:rPr>
        <w:t xml:space="preserve">AB ,,Lietuvos paštas’’, valstybės ir paslaugų gavėjų santykių bei paslaugų teikimo modelį papildžius e. priemonėmis, siekiant siūlomas paslaugas paversti patrauklesnėmis vartotojams, AB ,,Lietuvos paštas’’ ir jo klientų sąveika taptų žymiai paprastesnė, priimtinesnė informacinės visuomenės vartotojui. Pagrindinės sritys, kuriose siūloma diegti e. priemones yra: </w:t>
      </w:r>
      <w:r w:rsidRPr="006740E5">
        <w:rPr>
          <w:rFonts w:ascii="Times New Roman" w:hAnsi="Times New Roman"/>
          <w:sz w:val="24"/>
          <w:szCs w:val="24"/>
          <w:lang w:eastAsia="lt-LT"/>
        </w:rPr>
        <w:br/>
        <w:t xml:space="preserve">a) paslaugų teikimas, nes šiame procese vartotojas gauna atsaką iš paslaugų teikėjo į vartotojo </w:t>
      </w:r>
      <w:r w:rsidRPr="006740E5">
        <w:rPr>
          <w:rFonts w:ascii="Times New Roman" w:hAnsi="Times New Roman"/>
          <w:sz w:val="24"/>
          <w:szCs w:val="24"/>
          <w:lang w:eastAsia="lt-LT"/>
        </w:rPr>
        <w:lastRenderedPageBreak/>
        <w:t>išreikštus poreikius; b) grįžtamasis ryšys iš vartotojo paslaugų teikėjui, nes šiame procese paslaugų teikėjas gauna atsaką į tai ar jam pavyko patenkinti kliento poreikius ir kokios tolimesnės vartotojo rekomendacijos subjekto siūlomoms paslaugoms (žr. 21 pav.).</w:t>
      </w:r>
    </w:p>
    <w:p w:rsidR="00C66C7D" w:rsidRPr="006740E5" w:rsidRDefault="00FB614B" w:rsidP="00FB15B3">
      <w:pPr>
        <w:tabs>
          <w:tab w:val="left" w:pos="-6379"/>
        </w:tabs>
        <w:spacing w:after="0" w:line="240" w:lineRule="auto"/>
        <w:jc w:val="center"/>
        <w:rPr>
          <w:rFonts w:ascii="Times New Roman" w:hAnsi="Times New Roman"/>
          <w:iCs/>
          <w:sz w:val="24"/>
          <w:szCs w:val="24"/>
        </w:rPr>
      </w:pPr>
      <w:r w:rsidRPr="006740E5">
        <w:rPr>
          <w:rFonts w:ascii="Times New Roman" w:hAnsi="Times New Roman"/>
          <w:sz w:val="24"/>
          <w:szCs w:val="24"/>
          <w:lang w:eastAsia="lt-LT"/>
        </w:rPr>
        <w:drawing>
          <wp:inline distT="0" distB="0" distL="0" distR="0">
            <wp:extent cx="6253314" cy="4010025"/>
            <wp:effectExtent l="19050" t="0" r="0" b="0"/>
            <wp:docPr id="23" name="Picture 23" descr="Schem_5 - Cop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chem_5 - Copy.bmp"/>
                    <pic:cNvPicPr>
                      <a:picLocks noChangeAspect="1" noChangeArrowheads="1"/>
                    </pic:cNvPicPr>
                  </pic:nvPicPr>
                  <pic:blipFill>
                    <a:blip r:embed="rId29"/>
                    <a:srcRect/>
                    <a:stretch>
                      <a:fillRect/>
                    </a:stretch>
                  </pic:blipFill>
                  <pic:spPr bwMode="auto">
                    <a:xfrm>
                      <a:off x="0" y="0"/>
                      <a:ext cx="6253314" cy="4010025"/>
                    </a:xfrm>
                    <a:prstGeom prst="rect">
                      <a:avLst/>
                    </a:prstGeom>
                    <a:noFill/>
                    <a:ln w="9525">
                      <a:noFill/>
                      <a:miter lim="800000"/>
                      <a:headEnd/>
                      <a:tailEnd/>
                    </a:ln>
                  </pic:spPr>
                </pic:pic>
              </a:graphicData>
            </a:graphic>
          </wp:inline>
        </w:drawing>
      </w:r>
    </w:p>
    <w:p w:rsidR="00C66C7D" w:rsidRPr="006740E5" w:rsidRDefault="00C66C7D" w:rsidP="0000019F">
      <w:pPr>
        <w:tabs>
          <w:tab w:val="left" w:pos="-6379"/>
          <w:tab w:val="left" w:pos="2385"/>
        </w:tabs>
        <w:spacing w:after="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r w:rsidRPr="006740E5">
        <w:rPr>
          <w:rFonts w:ascii="Times New Roman" w:hAnsi="Times New Roman"/>
          <w:sz w:val="16"/>
          <w:szCs w:val="16"/>
          <w:lang w:eastAsia="lt-LT"/>
        </w:rPr>
        <w:tab/>
      </w:r>
    </w:p>
    <w:p w:rsidR="00C66C7D" w:rsidRPr="006740E5" w:rsidRDefault="00C66C7D" w:rsidP="00FB15B3">
      <w:pPr>
        <w:tabs>
          <w:tab w:val="left" w:pos="-6379"/>
        </w:tabs>
        <w:spacing w:after="240" w:line="240" w:lineRule="auto"/>
        <w:ind w:firstLine="567"/>
        <w:jc w:val="center"/>
        <w:rPr>
          <w:rFonts w:ascii="Times New Roman" w:hAnsi="Times New Roman"/>
          <w:sz w:val="24"/>
          <w:szCs w:val="24"/>
        </w:rPr>
      </w:pPr>
      <w:r w:rsidRPr="006740E5">
        <w:rPr>
          <w:rFonts w:ascii="Times New Roman" w:hAnsi="Times New Roman"/>
          <w:sz w:val="24"/>
          <w:szCs w:val="24"/>
        </w:rPr>
        <w:t xml:space="preserve">21 pav. </w:t>
      </w:r>
      <w:r w:rsidR="00A5295E" w:rsidRPr="006740E5">
        <w:rPr>
          <w:rFonts w:ascii="Times New Roman" w:hAnsi="Times New Roman"/>
          <w:b/>
          <w:sz w:val="24"/>
          <w:szCs w:val="24"/>
        </w:rPr>
        <w:t xml:space="preserve">Rekomenduojamas </w:t>
      </w:r>
      <w:r w:rsidR="006F1924" w:rsidRPr="006740E5">
        <w:rPr>
          <w:rFonts w:ascii="Times New Roman" w:hAnsi="Times New Roman"/>
          <w:b/>
          <w:sz w:val="24"/>
          <w:szCs w:val="24"/>
        </w:rPr>
        <w:t xml:space="preserve">teorinis </w:t>
      </w:r>
      <w:r w:rsidR="00A5295E" w:rsidRPr="006740E5">
        <w:rPr>
          <w:rFonts w:ascii="Times New Roman" w:hAnsi="Times New Roman"/>
          <w:b/>
          <w:sz w:val="24"/>
          <w:szCs w:val="24"/>
        </w:rPr>
        <w:t>l</w:t>
      </w:r>
      <w:r w:rsidRPr="006740E5">
        <w:rPr>
          <w:rFonts w:ascii="Times New Roman" w:hAnsi="Times New Roman"/>
          <w:b/>
          <w:sz w:val="24"/>
          <w:szCs w:val="24"/>
        </w:rPr>
        <w:t xml:space="preserve">iberalizuotai pašto rinkai pritaikytas </w:t>
      </w:r>
      <w:r w:rsidR="006F1924" w:rsidRPr="006740E5">
        <w:rPr>
          <w:rFonts w:ascii="Times New Roman" w:hAnsi="Times New Roman"/>
          <w:b/>
          <w:sz w:val="24"/>
          <w:szCs w:val="24"/>
        </w:rPr>
        <w:br/>
      </w:r>
      <w:r w:rsidR="00D209B2" w:rsidRPr="006740E5">
        <w:rPr>
          <w:rFonts w:ascii="Times New Roman" w:hAnsi="Times New Roman"/>
          <w:b/>
          <w:sz w:val="24"/>
          <w:szCs w:val="24"/>
        </w:rPr>
        <w:t>AB ,,Lietuvos paštas’’</w:t>
      </w:r>
      <w:r w:rsidRPr="006740E5">
        <w:rPr>
          <w:rFonts w:ascii="Times New Roman" w:hAnsi="Times New Roman"/>
          <w:b/>
          <w:sz w:val="24"/>
          <w:szCs w:val="24"/>
        </w:rPr>
        <w:t xml:space="preserve"> paslaugų teikimo modelis</w:t>
      </w:r>
      <w:r w:rsidR="00312F86" w:rsidRPr="006740E5">
        <w:rPr>
          <w:rFonts w:ascii="Times New Roman" w:hAnsi="Times New Roman"/>
          <w:b/>
          <w:sz w:val="24"/>
          <w:szCs w:val="24"/>
        </w:rPr>
        <w:t xml:space="preserve"> valstybės ir klientų kontekste</w:t>
      </w:r>
    </w:p>
    <w:p w:rsidR="00C66C7D" w:rsidRPr="006740E5" w:rsidRDefault="00C66C7D" w:rsidP="004E168C">
      <w:pPr>
        <w:tabs>
          <w:tab w:val="left" w:pos="-6379"/>
        </w:tabs>
        <w:spacing w:before="20" w:after="40" w:line="360" w:lineRule="auto"/>
        <w:ind w:firstLine="567"/>
        <w:jc w:val="both"/>
        <w:rPr>
          <w:rFonts w:ascii="Times New Roman" w:hAnsi="Times New Roman"/>
          <w:sz w:val="24"/>
          <w:szCs w:val="24"/>
          <w:lang w:eastAsia="lt-LT"/>
        </w:rPr>
      </w:pPr>
      <w:r w:rsidRPr="006740E5">
        <w:rPr>
          <w:rFonts w:ascii="Times New Roman" w:hAnsi="Times New Roman"/>
          <w:sz w:val="24"/>
          <w:szCs w:val="24"/>
        </w:rPr>
        <w:t xml:space="preserve">AB ,,Lietuvos paštas’’ jau 1997 m. pradėjo veikti ,,Internet" serveris ir buvo sukurtas bendrovės puslapis internete, kuriame pateikiama informacija apie pašto paslaugas, tarifus, pašto ženklus ir kt. </w:t>
      </w:r>
      <w:r w:rsidRPr="006740E5">
        <w:rPr>
          <w:rFonts w:ascii="Times New Roman" w:hAnsi="Times New Roman"/>
          <w:sz w:val="24"/>
          <w:szCs w:val="24"/>
        </w:rPr>
        <w:br/>
        <w:t xml:space="preserve">Tų pačių metų gegužės 1 d. pradėta teikti IPP – iki 2009 m. (per 12-os metų laikotarpį) nebuvo pradėta teikti nei viena nauja e. paslauga (2009 m. pradėta teikti registruotų siuntų stebėjimo paslauga, </w:t>
      </w:r>
      <w:r w:rsidRPr="006740E5">
        <w:rPr>
          <w:rFonts w:ascii="Times New Roman" w:hAnsi="Times New Roman"/>
          <w:sz w:val="24"/>
          <w:szCs w:val="24"/>
        </w:rPr>
        <w:br/>
        <w:t>2010 m. pristatytas savitarnos e. paslaugų teikimo priemonė ,,Mokomatas‘‘). Dabartinės Lietuvos pašto rinkoje siūlomų paslaugų padėties analizė ir AB ,,Lietuvos paštas’’ dalyvavimo Lietuvos pašto rinkoje vertinimas</w:t>
      </w:r>
      <w:r w:rsidRPr="006740E5">
        <w:rPr>
          <w:rFonts w:ascii="Times New Roman" w:hAnsi="Times New Roman"/>
          <w:sz w:val="24"/>
          <w:szCs w:val="24"/>
          <w:lang w:eastAsia="lt-LT"/>
        </w:rPr>
        <w:t xml:space="preserve"> parodė, kad valstybinio pašto paslaugų teikėjo konkurentai patys aktyviai teikia </w:t>
      </w:r>
      <w:r w:rsidRPr="006740E5">
        <w:rPr>
          <w:rFonts w:ascii="Times New Roman" w:hAnsi="Times New Roman"/>
          <w:sz w:val="24"/>
          <w:szCs w:val="24"/>
          <w:lang w:eastAsia="lt-LT"/>
        </w:rPr>
        <w:br/>
        <w:t xml:space="preserve">e. paslaugas, nuolat siekia plėsti jų pasiūlą ir silpną e. paslaugų išplėtojimą AB ,,Lietuvos paštas’’ vertina kaip svarią įmonės silpnybę siekiant ekonominės naudos ir dalyvaujant Lietuvos pašto paslaugų rinkoje. Siekiant panaikinti šį konkurentų tyrimo atskleistą subjekto trūkumą reikėtų plėtoti </w:t>
      </w:r>
      <w:r w:rsidRPr="006740E5">
        <w:rPr>
          <w:rFonts w:ascii="Times New Roman" w:hAnsi="Times New Roman"/>
          <w:sz w:val="24"/>
          <w:szCs w:val="24"/>
          <w:lang w:eastAsia="lt-LT"/>
        </w:rPr>
        <w:br/>
        <w:t xml:space="preserve">e. paslaugas ir tai vykdyti pasitelkiant 21 lentelėje siūlomas priemones: elektronines sutartis </w:t>
      </w:r>
      <w:r w:rsidRPr="006740E5">
        <w:rPr>
          <w:rFonts w:ascii="Times New Roman" w:hAnsi="Times New Roman"/>
          <w:sz w:val="24"/>
          <w:szCs w:val="24"/>
          <w:lang w:eastAsia="lt-LT"/>
        </w:rPr>
        <w:br/>
        <w:t>(toliau – e. sutartis), e. prekybą, elektroninius pranešimus (toliau – e. pranešimus), elektroninius atsiskaitymus (toliau – e. atsiskaitymus).</w:t>
      </w:r>
    </w:p>
    <w:p w:rsidR="0000019F" w:rsidRPr="006740E5" w:rsidRDefault="0000019F" w:rsidP="004E168C">
      <w:pPr>
        <w:tabs>
          <w:tab w:val="left" w:pos="-6379"/>
        </w:tabs>
        <w:spacing w:before="20" w:after="40" w:line="360" w:lineRule="auto"/>
        <w:ind w:firstLine="567"/>
        <w:jc w:val="both"/>
        <w:rPr>
          <w:rFonts w:ascii="Times New Roman" w:hAnsi="Times New Roman"/>
          <w:sz w:val="24"/>
          <w:szCs w:val="24"/>
          <w:lang w:eastAsia="lt-LT"/>
        </w:rPr>
      </w:pPr>
    </w:p>
    <w:p w:rsidR="00C66C7D" w:rsidRPr="006740E5" w:rsidRDefault="00C66C7D" w:rsidP="004E168C">
      <w:pPr>
        <w:tabs>
          <w:tab w:val="left" w:pos="-6379"/>
        </w:tabs>
        <w:spacing w:before="120" w:after="120" w:line="240" w:lineRule="auto"/>
        <w:jc w:val="center"/>
        <w:rPr>
          <w:rFonts w:ascii="Times New Roman" w:hAnsi="Times New Roman"/>
          <w:b/>
          <w:sz w:val="24"/>
          <w:szCs w:val="24"/>
        </w:rPr>
      </w:pPr>
      <w:r w:rsidRPr="006740E5">
        <w:rPr>
          <w:rFonts w:ascii="Times New Roman" w:hAnsi="Times New Roman"/>
          <w:b/>
          <w:sz w:val="24"/>
          <w:szCs w:val="24"/>
          <w:lang w:eastAsia="lt-LT"/>
        </w:rPr>
        <w:lastRenderedPageBreak/>
        <w:t>21</w:t>
      </w:r>
      <w:r w:rsidRPr="006740E5">
        <w:rPr>
          <w:rFonts w:ascii="Times New Roman" w:hAnsi="Times New Roman"/>
          <w:b/>
          <w:sz w:val="24"/>
          <w:szCs w:val="24"/>
        </w:rPr>
        <w:t xml:space="preserve"> lentelė</w:t>
      </w:r>
      <w:r w:rsidRPr="006740E5">
        <w:rPr>
          <w:rFonts w:ascii="Times New Roman" w:hAnsi="Times New Roman"/>
          <w:b/>
          <w:i/>
          <w:sz w:val="24"/>
          <w:szCs w:val="24"/>
        </w:rPr>
        <w:t>.</w:t>
      </w:r>
      <w:r w:rsidRPr="006740E5">
        <w:rPr>
          <w:rFonts w:ascii="Times New Roman" w:hAnsi="Times New Roman"/>
          <w:b/>
          <w:sz w:val="24"/>
          <w:szCs w:val="24"/>
        </w:rPr>
        <w:t xml:space="preserve"> E. paslaugų taikymo galimybių AB ,,Lietuvos paštas’’ analizė</w:t>
      </w:r>
    </w:p>
    <w:tbl>
      <w:tblPr>
        <w:tblW w:w="0" w:type="auto"/>
        <w:jc w:val="center"/>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73"/>
        <w:gridCol w:w="4450"/>
        <w:gridCol w:w="3741"/>
      </w:tblGrid>
      <w:tr w:rsidR="00C66C7D" w:rsidRPr="006740E5" w:rsidTr="002C37AA">
        <w:trPr>
          <w:jc w:val="center"/>
        </w:trPr>
        <w:tc>
          <w:tcPr>
            <w:tcW w:w="1673"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Paslaugų rūšis</w:t>
            </w:r>
          </w:p>
        </w:tc>
        <w:tc>
          <w:tcPr>
            <w:tcW w:w="4450" w:type="dxa"/>
            <w:tcBorders>
              <w:top w:val="single" w:sz="12" w:space="0" w:color="auto"/>
              <w:bottom w:val="single" w:sz="12" w:space="0" w:color="auto"/>
            </w:tcBorders>
            <w:shd w:val="pct10" w:color="auto" w:fill="auto"/>
            <w:vAlign w:val="center"/>
          </w:tcPr>
          <w:p w:rsidR="00C66C7D" w:rsidRPr="006740E5" w:rsidRDefault="00C66C7D" w:rsidP="002C37AA">
            <w:pPr>
              <w:tabs>
                <w:tab w:val="left" w:pos="-8330"/>
                <w:tab w:val="left" w:pos="-6379"/>
              </w:tabs>
              <w:spacing w:before="20" w:after="40" w:line="240" w:lineRule="auto"/>
              <w:jc w:val="center"/>
              <w:rPr>
                <w:rFonts w:ascii="Times New Roman" w:hAnsi="Times New Roman"/>
                <w:b/>
                <w:sz w:val="20"/>
                <w:szCs w:val="20"/>
              </w:rPr>
            </w:pPr>
            <w:r w:rsidRPr="006740E5">
              <w:rPr>
                <w:rFonts w:ascii="Times New Roman" w:hAnsi="Times New Roman"/>
                <w:b/>
                <w:sz w:val="20"/>
                <w:szCs w:val="20"/>
              </w:rPr>
              <w:t>Paslaugų rūšies apibūdinimas</w:t>
            </w:r>
          </w:p>
        </w:tc>
        <w:tc>
          <w:tcPr>
            <w:tcW w:w="3741"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2C37AA">
            <w:pPr>
              <w:tabs>
                <w:tab w:val="left" w:pos="-11874"/>
                <w:tab w:val="left" w:pos="-6379"/>
              </w:tabs>
              <w:spacing w:before="20" w:after="40" w:line="240" w:lineRule="auto"/>
              <w:ind w:firstLine="33"/>
              <w:jc w:val="center"/>
              <w:rPr>
                <w:rFonts w:ascii="Times New Roman" w:hAnsi="Times New Roman"/>
                <w:b/>
                <w:sz w:val="20"/>
                <w:szCs w:val="20"/>
              </w:rPr>
            </w:pPr>
            <w:r w:rsidRPr="006740E5">
              <w:rPr>
                <w:rFonts w:ascii="Times New Roman" w:hAnsi="Times New Roman"/>
                <w:b/>
                <w:sz w:val="20"/>
                <w:szCs w:val="20"/>
              </w:rPr>
              <w:t>AB ,,Lietuvos paštas’’ teikiamų paslaugų pritaikomumas</w:t>
            </w:r>
          </w:p>
        </w:tc>
      </w:tr>
      <w:tr w:rsidR="00C66C7D" w:rsidRPr="006740E5" w:rsidTr="002C37AA">
        <w:trPr>
          <w:jc w:val="center"/>
        </w:trPr>
        <w:tc>
          <w:tcPr>
            <w:tcW w:w="167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E. sutartys</w:t>
            </w:r>
          </w:p>
        </w:tc>
        <w:tc>
          <w:tcPr>
            <w:tcW w:w="4450" w:type="dxa"/>
            <w:vAlign w:val="center"/>
          </w:tcPr>
          <w:p w:rsidR="00C66C7D" w:rsidRPr="006740E5" w:rsidRDefault="00C66C7D" w:rsidP="002C37AA">
            <w:pPr>
              <w:tabs>
                <w:tab w:val="left" w:pos="-8330"/>
                <w:tab w:val="left" w:pos="-6379"/>
              </w:tabs>
              <w:spacing w:before="20" w:after="40" w:line="240" w:lineRule="auto"/>
              <w:rPr>
                <w:rFonts w:ascii="Times New Roman" w:hAnsi="Times New Roman"/>
                <w:sz w:val="20"/>
                <w:szCs w:val="20"/>
              </w:rPr>
            </w:pPr>
            <w:r w:rsidRPr="006740E5">
              <w:rPr>
                <w:rFonts w:ascii="Times New Roman" w:hAnsi="Times New Roman"/>
                <w:sz w:val="20"/>
                <w:szCs w:val="20"/>
              </w:rPr>
              <w:t>E. paslaugų rūšis, kuomet klientas e. būdu sudaro sutartį su AB ,,Lietuvos paštas’’ dėl paslaugos teikimo.</w:t>
            </w:r>
          </w:p>
        </w:tc>
        <w:tc>
          <w:tcPr>
            <w:tcW w:w="3741" w:type="dxa"/>
            <w:tcBorders>
              <w:right w:val="single" w:sz="12" w:space="0" w:color="auto"/>
            </w:tcBorders>
            <w:vAlign w:val="center"/>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IPP, neadresuotoji reklama, reklaminės pašto siuntos ir t. t.</w:t>
            </w:r>
          </w:p>
        </w:tc>
      </w:tr>
      <w:tr w:rsidR="00C66C7D" w:rsidRPr="006740E5" w:rsidTr="002C37AA">
        <w:trPr>
          <w:jc w:val="center"/>
        </w:trPr>
        <w:tc>
          <w:tcPr>
            <w:tcW w:w="167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E. prekyba</w:t>
            </w:r>
          </w:p>
        </w:tc>
        <w:tc>
          <w:tcPr>
            <w:tcW w:w="4450" w:type="dxa"/>
            <w:vAlign w:val="center"/>
          </w:tcPr>
          <w:p w:rsidR="00C66C7D" w:rsidRPr="006740E5" w:rsidRDefault="00C66C7D" w:rsidP="002C37AA">
            <w:pPr>
              <w:tabs>
                <w:tab w:val="left" w:pos="-8330"/>
                <w:tab w:val="left" w:pos="-6379"/>
              </w:tabs>
              <w:spacing w:before="20" w:after="40" w:line="240" w:lineRule="auto"/>
              <w:rPr>
                <w:rFonts w:ascii="Times New Roman" w:hAnsi="Times New Roman"/>
                <w:sz w:val="20"/>
                <w:szCs w:val="20"/>
              </w:rPr>
            </w:pPr>
            <w:r w:rsidRPr="006740E5">
              <w:rPr>
                <w:rFonts w:ascii="Times New Roman" w:hAnsi="Times New Roman"/>
                <w:sz w:val="20"/>
                <w:szCs w:val="20"/>
              </w:rPr>
              <w:t>E. paslaugų rūšis, kuomet klientas elektroniniu būdu galėtų užsisakyti ir gauti elektronines arba tradicines prekes ir paslaugas.</w:t>
            </w:r>
          </w:p>
        </w:tc>
        <w:tc>
          <w:tcPr>
            <w:tcW w:w="3741" w:type="dxa"/>
            <w:tcBorders>
              <w:right w:val="single" w:sz="12" w:space="0" w:color="auto"/>
            </w:tcBorders>
            <w:vAlign w:val="center"/>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Prekyba pašto ženklais ir kitomis su siuntų siuntimu susijusiomis prekėmis, prenumeruojamų leidinių užsakymas ir t. t.</w:t>
            </w:r>
          </w:p>
        </w:tc>
      </w:tr>
      <w:tr w:rsidR="00C66C7D" w:rsidRPr="006740E5" w:rsidTr="002C37AA">
        <w:trPr>
          <w:jc w:val="center"/>
        </w:trPr>
        <w:tc>
          <w:tcPr>
            <w:tcW w:w="167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E. pranešimai</w:t>
            </w:r>
          </w:p>
        </w:tc>
        <w:tc>
          <w:tcPr>
            <w:tcW w:w="4450" w:type="dxa"/>
            <w:vAlign w:val="center"/>
          </w:tcPr>
          <w:p w:rsidR="00C66C7D" w:rsidRPr="006740E5" w:rsidRDefault="00C66C7D" w:rsidP="002C37AA">
            <w:pPr>
              <w:tabs>
                <w:tab w:val="left" w:pos="-8330"/>
                <w:tab w:val="left" w:pos="-6379"/>
              </w:tabs>
              <w:spacing w:before="20" w:after="40" w:line="240" w:lineRule="auto"/>
              <w:rPr>
                <w:rFonts w:ascii="Times New Roman" w:hAnsi="Times New Roman"/>
                <w:sz w:val="20"/>
                <w:szCs w:val="20"/>
              </w:rPr>
            </w:pPr>
            <w:r w:rsidRPr="006740E5">
              <w:rPr>
                <w:rFonts w:ascii="Times New Roman" w:hAnsi="Times New Roman"/>
                <w:sz w:val="20"/>
                <w:szCs w:val="20"/>
              </w:rPr>
              <w:t>E. paslaugų rūšis, kuomet klientas elektroniniu būdu gautų informaciją iš pašto paslaugų teikėjo.</w:t>
            </w:r>
          </w:p>
        </w:tc>
        <w:tc>
          <w:tcPr>
            <w:tcW w:w="3741" w:type="dxa"/>
            <w:tcBorders>
              <w:right w:val="single" w:sz="12" w:space="0" w:color="auto"/>
            </w:tcBorders>
            <w:vAlign w:val="center"/>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Registruotos korespondencijos ir siuntų gavimas, tarifų pakeitimai, naujos paslaugos, akcijos ir t. t.</w:t>
            </w:r>
          </w:p>
        </w:tc>
      </w:tr>
      <w:tr w:rsidR="00C66C7D" w:rsidRPr="006740E5" w:rsidTr="002C37AA">
        <w:trPr>
          <w:jc w:val="center"/>
        </w:trPr>
        <w:tc>
          <w:tcPr>
            <w:tcW w:w="1673" w:type="dxa"/>
            <w:tcBorders>
              <w:left w:val="single" w:sz="12" w:space="0" w:color="auto"/>
              <w:bottom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E. atsiskaitymai</w:t>
            </w:r>
          </w:p>
        </w:tc>
        <w:tc>
          <w:tcPr>
            <w:tcW w:w="4450" w:type="dxa"/>
            <w:tcBorders>
              <w:bottom w:val="single" w:sz="12" w:space="0" w:color="auto"/>
            </w:tcBorders>
            <w:vAlign w:val="center"/>
          </w:tcPr>
          <w:p w:rsidR="00C66C7D" w:rsidRPr="006740E5" w:rsidRDefault="00C66C7D" w:rsidP="002C37AA">
            <w:pPr>
              <w:tabs>
                <w:tab w:val="left" w:pos="-8330"/>
                <w:tab w:val="left" w:pos="-6379"/>
              </w:tabs>
              <w:spacing w:before="20" w:after="40" w:line="240" w:lineRule="auto"/>
              <w:rPr>
                <w:rFonts w:ascii="Times New Roman" w:hAnsi="Times New Roman"/>
                <w:sz w:val="20"/>
                <w:szCs w:val="20"/>
              </w:rPr>
            </w:pPr>
            <w:r w:rsidRPr="006740E5">
              <w:rPr>
                <w:rFonts w:ascii="Times New Roman" w:hAnsi="Times New Roman"/>
                <w:sz w:val="20"/>
                <w:szCs w:val="20"/>
              </w:rPr>
              <w:t>E. paslaugų rūšis, kuomet klientas elektroniniu būdu gali sumokėti už tradicine ar elektronine forma jam suteiktas prekes ar paslaugas.</w:t>
            </w:r>
          </w:p>
        </w:tc>
        <w:tc>
          <w:tcPr>
            <w:tcW w:w="3741" w:type="dxa"/>
            <w:tcBorders>
              <w:bottom w:val="single" w:sz="12" w:space="0" w:color="auto"/>
              <w:right w:val="single" w:sz="12" w:space="0" w:color="auto"/>
            </w:tcBorders>
            <w:vAlign w:val="center"/>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Atsiskaitymas už siūlomas prekes ar paslaugas.</w:t>
            </w:r>
          </w:p>
        </w:tc>
      </w:tr>
    </w:tbl>
    <w:p w:rsidR="00C66C7D" w:rsidRPr="006740E5" w:rsidRDefault="00C66C7D" w:rsidP="00FB15B3">
      <w:pPr>
        <w:tabs>
          <w:tab w:val="left" w:pos="-6379"/>
        </w:tabs>
        <w:spacing w:before="20" w:after="4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6237"/>
        </w:tabs>
        <w:spacing w:before="20" w:after="40" w:line="360" w:lineRule="auto"/>
        <w:ind w:firstLine="567"/>
        <w:jc w:val="both"/>
        <w:rPr>
          <w:rFonts w:ascii="Times New Roman" w:hAnsi="Times New Roman"/>
          <w:sz w:val="6"/>
          <w:szCs w:val="6"/>
          <w:lang w:eastAsia="lt-LT"/>
        </w:rPr>
      </w:pPr>
    </w:p>
    <w:p w:rsidR="00C66C7D" w:rsidRPr="006740E5" w:rsidRDefault="00C66C7D" w:rsidP="00FB15B3">
      <w:pPr>
        <w:tabs>
          <w:tab w:val="left" w:pos="-6379"/>
          <w:tab w:val="left" w:pos="-6237"/>
        </w:tabs>
        <w:spacing w:before="20" w:after="40" w:line="360" w:lineRule="auto"/>
        <w:ind w:firstLine="567"/>
        <w:jc w:val="both"/>
        <w:rPr>
          <w:rFonts w:ascii="Times New Roman" w:hAnsi="Times New Roman"/>
          <w:iCs/>
          <w:sz w:val="24"/>
          <w:szCs w:val="24"/>
        </w:rPr>
      </w:pPr>
      <w:r w:rsidRPr="006740E5">
        <w:rPr>
          <w:rFonts w:ascii="Times New Roman" w:hAnsi="Times New Roman"/>
          <w:sz w:val="24"/>
          <w:szCs w:val="24"/>
          <w:lang w:eastAsia="lt-LT"/>
        </w:rPr>
        <w:t>E. paslaugų taikymo galimybių AB ,,Lietuvos paštas’’ analizė atskleidė kaip plačiai e. priemonės gali būti pritaikytos siekiant sukurti klientams kuo palankesnes sąlygas naudotis AB ,,Lietuvos paštas’’ siūlomomis paslaugomis ir dalyvauti aktualių naujų paslaugų kūrime bei jau teikiamų paslaugų kokybės ir atitikimo vartotojų poreikiams tobulinime. Lentelėse</w:t>
      </w:r>
      <w:r w:rsidRPr="006740E5">
        <w:rPr>
          <w:rFonts w:ascii="Times New Roman" w:hAnsi="Times New Roman"/>
          <w:iCs/>
          <w:sz w:val="24"/>
          <w:szCs w:val="24"/>
        </w:rPr>
        <w:t xml:space="preserve"> 22, 23, 24 ir 25 pateikiama išsamesnė atskirų e. paslaugų rūšių pritaikymo galimybių analizė AB ,,Lietuvos paštas’’ šiuo metu teikiamoms paslaugoms pateikiant tu paslaugų siūlomo pritaikomumo bendrovėje tikslų paaiškinimą.</w:t>
      </w:r>
    </w:p>
    <w:p w:rsidR="00C66C7D" w:rsidRPr="006740E5" w:rsidRDefault="00C66C7D" w:rsidP="004E168C">
      <w:pPr>
        <w:tabs>
          <w:tab w:val="left" w:pos="-6379"/>
          <w:tab w:val="left" w:pos="-142"/>
          <w:tab w:val="left" w:pos="709"/>
        </w:tabs>
        <w:spacing w:before="60" w:after="120" w:line="360" w:lineRule="auto"/>
        <w:ind w:firstLine="567"/>
        <w:jc w:val="center"/>
        <w:rPr>
          <w:rFonts w:ascii="Times New Roman" w:hAnsi="Times New Roman"/>
          <w:b/>
          <w:iCs/>
          <w:sz w:val="24"/>
          <w:szCs w:val="24"/>
        </w:rPr>
      </w:pPr>
      <w:r w:rsidRPr="006740E5">
        <w:rPr>
          <w:rFonts w:ascii="Times New Roman" w:hAnsi="Times New Roman"/>
          <w:b/>
          <w:iCs/>
          <w:sz w:val="24"/>
          <w:szCs w:val="24"/>
        </w:rPr>
        <w:t>22 lentelė. E. sutarčių AB ,,Lietuvos paštas’’ pritaikymo galimybių analizė</w:t>
      </w:r>
    </w:p>
    <w:tbl>
      <w:tblPr>
        <w:tblW w:w="0" w:type="auto"/>
        <w:jc w:val="center"/>
        <w:tblInd w:w="-20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83"/>
        <w:gridCol w:w="7216"/>
      </w:tblGrid>
      <w:tr w:rsidR="00C66C7D" w:rsidRPr="006740E5" w:rsidTr="002C37AA">
        <w:trPr>
          <w:jc w:val="center"/>
        </w:trPr>
        <w:tc>
          <w:tcPr>
            <w:tcW w:w="2683"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Paslauga</w:t>
            </w:r>
          </w:p>
        </w:tc>
        <w:tc>
          <w:tcPr>
            <w:tcW w:w="7216"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2C37AA">
            <w:pPr>
              <w:tabs>
                <w:tab w:val="left" w:pos="-11874"/>
                <w:tab w:val="left" w:pos="-6379"/>
              </w:tabs>
              <w:spacing w:before="20" w:after="40" w:line="240" w:lineRule="auto"/>
              <w:ind w:firstLine="33"/>
              <w:jc w:val="center"/>
              <w:rPr>
                <w:rFonts w:ascii="Times New Roman" w:hAnsi="Times New Roman"/>
                <w:b/>
                <w:sz w:val="20"/>
                <w:szCs w:val="20"/>
              </w:rPr>
            </w:pPr>
            <w:r w:rsidRPr="006740E5">
              <w:rPr>
                <w:rFonts w:ascii="Times New Roman" w:hAnsi="Times New Roman"/>
                <w:b/>
                <w:sz w:val="20"/>
                <w:szCs w:val="20"/>
              </w:rPr>
              <w:t>Paslaugos pritaikomumas AB ,,Lietuvos paštas’’ teikiamoms paslaugoms</w:t>
            </w:r>
          </w:p>
        </w:tc>
      </w:tr>
      <w:tr w:rsidR="00C66C7D" w:rsidRPr="006740E5" w:rsidTr="002C37AA">
        <w:trPr>
          <w:jc w:val="center"/>
        </w:trPr>
        <w:tc>
          <w:tcPr>
            <w:tcW w:w="2683" w:type="dxa"/>
            <w:tcBorders>
              <w:top w:val="single" w:sz="12" w:space="0" w:color="auto"/>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IPP</w:t>
            </w:r>
          </w:p>
        </w:tc>
        <w:tc>
          <w:tcPr>
            <w:tcW w:w="7216" w:type="dxa"/>
            <w:tcBorders>
              <w:top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sutarčių sudarymas sąskaitų, pranešimų, naujienlaiškių ir kitos tokio tipo informacijos atspausdinimui ir išplatinimui.</w:t>
            </w:r>
          </w:p>
        </w:tc>
      </w:tr>
      <w:tr w:rsidR="00C66C7D" w:rsidRPr="006740E5" w:rsidTr="002C37AA">
        <w:trPr>
          <w:jc w:val="center"/>
        </w:trPr>
        <w:tc>
          <w:tcPr>
            <w:tcW w:w="268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Neadresuotoji reklama</w:t>
            </w:r>
          </w:p>
        </w:tc>
        <w:tc>
          <w:tcPr>
            <w:tcW w:w="7216"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sutarčių sudarymas neadresuotajai reklamai platinti sutartį įgyvendinant IPP pagrindu.</w:t>
            </w:r>
          </w:p>
        </w:tc>
      </w:tr>
      <w:tr w:rsidR="00C66C7D" w:rsidRPr="006740E5" w:rsidTr="002C37AA">
        <w:trPr>
          <w:jc w:val="center"/>
        </w:trPr>
        <w:tc>
          <w:tcPr>
            <w:tcW w:w="268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Reklaminės pašto siuntos</w:t>
            </w:r>
          </w:p>
        </w:tc>
        <w:tc>
          <w:tcPr>
            <w:tcW w:w="7216"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sutarčių sudarymas adresuotai reklaminei pašto siuntai platinti sutartį įgyvendinant IPP pagrindu.</w:t>
            </w:r>
          </w:p>
        </w:tc>
      </w:tr>
      <w:tr w:rsidR="00C66C7D" w:rsidRPr="006740E5" w:rsidTr="002C37AA">
        <w:trPr>
          <w:jc w:val="center"/>
        </w:trPr>
        <w:tc>
          <w:tcPr>
            <w:tcW w:w="2683" w:type="dxa"/>
            <w:tcBorders>
              <w:left w:val="single" w:sz="12" w:space="0" w:color="auto"/>
              <w:bottom w:val="single" w:sz="4"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Reklama</w:t>
            </w:r>
          </w:p>
        </w:tc>
        <w:tc>
          <w:tcPr>
            <w:tcW w:w="7216" w:type="dxa"/>
            <w:tcBorders>
              <w:bottom w:val="single" w:sz="4"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Reklamos pašto skyriuose ar interneto tinklalapyje užsakymas.</w:t>
            </w:r>
          </w:p>
        </w:tc>
      </w:tr>
      <w:tr w:rsidR="00C66C7D" w:rsidRPr="006740E5" w:rsidTr="002C37AA">
        <w:trPr>
          <w:jc w:val="center"/>
        </w:trPr>
        <w:tc>
          <w:tcPr>
            <w:tcW w:w="2683" w:type="dxa"/>
            <w:tcBorders>
              <w:left w:val="single" w:sz="12" w:space="0" w:color="auto"/>
              <w:bottom w:val="single" w:sz="4"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Prekių paštu užsakymas</w:t>
            </w:r>
          </w:p>
        </w:tc>
        <w:tc>
          <w:tcPr>
            <w:tcW w:w="7216" w:type="dxa"/>
            <w:tcBorders>
              <w:bottom w:val="single" w:sz="4"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sutarčių sudarymas su partneriais, kurie naudodamiesi AB ,,Lietuvos paštas’’ paslaugomis pristato prekes paštu.</w:t>
            </w:r>
          </w:p>
        </w:tc>
      </w:tr>
      <w:tr w:rsidR="00C66C7D" w:rsidRPr="006740E5" w:rsidTr="002C37AA">
        <w:trPr>
          <w:jc w:val="center"/>
        </w:trPr>
        <w:tc>
          <w:tcPr>
            <w:tcW w:w="2683" w:type="dxa"/>
            <w:tcBorders>
              <w:left w:val="single" w:sz="12" w:space="0" w:color="auto"/>
              <w:bottom w:val="single" w:sz="4"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Abonentinės dėžutės nuoma</w:t>
            </w:r>
          </w:p>
        </w:tc>
        <w:tc>
          <w:tcPr>
            <w:tcW w:w="7216" w:type="dxa"/>
            <w:tcBorders>
              <w:bottom w:val="single" w:sz="4"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sutarties sudarymas siekiant naudotis pašto dėžute AB ,,Lietuvos paštas’’ filiale.</w:t>
            </w:r>
          </w:p>
        </w:tc>
      </w:tr>
      <w:tr w:rsidR="00C66C7D" w:rsidRPr="006740E5" w:rsidTr="002C37AA">
        <w:trPr>
          <w:jc w:val="center"/>
        </w:trPr>
        <w:tc>
          <w:tcPr>
            <w:tcW w:w="2683" w:type="dxa"/>
            <w:tcBorders>
              <w:top w:val="single" w:sz="4" w:space="0" w:color="auto"/>
              <w:left w:val="single" w:sz="12" w:space="0" w:color="auto"/>
              <w:bottom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Pinigų perlaidos</w:t>
            </w:r>
          </w:p>
        </w:tc>
        <w:tc>
          <w:tcPr>
            <w:tcW w:w="7216" w:type="dxa"/>
            <w:tcBorders>
              <w:top w:val="single" w:sz="4" w:space="0" w:color="auto"/>
              <w:bottom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sutarties sudarymas Pašto perlaidai ar Western Union perlaidai.</w:t>
            </w:r>
          </w:p>
        </w:tc>
      </w:tr>
    </w:tbl>
    <w:p w:rsidR="00C66C7D" w:rsidRPr="006740E5" w:rsidRDefault="00C66C7D" w:rsidP="00FB15B3">
      <w:pPr>
        <w:tabs>
          <w:tab w:val="left" w:pos="-6379"/>
        </w:tabs>
        <w:spacing w:before="20" w:after="4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 sutarčių AB ,,Lietuvos paštas’’ pritaikymo galimybių analizė (žr. 22 lentelę) parodė, kad visas AB ,,Lietuvos paštas’’ ir jų klientų sudaromas sutartis įmanoma perkelti į e. erdvę. E. sutarčių pagrindinė problema yra sutartį patvirtinančio asmens tapatybės nustatymas, tačiau šiai problemai spręsti Lietuvoje jau yra patvirtintas ir UAB ,,Skaitmeninio sertifikavimo centras‘‘ platinamas elektroninis parašas, taip pat užsakovo tapatybę galima nustatyti per elektroninės bankininkystės (toliau – e. bankininkystė) sistemą (šis asmenų identifikavimas taikomas pildant pajamų deklaraciją Valstybinei mokesčių inspekcijai prie LR Finansų ministerijos, interneto aukcionuose ir kt.). </w:t>
      </w:r>
      <w:r w:rsidRPr="006740E5">
        <w:rPr>
          <w:rFonts w:ascii="Times New Roman" w:hAnsi="Times New Roman"/>
          <w:iCs/>
          <w:sz w:val="24"/>
          <w:szCs w:val="24"/>
        </w:rPr>
        <w:br/>
      </w:r>
      <w:r w:rsidRPr="006740E5">
        <w:rPr>
          <w:rFonts w:ascii="Times New Roman" w:hAnsi="Times New Roman"/>
          <w:iCs/>
          <w:sz w:val="24"/>
          <w:szCs w:val="24"/>
        </w:rPr>
        <w:lastRenderedPageBreak/>
        <w:t xml:space="preserve">E. sutarčių sudarymo su AB ,,Lietuvos paštas’’ dėl paslaugų teikimo galimybė ypatingai būtų patraukli juridiniams asmenims, nes leistų sutaupyti laiką ir išteklius skiriamus kelionei ir dokumentų tvarkymui akis į akį. E. sutartys sudarytų sąlygas patogiai ir neskiriant gausių išteklių užsienio organizacijoms naudotis pašto paslaugomis Lietuvoje, nes paslaugas užsakius per e. sutartis paslaugų teikimui Lietuvoje galiotų šalyje teikiamų paslaugų įkainiai, kurie yra du (kartais tris) kartus mažesni nei kitų šalių tarptautinių paslaugų įkainiai. Užsienio organizacijoms aktualios būtų reklaminių pašto siuntų ir IPP paslaugos. Fiziniams asmenims aktuali ir naudinga būtų Pašto perlaidų sutarčių sudarymo elektroniniu būdu paslauga. Ši paslauga suteiktų galimybę klientui sudaryti e. sutartį su AB ,,Lietuvos paštas’’, kad iš kliento banko sąskaitos į AB ,,Lietuvos paštas’’ sąskaitą pervesti pinigai galutiniam perlaidos gavėjui patektų per kitos šalies pašto poskyrį. Pinigų siuntėjui tai būtų patogi priemonė padaryti piniginę perlaidą asmeniui kitoje šalyje neturinčiam banko sąskaitos. Šiuo metu siūloma </w:t>
      </w:r>
      <w:r w:rsidRPr="006740E5">
        <w:rPr>
          <w:rFonts w:ascii="Times New Roman" w:hAnsi="Times New Roman"/>
          <w:iCs/>
          <w:sz w:val="24"/>
          <w:szCs w:val="24"/>
        </w:rPr>
        <w:br/>
        <w:t xml:space="preserve">tik AB ,,Lietuvos paštas’’ grynųjų pinigų pašto perlaidos į gavėjo gyvenamąja vietovę ar banko sąskaitą. Valstybinio pašto paslaugų teikėjo partneris Western Union užsienio šalyse jau siūlo elektronines pašto perlaidas, o Lietuvoje dar neteikia šių paslaugų, todėl AB ,,Lietuvos paštas’’ būtų labai paranku pirmam pradėti teikti naują paslaugą. Autorius </w:t>
      </w:r>
      <w:r w:rsidRPr="006740E5">
        <w:rPr>
          <w:rFonts w:ascii="Times New Roman" w:hAnsi="Times New Roman"/>
          <w:sz w:val="24"/>
          <w:szCs w:val="24"/>
        </w:rPr>
        <w:t>Koellinger (2008) atlikdamas tyrimus</w:t>
      </w:r>
      <w:r w:rsidRPr="006740E5">
        <w:rPr>
          <w:rFonts w:ascii="Times New Roman" w:hAnsi="Times New Roman"/>
          <w:iCs/>
          <w:sz w:val="24"/>
          <w:szCs w:val="24"/>
        </w:rPr>
        <w:t xml:space="preserve"> pastebėjo, kad subjektas pirmasis rinkai pasiūlęs naują paslaugą gauna didžiausią naudą iš tos paslaugos.</w:t>
      </w:r>
    </w:p>
    <w:p w:rsidR="00C66C7D" w:rsidRPr="006740E5" w:rsidRDefault="00C66C7D" w:rsidP="00FB15B3">
      <w:pPr>
        <w:tabs>
          <w:tab w:val="left" w:pos="-6379"/>
          <w:tab w:val="left" w:pos="-142"/>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Siekiant pagrįsti e. priemonių taikymo AB ,,Lietuvos paštas‘‘ paslaugų teikime būtinybę buvo atlikta ES šalių pašto paslaugų teikėjų (valstybinių ir jau privatizuotų) teikiamų paslaugų analizė </w:t>
      </w:r>
      <w:r w:rsidRPr="006740E5">
        <w:rPr>
          <w:rFonts w:ascii="Times New Roman" w:hAnsi="Times New Roman"/>
          <w:iCs/>
          <w:sz w:val="24"/>
          <w:szCs w:val="24"/>
        </w:rPr>
        <w:br/>
        <w:t xml:space="preserve">(į tyrimą neįtraukta Lietuva), kuri parodė, kad subjektai teikia įvairias e. sutarčių paslaugas. </w:t>
      </w:r>
      <w:r w:rsidRPr="006740E5">
        <w:rPr>
          <w:rFonts w:ascii="Times New Roman" w:hAnsi="Times New Roman"/>
          <w:iCs/>
          <w:sz w:val="24"/>
          <w:szCs w:val="24"/>
        </w:rPr>
        <w:br/>
        <w:t xml:space="preserve">IPP teikimui e. sutartys sudaromos vienuolikoje valstybių (tai sudaro 40,74 proc. ES šalių). Neadresuotosios reklamos ir reklaminių pašto siuntų paslaugų teikimui e. sutartys sudaromos keturiose valstybių (tai sudaro 14,81 proc. ES šalių). ES šalyse siūloma ir kitų e. sutartimis paremtų paslaugų: Airijos valstybinis paštas siūlo sudaryti televizijos ir naminių gyvūnėlių auginimo licencijas; Čekijoje – pratęsti gautos siuntos saugojimo pašte terminą, kad ši nebūtų gražinta siuntėjui (pvz. atostogų metu); Belgijoje – siūloma pasiuntinių taksi paslauga, kuomet paketo siuntėjas šią paslaugą užsisako </w:t>
      </w:r>
      <w:r w:rsidRPr="006740E5">
        <w:rPr>
          <w:rFonts w:ascii="Times New Roman" w:hAnsi="Times New Roman"/>
          <w:iCs/>
          <w:sz w:val="24"/>
          <w:szCs w:val="24"/>
        </w:rPr>
        <w:br/>
        <w:t xml:space="preserve">ir visus dokumentus susijusius su paslauga užpildo naudodamas internete pateiktą sutarties formą. </w:t>
      </w:r>
      <w:r w:rsidRPr="006740E5">
        <w:rPr>
          <w:rFonts w:ascii="Times New Roman" w:hAnsi="Times New Roman"/>
          <w:iCs/>
          <w:sz w:val="24"/>
          <w:szCs w:val="24"/>
        </w:rPr>
        <w:br/>
        <w:t>ES šalių pašto paslaugų teikėjų (valstybinių ir jau privatizuotų) teikiamų paslaugų analizė atskleidė reikšmingą e. sutarčių pasiūlą, kuri nors šiuo metu ir skirtingose šalyse nėra vienodai plačiai pritaikyta, tačiau paslaugos būtinumą įrodo tai, kad ji yra siūloma įvairiems subjekto siūlomiems produktams gauti ir yra nuolat tobulinama.</w:t>
      </w:r>
    </w:p>
    <w:p w:rsidR="0000019F" w:rsidRPr="006740E5" w:rsidRDefault="0000019F" w:rsidP="00FB15B3">
      <w:pPr>
        <w:tabs>
          <w:tab w:val="left" w:pos="-6379"/>
          <w:tab w:val="left" w:pos="-142"/>
        </w:tabs>
        <w:spacing w:before="20" w:after="40" w:line="360" w:lineRule="auto"/>
        <w:ind w:firstLine="567"/>
        <w:jc w:val="both"/>
        <w:rPr>
          <w:rFonts w:ascii="Times New Roman" w:hAnsi="Times New Roman"/>
          <w:iCs/>
          <w:sz w:val="24"/>
          <w:szCs w:val="24"/>
        </w:rPr>
      </w:pPr>
    </w:p>
    <w:p w:rsidR="0000019F" w:rsidRPr="006740E5" w:rsidRDefault="0000019F" w:rsidP="00FB15B3">
      <w:pPr>
        <w:tabs>
          <w:tab w:val="left" w:pos="-6379"/>
          <w:tab w:val="left" w:pos="-142"/>
        </w:tabs>
        <w:spacing w:before="20" w:after="40" w:line="360" w:lineRule="auto"/>
        <w:ind w:firstLine="567"/>
        <w:jc w:val="both"/>
        <w:rPr>
          <w:rFonts w:ascii="Times New Roman" w:hAnsi="Times New Roman"/>
          <w:iCs/>
          <w:sz w:val="24"/>
          <w:szCs w:val="24"/>
        </w:rPr>
      </w:pPr>
    </w:p>
    <w:p w:rsidR="0000019F" w:rsidRPr="006740E5" w:rsidRDefault="0000019F" w:rsidP="00FB15B3">
      <w:pPr>
        <w:tabs>
          <w:tab w:val="left" w:pos="-6379"/>
          <w:tab w:val="left" w:pos="-142"/>
        </w:tabs>
        <w:spacing w:before="20" w:after="40" w:line="360" w:lineRule="auto"/>
        <w:ind w:firstLine="567"/>
        <w:jc w:val="both"/>
        <w:rPr>
          <w:rFonts w:ascii="Times New Roman" w:hAnsi="Times New Roman"/>
          <w:iCs/>
          <w:sz w:val="24"/>
          <w:szCs w:val="24"/>
        </w:rPr>
      </w:pPr>
    </w:p>
    <w:p w:rsidR="00C66C7D" w:rsidRPr="006740E5" w:rsidRDefault="00C66C7D" w:rsidP="00FB15B3">
      <w:pPr>
        <w:tabs>
          <w:tab w:val="left" w:pos="-6379"/>
          <w:tab w:val="left" w:pos="-142"/>
          <w:tab w:val="left" w:pos="709"/>
        </w:tabs>
        <w:spacing w:before="200" w:line="360" w:lineRule="auto"/>
        <w:ind w:firstLine="567"/>
        <w:jc w:val="center"/>
        <w:rPr>
          <w:rFonts w:ascii="Times New Roman" w:hAnsi="Times New Roman"/>
          <w:b/>
          <w:iCs/>
          <w:sz w:val="24"/>
          <w:szCs w:val="24"/>
        </w:rPr>
      </w:pPr>
      <w:r w:rsidRPr="006740E5">
        <w:rPr>
          <w:rFonts w:ascii="Times New Roman" w:hAnsi="Times New Roman"/>
          <w:b/>
          <w:iCs/>
          <w:sz w:val="24"/>
          <w:szCs w:val="24"/>
        </w:rPr>
        <w:lastRenderedPageBreak/>
        <w:t>23 lentelė. E. prekybos AB ,,Lietuvos paštas’’ pritaikymo galimybių analizė</w:t>
      </w:r>
    </w:p>
    <w:tbl>
      <w:tblPr>
        <w:tblW w:w="0" w:type="auto"/>
        <w:jc w:val="center"/>
        <w:tblInd w:w="-1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03"/>
        <w:gridCol w:w="7088"/>
      </w:tblGrid>
      <w:tr w:rsidR="00C66C7D" w:rsidRPr="006740E5" w:rsidTr="002C37AA">
        <w:trPr>
          <w:jc w:val="center"/>
        </w:trPr>
        <w:tc>
          <w:tcPr>
            <w:tcW w:w="2803"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Paslauga</w:t>
            </w:r>
          </w:p>
        </w:tc>
        <w:tc>
          <w:tcPr>
            <w:tcW w:w="7088"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2C37AA">
            <w:pPr>
              <w:tabs>
                <w:tab w:val="left" w:pos="-11874"/>
                <w:tab w:val="left" w:pos="-6379"/>
              </w:tabs>
              <w:spacing w:before="20" w:after="40" w:line="240" w:lineRule="auto"/>
              <w:ind w:firstLine="33"/>
              <w:jc w:val="center"/>
              <w:rPr>
                <w:rFonts w:ascii="Times New Roman" w:hAnsi="Times New Roman"/>
                <w:b/>
                <w:sz w:val="20"/>
                <w:szCs w:val="20"/>
              </w:rPr>
            </w:pPr>
            <w:r w:rsidRPr="006740E5">
              <w:rPr>
                <w:rFonts w:ascii="Times New Roman" w:hAnsi="Times New Roman"/>
                <w:b/>
                <w:sz w:val="20"/>
                <w:szCs w:val="20"/>
              </w:rPr>
              <w:t>Paslaugos pritaikomumas AB ,,Lietuvos paštas’’</w:t>
            </w:r>
          </w:p>
        </w:tc>
      </w:tr>
      <w:tr w:rsidR="00C66C7D" w:rsidRPr="006740E5" w:rsidTr="002C37AA">
        <w:trPr>
          <w:jc w:val="center"/>
        </w:trPr>
        <w:tc>
          <w:tcPr>
            <w:tcW w:w="2803" w:type="dxa"/>
            <w:tcBorders>
              <w:top w:val="single" w:sz="12" w:space="0" w:color="auto"/>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Pašto ženklai</w:t>
            </w:r>
          </w:p>
        </w:tc>
        <w:tc>
          <w:tcPr>
            <w:tcW w:w="7088" w:type="dxa"/>
            <w:tcBorders>
              <w:top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left="34" w:hanging="1"/>
              <w:rPr>
                <w:rFonts w:ascii="Times New Roman" w:hAnsi="Times New Roman"/>
                <w:sz w:val="20"/>
                <w:szCs w:val="20"/>
              </w:rPr>
            </w:pPr>
            <w:r w:rsidRPr="006740E5">
              <w:rPr>
                <w:rFonts w:ascii="Times New Roman" w:hAnsi="Times New Roman"/>
                <w:sz w:val="20"/>
                <w:szCs w:val="20"/>
              </w:rPr>
              <w:t>Elektroniniai ir/ar popieriniai pašto ženklai.</w:t>
            </w:r>
          </w:p>
        </w:tc>
      </w:tr>
      <w:tr w:rsidR="00C66C7D" w:rsidRPr="006740E5" w:rsidTr="002C37AA">
        <w:trPr>
          <w:jc w:val="center"/>
        </w:trPr>
        <w:tc>
          <w:tcPr>
            <w:tcW w:w="280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Siuntų registravimas</w:t>
            </w:r>
          </w:p>
        </w:tc>
        <w:tc>
          <w:tcPr>
            <w:tcW w:w="7088" w:type="dxa"/>
            <w:tcBorders>
              <w:right w:val="single" w:sz="12" w:space="0" w:color="auto"/>
            </w:tcBorders>
          </w:tcPr>
          <w:p w:rsidR="00C66C7D" w:rsidRPr="006740E5" w:rsidRDefault="00C66C7D" w:rsidP="002C37AA">
            <w:pPr>
              <w:tabs>
                <w:tab w:val="left" w:pos="-11874"/>
                <w:tab w:val="left" w:pos="-6379"/>
              </w:tabs>
              <w:spacing w:before="20" w:after="40" w:line="240" w:lineRule="auto"/>
              <w:ind w:left="34" w:hanging="1"/>
              <w:rPr>
                <w:rFonts w:ascii="Times New Roman" w:hAnsi="Times New Roman"/>
                <w:sz w:val="20"/>
                <w:szCs w:val="20"/>
              </w:rPr>
            </w:pPr>
            <w:r w:rsidRPr="006740E5">
              <w:rPr>
                <w:rFonts w:ascii="Times New Roman" w:hAnsi="Times New Roman"/>
                <w:sz w:val="20"/>
                <w:szCs w:val="20"/>
              </w:rPr>
              <w:t>Elektroninis siuntų registravimas.</w:t>
            </w:r>
          </w:p>
        </w:tc>
      </w:tr>
      <w:tr w:rsidR="00C66C7D" w:rsidRPr="006740E5" w:rsidTr="002C37AA">
        <w:trPr>
          <w:jc w:val="center"/>
        </w:trPr>
        <w:tc>
          <w:tcPr>
            <w:tcW w:w="280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Atvirukai</w:t>
            </w:r>
          </w:p>
        </w:tc>
        <w:tc>
          <w:tcPr>
            <w:tcW w:w="7088" w:type="dxa"/>
            <w:tcBorders>
              <w:right w:val="single" w:sz="12" w:space="0" w:color="auto"/>
            </w:tcBorders>
          </w:tcPr>
          <w:p w:rsidR="00C66C7D" w:rsidRPr="006740E5" w:rsidRDefault="00C66C7D" w:rsidP="002C37AA">
            <w:pPr>
              <w:tabs>
                <w:tab w:val="left" w:pos="-11874"/>
                <w:tab w:val="left" w:pos="-6379"/>
              </w:tabs>
              <w:spacing w:before="20" w:after="40" w:line="240" w:lineRule="auto"/>
              <w:ind w:left="34" w:hanging="1"/>
              <w:rPr>
                <w:rFonts w:ascii="Times New Roman" w:hAnsi="Times New Roman"/>
                <w:sz w:val="20"/>
                <w:szCs w:val="20"/>
              </w:rPr>
            </w:pPr>
            <w:r w:rsidRPr="006740E5">
              <w:rPr>
                <w:rFonts w:ascii="Times New Roman" w:hAnsi="Times New Roman"/>
                <w:sz w:val="20"/>
                <w:szCs w:val="20"/>
              </w:rPr>
              <w:t>Tradicinių atvirukų ir atvirlaiškių pirkimas e. būdu atskirai/kartu su IPP ir išsiuntimu.</w:t>
            </w:r>
          </w:p>
        </w:tc>
      </w:tr>
      <w:tr w:rsidR="00C66C7D" w:rsidRPr="006740E5" w:rsidTr="002C37AA">
        <w:trPr>
          <w:jc w:val="center"/>
        </w:trPr>
        <w:tc>
          <w:tcPr>
            <w:tcW w:w="280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Prenumerata</w:t>
            </w:r>
          </w:p>
        </w:tc>
        <w:tc>
          <w:tcPr>
            <w:tcW w:w="7088"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Periodinių leidinių užsakymas internete: laikraščiai, žurnalai, informaciniai biuleteniai, katalogai ir t. t.</w:t>
            </w:r>
          </w:p>
        </w:tc>
      </w:tr>
      <w:tr w:rsidR="00C66C7D" w:rsidRPr="006740E5" w:rsidTr="002C37AA">
        <w:trPr>
          <w:jc w:val="center"/>
        </w:trPr>
        <w:tc>
          <w:tcPr>
            <w:tcW w:w="280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Prekės paštu</w:t>
            </w:r>
          </w:p>
        </w:tc>
        <w:tc>
          <w:tcPr>
            <w:tcW w:w="7088"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Prekių užsakymas internetu iš AB ,,Lietuvos paštas’’ partnerių pasinaudojant tradiciniu arba e. katalogu.</w:t>
            </w:r>
          </w:p>
        </w:tc>
      </w:tr>
      <w:tr w:rsidR="00C66C7D" w:rsidRPr="006740E5" w:rsidTr="002C37AA">
        <w:trPr>
          <w:jc w:val="center"/>
        </w:trPr>
        <w:tc>
          <w:tcPr>
            <w:tcW w:w="2803"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Filatelijos produktai</w:t>
            </w:r>
          </w:p>
        </w:tc>
        <w:tc>
          <w:tcPr>
            <w:tcW w:w="7088"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prekyba pašto ženklais, anspaudais, pašto ženklų albumais ir kitais filatelijos produktais.</w:t>
            </w:r>
          </w:p>
        </w:tc>
      </w:tr>
      <w:tr w:rsidR="00C66C7D" w:rsidRPr="006740E5" w:rsidTr="002C37AA">
        <w:trPr>
          <w:jc w:val="center"/>
        </w:trPr>
        <w:tc>
          <w:tcPr>
            <w:tcW w:w="2803" w:type="dxa"/>
            <w:tcBorders>
              <w:left w:val="single" w:sz="12" w:space="0" w:color="auto"/>
              <w:bottom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Vyriausybės taupymo lakštai</w:t>
            </w:r>
          </w:p>
        </w:tc>
        <w:tc>
          <w:tcPr>
            <w:tcW w:w="7088" w:type="dxa"/>
            <w:tcBorders>
              <w:bottom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sutartys Vyriausybės taupymo lakštų pirkimui internetu.</w:t>
            </w:r>
          </w:p>
        </w:tc>
      </w:tr>
    </w:tbl>
    <w:p w:rsidR="00C66C7D" w:rsidRPr="006740E5" w:rsidRDefault="00C66C7D" w:rsidP="00FB15B3">
      <w:pPr>
        <w:tabs>
          <w:tab w:val="left" w:pos="-6379"/>
        </w:tabs>
        <w:spacing w:before="20" w:after="4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 prekybos AB ,,Lietuvos paštas’’ pritaikymo galimybių analizė (žr. 23 lentelę) parodė, </w:t>
      </w:r>
      <w:r w:rsidRPr="006740E5">
        <w:rPr>
          <w:rFonts w:ascii="Times New Roman" w:hAnsi="Times New Roman"/>
          <w:iCs/>
          <w:sz w:val="24"/>
          <w:szCs w:val="24"/>
        </w:rPr>
        <w:br/>
        <w:t xml:space="preserve">kad didelę dali AB ,,Lietuvos paštas‘‘ pardavimo sandorių galima perkelti į e. erdvę. Juridiniams asmenims būtų patrauklios pašto ženklų, siuntu registravimo, atvirukų ir prenumeratos paslaugos. Pašto ženklus galima pardavinėti kaip prekę užsakomą internetu arba elektroninius perkamus </w:t>
      </w:r>
      <w:r w:rsidRPr="006740E5">
        <w:rPr>
          <w:rFonts w:ascii="Times New Roman" w:hAnsi="Times New Roman"/>
          <w:iCs/>
          <w:sz w:val="24"/>
          <w:szCs w:val="24"/>
        </w:rPr>
        <w:br/>
        <w:t xml:space="preserve">SMS žinute – toks pašto ženklas būtų unikalus raidžių ir skaitmenų kodas (tokią paslaugą teikia Vokietijos Deutsche Post). Elektroninis siuntų registravimas šiuo metu yra labai aktualus, nes klientai net ir iš anksto įsigiję pašto ženklų ar iš anksto apmokėtų siuntimui vokų, norėdami registruoti siunčiamą korespondencijos siuntą ar siuntinį vis tiek turi atvykti iki pašto skyriaus. Juridiniams asmenims e. prekyba atvirukais, ypatingai su IPP, būtų aktuali šventiniu laikotarpiu, kuomet artėjant biudžetinių metų pabaigai organizacijose padaugėja administracinių darbų, o kiekviena solidi organizacija švenčių proga sveikina partnerius ir stambiuosius klientus – galimybė neatitraukti savo darbuotojų sveikinimų ruošimui nuo pagrindinės veiklos labai patraukli galimybė. Prenumeratos užsisakymas elektroniniu būdu taip pat patraukli galimybė negaišti laiko kelionei į pašto skyrių. </w:t>
      </w:r>
      <w:r w:rsidRPr="006740E5">
        <w:rPr>
          <w:rFonts w:ascii="Times New Roman" w:hAnsi="Times New Roman"/>
          <w:iCs/>
          <w:sz w:val="24"/>
          <w:szCs w:val="24"/>
        </w:rPr>
        <w:br/>
        <w:t xml:space="preserve">Visos keturios nagrinėtos juridiniams asmenims naudingos paslaugos naudingos paslaugos tinkamos </w:t>
      </w:r>
      <w:r w:rsidRPr="006740E5">
        <w:rPr>
          <w:rFonts w:ascii="Times New Roman" w:hAnsi="Times New Roman"/>
          <w:iCs/>
          <w:sz w:val="24"/>
          <w:szCs w:val="24"/>
        </w:rPr>
        <w:br/>
        <w:t>ir fiziniams asmenims siekiantiems sutaupyti savo laiką. Fiziniams asmenims AB ,,Lietuvos paštas‘‘ dar galėtų pasiūlyti prekių paštu užsakymą, filatelijos produktų (apie kuriuos gausiai teikia informaciją savo interneto tinklalapyje) ir Vyriausybės taupymo lakštų įsigijimą. Pirmosios dvi paslaugos galėtų būti įgyvendintos panaudojant elektroninės parduotuvės (toliau – e. parduotuvės) platformą, trečiajai reiktų asmens identifikavimo per e. bankininkystės sistemą, nes tai yra finansinė paslauga, kuriai būtinas tikslus asmenybės nustatymas.</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ES šalių pašto paslaugų teikėjų (valstybinių ir jau privatizuotų) teikiamų paslaugų analizė </w:t>
      </w:r>
      <w:r w:rsidRPr="006740E5">
        <w:rPr>
          <w:rFonts w:ascii="Times New Roman" w:hAnsi="Times New Roman"/>
          <w:iCs/>
          <w:sz w:val="24"/>
          <w:szCs w:val="24"/>
        </w:rPr>
        <w:br/>
        <w:t xml:space="preserve">(į tyrimą neįtraukta Lietuva) parodė, kad subjektai teikiantys e. prekybos paslaugą yra ja puikiai išplėtoję ir naudodami e. parduotuvės platformą prekiauja visomis su pašto paslaugų teikimu susijusiais produktais: pašto ženklais, vokais, pašto dėžutėmis, atvirukais ir t. t. Pašto ženklais internete </w:t>
      </w:r>
      <w:r w:rsidRPr="006740E5">
        <w:rPr>
          <w:rFonts w:ascii="Times New Roman" w:hAnsi="Times New Roman"/>
          <w:iCs/>
          <w:sz w:val="24"/>
          <w:szCs w:val="24"/>
        </w:rPr>
        <w:lastRenderedPageBreak/>
        <w:t xml:space="preserve">prekiauja šešiolikoje valstybių (tai sudaro 59,26 proc. ES šalių): dviejose šalyse siūloma įsigyti </w:t>
      </w:r>
      <w:r w:rsidRPr="006740E5">
        <w:rPr>
          <w:rFonts w:ascii="Times New Roman" w:hAnsi="Times New Roman"/>
          <w:iCs/>
          <w:sz w:val="24"/>
          <w:szCs w:val="24"/>
        </w:rPr>
        <w:br/>
        <w:t xml:space="preserve">elektroninį pašto ženkliuką (toliau – e. ženkliukas) (tai sudaro 7,41 proc. ES šalių). Vienuolikoje valstybių siūloma internetu nusipirkti ir parsisiųsti popierinių pašto ženkliukų, o šešiose valstybėse </w:t>
      </w:r>
      <w:r w:rsidRPr="006740E5">
        <w:rPr>
          <w:rFonts w:ascii="Times New Roman" w:hAnsi="Times New Roman"/>
          <w:iCs/>
          <w:sz w:val="24"/>
          <w:szCs w:val="24"/>
        </w:rPr>
        <w:br/>
        <w:t xml:space="preserve">(tai sudaro 22,22 proc. ES šalių) galima pačiam atsispausdinti nusipirktus ir parsisiųstus pašto ženklus. Septyniose valstybėse (tai sudaro 25,93 proc. ES šalių) siūloma pačiam susikurti pašto ženklą – pašto ženkle įdėti norimą nuotrauką ar piešinį. Penkiose valstybėse (tai sudaro 18,52 proc. ES šalių) susikurtą pašto ženklą galima parsisiųsti ir atsispausdinti, o dviejose valstybėse (tai sudaro 7,41 proc. ES šalių) susikurtus pašto ženklus pristato parengęs pašto paslaugų teikėjas. Atvirukais prekiaujama devyniose valstybėse (tai sudaro 33,33 proc. ES šalių): susikurti atviruką siūloma trijose valstybėse </w:t>
      </w:r>
      <w:r w:rsidRPr="006740E5">
        <w:rPr>
          <w:rFonts w:ascii="Times New Roman" w:hAnsi="Times New Roman"/>
          <w:iCs/>
          <w:sz w:val="24"/>
          <w:szCs w:val="24"/>
        </w:rPr>
        <w:br/>
        <w:t xml:space="preserve">(tai sudaro 11,11 proc. ES šalių), o dviejose valstybėse (tai sudaro 7,41 proc. ES šalių) siūloma užrašyti tekstą ir išsiųsti adresatui. Penkiose valstybėse (tai sudaro 18,52 proc. ES šalių) siūloma elektroniniu būdu (keturios siūlo internete, viena siūlo prekių automate) įsigyti pašto paslaugoms būtinų prekių: dėžių, pašto dėžučių, vokų ir t.t. Italijos pašto automatuose siūloma įsigyti vokų, pašto ženklų ir kitų smulkių pašto siuntimui būtinų prekių. Šiame pašto automate tai pat galima: pervesti, išimti, įnešti pinigų į mokėjimo kortelę ,,Postepay‘‘, registruoti siuntą kaip pirmenybinę, apdrausti siuntą. Šis faktas leidžia teigti, jog lietuviškojo ,,Mokomato‘‘ funkcijų spektrą galima plačiau išplėsti nei įmokų ir mokesčių mokėjimas. Septyniose valstybėse (tai sudaro 25,93 proc. ES šalių) siūloma elektroniniu būdu (toliau – e. būdu) įsigyti filatelijos produktų. Latvijos valstybinis pašto paslaugų teikėjas e. prekybą puikiai išplėtojęs ir jau siūlo įsigyti dovanų čekių apsipirkti AB ,,Latvijas pasts‘‘ </w:t>
      </w:r>
      <w:r w:rsidRPr="006740E5">
        <w:rPr>
          <w:rFonts w:ascii="Times New Roman" w:hAnsi="Times New Roman"/>
          <w:iCs/>
          <w:sz w:val="24"/>
          <w:szCs w:val="24"/>
        </w:rPr>
        <w:br/>
        <w:t>e. parduotuvėje. Prenumeratos internetu paslaugą kol kas ES teikia tik Estijos valstybinis pašto paslaugų teikėjas. ES šalių pašto paslaugų teikėjų (valstybinių ir jau privatizuotų) teikiamų paslaugų analizė įrodo, kad e. prekyba pašto sektoriuje yra paklausi ir nuolat tobulinama pašto paslaugų teikėjų siūloma priemonė siekiant pasinaudoti jų paslaugomis.</w:t>
      </w:r>
    </w:p>
    <w:p w:rsidR="00C66C7D" w:rsidRPr="006740E5" w:rsidRDefault="00C66C7D" w:rsidP="00FB15B3">
      <w:pPr>
        <w:tabs>
          <w:tab w:val="left" w:pos="-6379"/>
          <w:tab w:val="left" w:pos="-142"/>
          <w:tab w:val="left" w:pos="709"/>
        </w:tabs>
        <w:spacing w:before="200" w:line="360" w:lineRule="auto"/>
        <w:ind w:firstLine="567"/>
        <w:jc w:val="center"/>
        <w:rPr>
          <w:rFonts w:ascii="Times New Roman" w:hAnsi="Times New Roman"/>
          <w:b/>
          <w:iCs/>
          <w:sz w:val="24"/>
          <w:szCs w:val="24"/>
        </w:rPr>
      </w:pPr>
      <w:r w:rsidRPr="006740E5">
        <w:rPr>
          <w:rFonts w:ascii="Times New Roman" w:hAnsi="Times New Roman"/>
          <w:b/>
          <w:iCs/>
          <w:sz w:val="24"/>
          <w:szCs w:val="24"/>
        </w:rPr>
        <w:t>24 lentelė. E. pranešimų AB ,,Lietuvos paštas’’ pritaikymo galimybių analizė</w:t>
      </w:r>
    </w:p>
    <w:tbl>
      <w:tblPr>
        <w:tblW w:w="0" w:type="auto"/>
        <w:jc w:val="center"/>
        <w:tblInd w:w="-8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07"/>
        <w:gridCol w:w="7534"/>
      </w:tblGrid>
      <w:tr w:rsidR="00C66C7D" w:rsidRPr="006740E5" w:rsidTr="002C37AA">
        <w:trPr>
          <w:jc w:val="center"/>
        </w:trPr>
        <w:tc>
          <w:tcPr>
            <w:tcW w:w="2307"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Paslauga</w:t>
            </w:r>
          </w:p>
        </w:tc>
        <w:tc>
          <w:tcPr>
            <w:tcW w:w="7534"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2C37AA">
            <w:pPr>
              <w:tabs>
                <w:tab w:val="left" w:pos="-11874"/>
                <w:tab w:val="left" w:pos="-6379"/>
              </w:tabs>
              <w:spacing w:before="20" w:after="40" w:line="240" w:lineRule="auto"/>
              <w:ind w:firstLine="33"/>
              <w:jc w:val="center"/>
              <w:rPr>
                <w:rFonts w:ascii="Times New Roman" w:hAnsi="Times New Roman"/>
                <w:b/>
                <w:sz w:val="20"/>
                <w:szCs w:val="20"/>
              </w:rPr>
            </w:pPr>
            <w:r w:rsidRPr="006740E5">
              <w:rPr>
                <w:rFonts w:ascii="Times New Roman" w:hAnsi="Times New Roman"/>
                <w:b/>
                <w:sz w:val="20"/>
                <w:szCs w:val="20"/>
              </w:rPr>
              <w:t>Paslaugos pritaikomumas AB ,,Lietuvos paštas’’</w:t>
            </w:r>
          </w:p>
        </w:tc>
      </w:tr>
      <w:tr w:rsidR="00C66C7D" w:rsidRPr="006740E5" w:rsidTr="002C37AA">
        <w:trPr>
          <w:jc w:val="center"/>
        </w:trPr>
        <w:tc>
          <w:tcPr>
            <w:tcW w:w="2307" w:type="dxa"/>
            <w:tcBorders>
              <w:top w:val="single" w:sz="12" w:space="0" w:color="auto"/>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Siuntų gavimas</w:t>
            </w:r>
          </w:p>
        </w:tc>
        <w:tc>
          <w:tcPr>
            <w:tcW w:w="7534" w:type="dxa"/>
            <w:tcBorders>
              <w:top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pranešimas apie gautą registruotą siuntinį ar korespondencijos siuntą.</w:t>
            </w:r>
          </w:p>
        </w:tc>
      </w:tr>
      <w:tr w:rsidR="00C66C7D" w:rsidRPr="006740E5" w:rsidTr="002C37AA">
        <w:trPr>
          <w:jc w:val="center"/>
        </w:trPr>
        <w:tc>
          <w:tcPr>
            <w:tcW w:w="2307"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highlight w:val="magenta"/>
              </w:rPr>
            </w:pPr>
            <w:r w:rsidRPr="006740E5">
              <w:rPr>
                <w:rFonts w:ascii="Times New Roman" w:hAnsi="Times New Roman"/>
                <w:b/>
                <w:sz w:val="20"/>
                <w:szCs w:val="20"/>
              </w:rPr>
              <w:t>Individualios naujienos</w:t>
            </w:r>
          </w:p>
        </w:tc>
        <w:tc>
          <w:tcPr>
            <w:tcW w:w="7534"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highlight w:val="magenta"/>
              </w:rPr>
            </w:pPr>
            <w:r w:rsidRPr="006740E5">
              <w:rPr>
                <w:rFonts w:ascii="Times New Roman" w:hAnsi="Times New Roman"/>
                <w:sz w:val="20"/>
                <w:szCs w:val="20"/>
              </w:rPr>
              <w:t>E. pranešimas apie užsakovą dominančią temą: naujus paslaugų įkainius, pradedamas teikti naujas paslaugas, atsiradusias akcijas, konkursus, filatelijos naujienas ir t. t.</w:t>
            </w:r>
          </w:p>
        </w:tc>
      </w:tr>
      <w:tr w:rsidR="00C66C7D" w:rsidRPr="006740E5" w:rsidTr="002C37AA">
        <w:trPr>
          <w:jc w:val="center"/>
        </w:trPr>
        <w:tc>
          <w:tcPr>
            <w:tcW w:w="2307" w:type="dxa"/>
            <w:tcBorders>
              <w:left w:val="single" w:sz="12" w:space="0" w:color="auto"/>
              <w:bottom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Perlaidų atsiėmimas</w:t>
            </w:r>
          </w:p>
        </w:tc>
        <w:tc>
          <w:tcPr>
            <w:tcW w:w="7534" w:type="dxa"/>
            <w:tcBorders>
              <w:bottom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E. pranešimas apie tradicinės arba elektroninės perlaidos atsiėmimą.</w:t>
            </w:r>
          </w:p>
        </w:tc>
      </w:tr>
    </w:tbl>
    <w:p w:rsidR="00C66C7D" w:rsidRPr="006740E5" w:rsidRDefault="00C66C7D" w:rsidP="00FB15B3">
      <w:pPr>
        <w:tabs>
          <w:tab w:val="left" w:pos="-6379"/>
        </w:tabs>
        <w:spacing w:before="20" w:after="4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 pranešimų AB ,,Lietuvos paštas’’ pritaikymo galimybių analizė parodė (žr. 24 lentelę), </w:t>
      </w:r>
      <w:r w:rsidRPr="006740E5">
        <w:rPr>
          <w:rFonts w:ascii="Times New Roman" w:hAnsi="Times New Roman"/>
          <w:iCs/>
          <w:sz w:val="24"/>
          <w:szCs w:val="24"/>
        </w:rPr>
        <w:br/>
        <w:t xml:space="preserve">kad šią e. priemonę galima pritaikyti vienai egzistuojančiai paslaugai, vienos egzistuojančios paslaugos patobulinimui ir vienai siūlomai paslaugai. Fiziniai ir juridiniai asmenys, kuriuos pasiekia registruota pašto korespondencijos siunta ar siuntinys, gauna popierinį informacinį pranešimą į savo pašto dėžutę su atsiėmimui būtina informacija, siūlomu atveju asmuo gautų pranešimą i elektroninį </w:t>
      </w:r>
      <w:r w:rsidRPr="006740E5">
        <w:rPr>
          <w:rFonts w:ascii="Times New Roman" w:hAnsi="Times New Roman"/>
          <w:iCs/>
          <w:sz w:val="24"/>
          <w:szCs w:val="24"/>
        </w:rPr>
        <w:lastRenderedPageBreak/>
        <w:t xml:space="preserve">paštą (toliau – e. paštas) arba SMS žinute. E. pranešimas asmenį pasieks greičiau nei popierinis, asmuo geriau galės pritaikyti siuntos atsiėmimui skirtą laiką, todėl siuntos pristatymas bus efektyvesnis. Visuotiniam paslaugos naudojimui būtų reikalingas visuotinis e. pašto adresų ir/ar telefono numerių surašymas. Remiantis tuo, kad adresų pagal asmenis registravimas Lietuvoje nėra priimtas, </w:t>
      </w:r>
      <w:r w:rsidRPr="006740E5">
        <w:rPr>
          <w:rFonts w:ascii="Times New Roman" w:hAnsi="Times New Roman"/>
          <w:iCs/>
          <w:sz w:val="24"/>
          <w:szCs w:val="24"/>
        </w:rPr>
        <w:br/>
        <w:t>šia paslauga galima pradėti siūlyti naudotis pasirinktinai. Daugeliui aktyvių asmenų ši paslauga būtų itin aktuali siekiant kuo efektyviau organizuoti laiką. Individualios naujienos tai paslauga, kuomet asmenys galėtų pasirinkti kokios srities juos dominančias naujienas gauti (priešingai nei šiuo metu tiekiamas bendro pobūdžio naujienlaiškis), ši paslauga naudinga ne tik klientui gaunančiam tik tą informaciją, kuri jam yra aktuali, bet ir AB ,,Lietuvos paštas‘‘, kuris tokiu būdu galėtų rinkti duomenis apie savo klientam aktualią informaciją. Trečioji siūloma paslauga yra e. pranešimai apie pašto perlaidų atsiėmimą. Ši paslauga itin naudinga valstybiniam pašto paslaugų teikėjui, nes pašto perlaidą dariusiam asmeniui pranešimas apie pinigų patekimą adresatui suteikia saugumo ir pasitikėjimo paslaugų teikėjų jausmą, o AB ,,Lietuvos paštas‘‘ silpnai dalyvaujančiam Lietuvos pašto rinkoje yra būtina užsitikrinti turimų klientų ištikimybę.</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ES šalių pašto paslaugų teikėjų (valstybinių ir jau privatizuotų) teikiamų paslaugų analizė </w:t>
      </w:r>
      <w:r w:rsidRPr="006740E5">
        <w:rPr>
          <w:rFonts w:ascii="Times New Roman" w:hAnsi="Times New Roman"/>
          <w:iCs/>
          <w:sz w:val="24"/>
          <w:szCs w:val="24"/>
        </w:rPr>
        <w:br/>
        <w:t xml:space="preserve">(į tyrimą neįtraukta Lietuva) parodė, kad e. pranešimų paslaugą teikiama tik kaip bendri ar individualizuoti informaciniai naujienlaiškiai. Tik Čekijoje siūloma e. pranešimų paslauga iš vartotojo pašto paslaugų teikėjui – e. pranešimai apie: asmens adreso pasikeitimą, jau išsiųstos siuntos adresato (ar kitos informacijos susijusios su siunta) pakeitimą. Lietuvos valstybinis pašto paslaugų teikėjui </w:t>
      </w:r>
      <w:r w:rsidRPr="006740E5">
        <w:rPr>
          <w:rFonts w:ascii="Times New Roman" w:hAnsi="Times New Roman"/>
          <w:iCs/>
          <w:sz w:val="24"/>
          <w:szCs w:val="24"/>
        </w:rPr>
        <w:br/>
        <w:t>e. pranešimų paslaugos įdiegimas suteiktų galimybę tai pateikti kaip gerąją pašto paslaugų teikimo informacinei visuomenei praktiką.</w:t>
      </w:r>
    </w:p>
    <w:p w:rsidR="00C66C7D" w:rsidRPr="006740E5" w:rsidRDefault="00C66C7D" w:rsidP="00FB15B3">
      <w:pPr>
        <w:tabs>
          <w:tab w:val="left" w:pos="-6379"/>
          <w:tab w:val="left" w:pos="-6237"/>
          <w:tab w:val="left" w:pos="-142"/>
        </w:tabs>
        <w:spacing w:before="200" w:line="360" w:lineRule="auto"/>
        <w:ind w:firstLine="567"/>
        <w:jc w:val="center"/>
        <w:rPr>
          <w:rFonts w:ascii="Times New Roman" w:hAnsi="Times New Roman"/>
          <w:b/>
          <w:iCs/>
          <w:sz w:val="24"/>
          <w:szCs w:val="24"/>
        </w:rPr>
      </w:pPr>
      <w:r w:rsidRPr="006740E5">
        <w:rPr>
          <w:rFonts w:ascii="Times New Roman" w:hAnsi="Times New Roman"/>
          <w:b/>
          <w:iCs/>
          <w:sz w:val="24"/>
          <w:szCs w:val="24"/>
        </w:rPr>
        <w:t>25 lentelė. E. atsiskaitymų AB ,,Lietuvos paštas’’ pritaikymo galimybių analizė</w:t>
      </w:r>
    </w:p>
    <w:tbl>
      <w:tblPr>
        <w:tblW w:w="0" w:type="auto"/>
        <w:jc w:val="center"/>
        <w:tblInd w:w="-3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79"/>
        <w:gridCol w:w="6495"/>
      </w:tblGrid>
      <w:tr w:rsidR="00C66C7D" w:rsidRPr="006740E5" w:rsidTr="002C37AA">
        <w:trPr>
          <w:jc w:val="center"/>
        </w:trPr>
        <w:tc>
          <w:tcPr>
            <w:tcW w:w="3379" w:type="dxa"/>
            <w:tcBorders>
              <w:top w:val="single" w:sz="12" w:space="0" w:color="auto"/>
              <w:left w:val="single" w:sz="12" w:space="0" w:color="auto"/>
              <w:bottom w:val="single" w:sz="12" w:space="0" w:color="auto"/>
            </w:tcBorders>
            <w:shd w:val="pct10" w:color="auto" w:fill="auto"/>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Paslauga</w:t>
            </w:r>
          </w:p>
        </w:tc>
        <w:tc>
          <w:tcPr>
            <w:tcW w:w="6495" w:type="dxa"/>
            <w:tcBorders>
              <w:top w:val="single" w:sz="12" w:space="0" w:color="auto"/>
              <w:bottom w:val="single" w:sz="12" w:space="0" w:color="auto"/>
              <w:right w:val="single" w:sz="12" w:space="0" w:color="auto"/>
            </w:tcBorders>
            <w:shd w:val="pct10" w:color="auto" w:fill="auto"/>
            <w:vAlign w:val="center"/>
          </w:tcPr>
          <w:p w:rsidR="00C66C7D" w:rsidRPr="006740E5" w:rsidRDefault="00C66C7D" w:rsidP="002C37AA">
            <w:pPr>
              <w:tabs>
                <w:tab w:val="left" w:pos="-11874"/>
                <w:tab w:val="left" w:pos="-6379"/>
              </w:tabs>
              <w:spacing w:before="20" w:after="40" w:line="240" w:lineRule="auto"/>
              <w:ind w:firstLine="33"/>
              <w:jc w:val="center"/>
              <w:rPr>
                <w:rFonts w:ascii="Times New Roman" w:hAnsi="Times New Roman"/>
                <w:b/>
                <w:sz w:val="20"/>
                <w:szCs w:val="20"/>
              </w:rPr>
            </w:pPr>
            <w:r w:rsidRPr="006740E5">
              <w:rPr>
                <w:rFonts w:ascii="Times New Roman" w:hAnsi="Times New Roman"/>
                <w:b/>
                <w:sz w:val="20"/>
                <w:szCs w:val="20"/>
              </w:rPr>
              <w:t>Paslaugos pritaikomumas AB ,,Lietuvos paštas’’</w:t>
            </w:r>
          </w:p>
        </w:tc>
      </w:tr>
      <w:tr w:rsidR="00C66C7D" w:rsidRPr="006740E5" w:rsidTr="002C37AA">
        <w:trPr>
          <w:jc w:val="center"/>
        </w:trPr>
        <w:tc>
          <w:tcPr>
            <w:tcW w:w="3379" w:type="dxa"/>
            <w:tcBorders>
              <w:top w:val="single" w:sz="12" w:space="0" w:color="auto"/>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Išankstinio mokėjimo atsiskaitymai</w:t>
            </w:r>
          </w:p>
        </w:tc>
        <w:tc>
          <w:tcPr>
            <w:tcW w:w="6495" w:type="dxa"/>
            <w:tcBorders>
              <w:top w:val="single" w:sz="12" w:space="0" w:color="auto"/>
              <w:right w:val="single" w:sz="12" w:space="0" w:color="auto"/>
            </w:tcBorders>
            <w:vAlign w:val="center"/>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 xml:space="preserve">Sumokėjimas už prekę ar paslaugą atsiskaitant iš anksto pervestais pinigais </w:t>
            </w:r>
            <w:r w:rsidRPr="006740E5">
              <w:rPr>
                <w:rFonts w:ascii="Times New Roman" w:hAnsi="Times New Roman"/>
                <w:sz w:val="20"/>
                <w:szCs w:val="20"/>
              </w:rPr>
              <w:br/>
              <w:t>į AB ,,Lietuvos paštas‘‘ tinklalapyje sukurtą registruoto vartotojo paskyrą.</w:t>
            </w:r>
          </w:p>
        </w:tc>
      </w:tr>
      <w:tr w:rsidR="00C66C7D" w:rsidRPr="006740E5" w:rsidTr="002C37AA">
        <w:trPr>
          <w:jc w:val="center"/>
        </w:trPr>
        <w:tc>
          <w:tcPr>
            <w:tcW w:w="3379"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Mobilieji mokėjimai</w:t>
            </w:r>
          </w:p>
        </w:tc>
        <w:tc>
          <w:tcPr>
            <w:tcW w:w="6495"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Sumokėjimas už prekę ar paslaugą siunčiant SMS žinute tam tikrą tekstą atitinkamu trumpuoju numeriu per mobiliojo ryšio operatorių.</w:t>
            </w:r>
          </w:p>
        </w:tc>
      </w:tr>
      <w:tr w:rsidR="00C66C7D" w:rsidRPr="006740E5" w:rsidTr="002C37AA">
        <w:trPr>
          <w:jc w:val="center"/>
        </w:trPr>
        <w:tc>
          <w:tcPr>
            <w:tcW w:w="3379" w:type="dxa"/>
            <w:tcBorders>
              <w:left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Atsiskaitymai bankinių pavedimu</w:t>
            </w:r>
          </w:p>
        </w:tc>
        <w:tc>
          <w:tcPr>
            <w:tcW w:w="6495" w:type="dxa"/>
            <w:tcBorders>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 xml:space="preserve">Sumokėjimas už prekę ar paslaugą bankiniu pavedimu pasinaudojant </w:t>
            </w:r>
            <w:r w:rsidRPr="006740E5">
              <w:rPr>
                <w:rFonts w:ascii="Times New Roman" w:hAnsi="Times New Roman"/>
                <w:sz w:val="20"/>
                <w:szCs w:val="20"/>
              </w:rPr>
              <w:br/>
              <w:t>e. bankininkystės paslaugomis.</w:t>
            </w:r>
          </w:p>
        </w:tc>
      </w:tr>
      <w:tr w:rsidR="00C66C7D" w:rsidRPr="006740E5" w:rsidTr="002C37AA">
        <w:trPr>
          <w:jc w:val="center"/>
        </w:trPr>
        <w:tc>
          <w:tcPr>
            <w:tcW w:w="3379" w:type="dxa"/>
            <w:tcBorders>
              <w:left w:val="single" w:sz="12" w:space="0" w:color="auto"/>
              <w:bottom w:val="single" w:sz="12" w:space="0" w:color="auto"/>
            </w:tcBorders>
            <w:vAlign w:val="center"/>
          </w:tcPr>
          <w:p w:rsidR="00C66C7D" w:rsidRPr="006740E5" w:rsidRDefault="00C66C7D" w:rsidP="002C37AA">
            <w:pPr>
              <w:tabs>
                <w:tab w:val="left" w:pos="-6379"/>
                <w:tab w:val="left" w:pos="-6345"/>
              </w:tabs>
              <w:spacing w:before="20" w:after="40" w:line="240" w:lineRule="auto"/>
              <w:ind w:firstLine="34"/>
              <w:jc w:val="center"/>
              <w:rPr>
                <w:rFonts w:ascii="Times New Roman" w:hAnsi="Times New Roman"/>
                <w:b/>
                <w:sz w:val="20"/>
                <w:szCs w:val="20"/>
              </w:rPr>
            </w:pPr>
            <w:r w:rsidRPr="006740E5">
              <w:rPr>
                <w:rFonts w:ascii="Times New Roman" w:hAnsi="Times New Roman"/>
                <w:b/>
                <w:sz w:val="20"/>
                <w:szCs w:val="20"/>
              </w:rPr>
              <w:t>Atsiskaitymai banko kortelėmis</w:t>
            </w:r>
          </w:p>
        </w:tc>
        <w:tc>
          <w:tcPr>
            <w:tcW w:w="6495" w:type="dxa"/>
            <w:tcBorders>
              <w:bottom w:val="single" w:sz="12" w:space="0" w:color="auto"/>
              <w:right w:val="single" w:sz="12" w:space="0" w:color="auto"/>
            </w:tcBorders>
          </w:tcPr>
          <w:p w:rsidR="00C66C7D" w:rsidRPr="006740E5" w:rsidRDefault="00C66C7D" w:rsidP="002C37AA">
            <w:pPr>
              <w:tabs>
                <w:tab w:val="left" w:pos="-11874"/>
                <w:tab w:val="left" w:pos="-6379"/>
              </w:tabs>
              <w:spacing w:before="20" w:after="40" w:line="240" w:lineRule="auto"/>
              <w:ind w:firstLine="33"/>
              <w:rPr>
                <w:rFonts w:ascii="Times New Roman" w:hAnsi="Times New Roman"/>
                <w:sz w:val="20"/>
                <w:szCs w:val="20"/>
              </w:rPr>
            </w:pPr>
            <w:r w:rsidRPr="006740E5">
              <w:rPr>
                <w:rFonts w:ascii="Times New Roman" w:hAnsi="Times New Roman"/>
                <w:sz w:val="20"/>
                <w:szCs w:val="20"/>
              </w:rPr>
              <w:t>Sumokėjimas už prekę ar paslaugą atsiskaitant debetinėmis ir/ar kreditinėmis kortelėmis.</w:t>
            </w:r>
          </w:p>
        </w:tc>
      </w:tr>
    </w:tbl>
    <w:p w:rsidR="00C66C7D" w:rsidRPr="006740E5" w:rsidRDefault="00C66C7D" w:rsidP="00FB15B3">
      <w:pPr>
        <w:tabs>
          <w:tab w:val="left" w:pos="-6379"/>
        </w:tabs>
        <w:spacing w:before="20" w:after="40" w:line="240" w:lineRule="auto"/>
        <w:jc w:val="both"/>
        <w:rPr>
          <w:rFonts w:ascii="Times New Roman" w:hAnsi="Times New Roman"/>
          <w:sz w:val="16"/>
          <w:szCs w:val="16"/>
          <w:lang w:eastAsia="lt-LT"/>
        </w:rPr>
      </w:pPr>
      <w:r w:rsidRPr="006740E5">
        <w:rPr>
          <w:rFonts w:ascii="Times New Roman" w:hAnsi="Times New Roman"/>
          <w:sz w:val="16"/>
          <w:szCs w:val="16"/>
          <w:lang w:eastAsia="lt-LT"/>
        </w:rPr>
        <w:t>Sudaryta autorės</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16"/>
          <w:szCs w:val="16"/>
        </w:rPr>
      </w:pPr>
    </w:p>
    <w:p w:rsidR="00C66C7D" w:rsidRPr="006740E5" w:rsidRDefault="00C66C7D" w:rsidP="00FB15B3">
      <w:pPr>
        <w:tabs>
          <w:tab w:val="left" w:pos="-6379"/>
          <w:tab w:val="left" w:pos="-2127"/>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 atsiskaitymų AB ,,Lietuvos paštas’’ pritaikymo galimybių analizė (žr. 25 lentelę), </w:t>
      </w:r>
      <w:r w:rsidRPr="006740E5">
        <w:rPr>
          <w:rFonts w:ascii="Times New Roman" w:hAnsi="Times New Roman"/>
          <w:iCs/>
          <w:sz w:val="24"/>
          <w:szCs w:val="24"/>
        </w:rPr>
        <w:br/>
        <w:t xml:space="preserve">kad bendrovė gali pasirinkti iš įvairovės e. atsiskaitymų būdų. Siūlomas išankstinio mokėjimo atsiskaitymo būdas patogus dažnai AB ,,Lietuvos paštas‘‘ paslaugomis besinaudojantiems asmenims ir šiam atsiskaitymo būdui yra būtina saugi vartotojų registracijos internete sistema. Mobilieji mokėjimai patogiausiai galėtų būti taikomi e. ženkliukų pirkimui ir elektroninės siuntų registracijos apmokėjimui, </w:t>
      </w:r>
      <w:r w:rsidRPr="006740E5">
        <w:rPr>
          <w:rFonts w:ascii="Times New Roman" w:hAnsi="Times New Roman"/>
          <w:iCs/>
          <w:sz w:val="24"/>
          <w:szCs w:val="24"/>
        </w:rPr>
        <w:lastRenderedPageBreak/>
        <w:t>tačiau puikiai tiktų atsiskaitymams ir už kitas paslaugas, jei interneto svetainėje nėra sukurtos saugios vartotojų registracijos. Atitinkamai atsiskaitymai bankinių pavedimu per e. bankininkystės sistemą arba banko kortelėmis galėtų būti sėkmingai taikomi, nes šios priemonės plačiai paplitusios tarp vartotojų naudojamų atsiskaitymo būdų.</w:t>
      </w:r>
    </w:p>
    <w:p w:rsidR="00C66C7D" w:rsidRPr="006740E5" w:rsidRDefault="00C66C7D" w:rsidP="00FB15B3">
      <w:pPr>
        <w:tabs>
          <w:tab w:val="left" w:pos="-6379"/>
          <w:tab w:val="left" w:pos="-142"/>
          <w:tab w:val="left" w:pos="709"/>
        </w:tabs>
        <w:spacing w:before="20" w:after="4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ES šalių pašto paslaugų teikėjų (valstybinių ir jau privatizuotų) teikiamų paslaugų analizė </w:t>
      </w:r>
      <w:r w:rsidRPr="006740E5">
        <w:rPr>
          <w:rFonts w:ascii="Times New Roman" w:hAnsi="Times New Roman"/>
          <w:iCs/>
          <w:sz w:val="24"/>
          <w:szCs w:val="24"/>
        </w:rPr>
        <w:br/>
        <w:t xml:space="preserve">(į tyrimą neįtraukta Lietuva) parodė, kad subjektai už teikiamas e. paslaugas yra linkę sudaryti sąlygas ir atsiskaityti e. būdu. Dvylikoje valstybių (tai sudaro 44,44 proc. ES šalių) už e. paslaugas galima atsiskaityti elektroniniu būdu: dviejose valstybėse (tai sudaro 7,41 proc. ES šalių) yra galimybė atsiskaityti išankstiniu mokėjimu pervestais pinigais į registruoto interneto vartotojo paskyrą; trijose valstybėse (tai sudaro 11,11 proc. ES šalių) suteikiama galimybė atsiskaityti mobiliaisiais mokėjimais; aštuoniose valstybėse (tai sudaro 29,63 proc. ES šalių) už prekes ir paslaugas galima atsiskaityti bankiniu pavedimu; keturiose valstybėse (tai sudaro 14,81 proc. ES šalių) atsiskaitymams tinkamos banko kortelės; Belgijoje yra sudaryta galimybė atsiskaityti mokėjimų sistemos </w:t>
      </w:r>
      <w:r w:rsidRPr="006740E5">
        <w:rPr>
          <w:rFonts w:ascii="Times New Roman" w:hAnsi="Times New Roman"/>
          <w:i/>
          <w:iCs/>
          <w:sz w:val="24"/>
          <w:szCs w:val="24"/>
        </w:rPr>
        <w:t xml:space="preserve">Paypal </w:t>
      </w:r>
      <w:r w:rsidRPr="006740E5">
        <w:rPr>
          <w:rFonts w:ascii="Times New Roman" w:hAnsi="Times New Roman"/>
          <w:iCs/>
          <w:sz w:val="24"/>
          <w:szCs w:val="24"/>
        </w:rPr>
        <w:t>naudotojams. ES šalyse taikomų e. atsiskaitymų įvairovė įrodo, kad visi šie būdai pašto paslaugų teikėjui yra tinkami ir klientams priimtini, todėl AB ,,Lietuvos paštas‘‘ verta pradėti juos taikyti.</w:t>
      </w:r>
    </w:p>
    <w:p w:rsidR="00C66C7D" w:rsidRPr="006740E5" w:rsidRDefault="00C66C7D" w:rsidP="00FB15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Siekiant padidinti AB ,,Lietuvos paštas’’ konkurencingumą, galima taikyti ir daugiau e. verslo modelių, ne tik e. paslaugos. Atliktas empirinis tyrimas parodė, kad sekantis e. verslo modelis, kurį vertėtų pradėti taikyti AB ,,Lietuvos paštas’’ yra e. rinkodara. Šio modelio taikymo sritis </w:t>
      </w:r>
      <w:r w:rsidRPr="006740E5">
        <w:rPr>
          <w:rFonts w:ascii="Times New Roman" w:hAnsi="Times New Roman"/>
          <w:sz w:val="24"/>
          <w:szCs w:val="24"/>
          <w:lang w:eastAsia="lt-LT"/>
        </w:rPr>
        <w:t>Liberalizuotai pašto rinkai pritaikytame</w:t>
      </w:r>
      <w:r w:rsidRPr="006740E5">
        <w:rPr>
          <w:rFonts w:ascii="Times New Roman" w:hAnsi="Times New Roman"/>
          <w:iCs/>
          <w:sz w:val="24"/>
          <w:szCs w:val="24"/>
        </w:rPr>
        <w:t xml:space="preserve"> AB ,,Lietuvos paštas’’, valstybės ir paslaugų gavėjų santykių bei paslaugų teikimo modelyje vaizduojama ryšiu iš vartotojo į paslaugų teikėją AB Lietuvos paštas </w:t>
      </w:r>
      <w:r w:rsidRPr="006740E5">
        <w:rPr>
          <w:rFonts w:ascii="Times New Roman" w:hAnsi="Times New Roman"/>
          <w:sz w:val="24"/>
          <w:szCs w:val="24"/>
          <w:lang w:eastAsia="lt-LT"/>
        </w:rPr>
        <w:t>(žr. 21 pav. 5</w:t>
      </w:r>
      <w:r w:rsidR="006F224D" w:rsidRPr="006740E5">
        <w:rPr>
          <w:rFonts w:ascii="Times New Roman" w:hAnsi="Times New Roman"/>
          <w:sz w:val="24"/>
          <w:szCs w:val="24"/>
          <w:lang w:eastAsia="lt-LT"/>
        </w:rPr>
        <w:t>6</w:t>
      </w:r>
      <w:r w:rsidRPr="006740E5">
        <w:rPr>
          <w:rFonts w:ascii="Times New Roman" w:hAnsi="Times New Roman"/>
          <w:sz w:val="24"/>
          <w:szCs w:val="24"/>
          <w:lang w:eastAsia="lt-LT"/>
        </w:rPr>
        <w:t xml:space="preserve"> p</w:t>
      </w:r>
      <w:r w:rsidR="00321BFE" w:rsidRPr="006740E5">
        <w:rPr>
          <w:rFonts w:ascii="Times New Roman" w:hAnsi="Times New Roman"/>
          <w:sz w:val="24"/>
          <w:szCs w:val="24"/>
          <w:lang w:eastAsia="lt-LT"/>
        </w:rPr>
        <w:t>sl.</w:t>
      </w:r>
      <w:r w:rsidRPr="006740E5">
        <w:rPr>
          <w:rFonts w:ascii="Times New Roman" w:hAnsi="Times New Roman"/>
          <w:sz w:val="24"/>
          <w:szCs w:val="24"/>
          <w:lang w:eastAsia="lt-LT"/>
        </w:rPr>
        <w:t>).</w:t>
      </w:r>
      <w:r w:rsidRPr="006740E5">
        <w:rPr>
          <w:rFonts w:ascii="Times New Roman" w:hAnsi="Times New Roman"/>
          <w:iCs/>
          <w:sz w:val="24"/>
          <w:szCs w:val="24"/>
        </w:rPr>
        <w:t xml:space="preserve"> Siekiant aktyviai domėtis vartotojų poreikiais būtina sukurti sąlygas minimaliai trukdant patį vartotoją surinkti maksimalų kiekį informacijos, būtent šiuo tikslu ir yra diegiamos </w:t>
      </w:r>
      <w:r w:rsidR="00D9662F" w:rsidRPr="006740E5">
        <w:rPr>
          <w:rFonts w:ascii="Times New Roman" w:hAnsi="Times New Roman"/>
          <w:iCs/>
          <w:sz w:val="24"/>
          <w:szCs w:val="24"/>
        </w:rPr>
        <w:br/>
      </w:r>
      <w:r w:rsidRPr="006740E5">
        <w:rPr>
          <w:rFonts w:ascii="Times New Roman" w:hAnsi="Times New Roman"/>
          <w:iCs/>
          <w:sz w:val="24"/>
          <w:szCs w:val="24"/>
        </w:rPr>
        <w:t xml:space="preserve">e. rinkodaros sistemos. Interneto svetainėje įdiegus galimybę vartotojams įsiregistruoti, susikurti savo aplinką, individualių gaunamų paslaugų valdymą, sistemos teikiama informacija apie vartotojo aktyvumą pateiktų paslaugų teikėjui žymiai daugiau informacijos, nei šiuo metu suteikta e. kreipimųsi galimybė. Pritraukus vartotojus dėl paslaugų kreiptis į interneto svetainę teigiamai suaktyvėtų bendrovės reklaminės kampanijos. ES šalių pašto paslaugų teikėjų (valstybinių ir jau privatizuotų) teikiamų paslaugų analizė (į tyrimą neįtraukta Lietuva) parodė, kad dešimt valstybių </w:t>
      </w:r>
      <w:r w:rsidRPr="006740E5">
        <w:rPr>
          <w:rFonts w:ascii="Times New Roman" w:hAnsi="Times New Roman"/>
          <w:iCs/>
          <w:sz w:val="24"/>
          <w:szCs w:val="24"/>
        </w:rPr>
        <w:br/>
        <w:t>(tai sudaro 38,46 proc. ES šalių) jau taiko siūlomą e. verslo modelį e. rinkodara teikiant pašto paslaugas.</w:t>
      </w:r>
    </w:p>
    <w:p w:rsidR="00C66C7D" w:rsidRPr="006740E5" w:rsidRDefault="00C66C7D" w:rsidP="00FB15B3">
      <w:pPr>
        <w:tabs>
          <w:tab w:val="left" w:pos="-6379"/>
          <w:tab w:val="left" w:pos="0"/>
          <w:tab w:val="left" w:pos="70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Pritaikius siūlomas priemones AB ,,Lietuvos paštas’’ išsivaduotų iš istoriškai susiformavusio biurokratinės įmonės įvaizdžio ir taptu moderniu verslo subjektu– įmonės ir vartotojo santykis radikaliai pasikeistų vartotojo prielankumo valstybiniam pašto paslaugų teikėjui linkme. Siūlomame AB ,,Lietuvos paštas’’ paslaugų teikimo modelyje didžiąją dalį tiesiogiai su paštu susijusių paslaugų vartotojas galėtų gauti nuotoliniu būdu ir tik dėl paslaugų susijusių su daiktų išsiuntimų vartotojui </w:t>
      </w:r>
      <w:r w:rsidRPr="006740E5">
        <w:rPr>
          <w:rFonts w:ascii="Times New Roman" w:hAnsi="Times New Roman"/>
          <w:sz w:val="24"/>
          <w:szCs w:val="24"/>
        </w:rPr>
        <w:lastRenderedPageBreak/>
        <w:t xml:space="preserve">tektų apsilankyti pašto skyriuje. Toks paslaugų teikimo modelis būtų itin patogus vartotojui, o įtikti vartotojui visais laikais buvo pagrindinė sėkmingo verslo subjekto užduotis. Taip pat šis modelis sudarytų sąlygas optimizuoti įmonės administravimo sistemą ir darbo procesus sąlygojančius ne nuostolių mažinimą, o pelningumą. Ypatingai modelis svarbus dėl to, kad supaprastintų naudojimąsi pašto paslaugomis vartotojams gyvenantiems periferijose nutolusiose nuo didmiesčių. </w:t>
      </w:r>
      <w:r w:rsidRPr="006740E5">
        <w:rPr>
          <w:rFonts w:ascii="Times New Roman" w:hAnsi="Times New Roman"/>
          <w:sz w:val="24"/>
          <w:szCs w:val="24"/>
        </w:rPr>
        <w:br/>
        <w:t xml:space="preserve">Autorius Broussolle (2007) tyrė geografinius pašto sektoriaus liberalizavimo pokyčius ir nustatė, </w:t>
      </w:r>
      <w:r w:rsidRPr="006740E5">
        <w:rPr>
          <w:rFonts w:ascii="Times New Roman" w:hAnsi="Times New Roman"/>
          <w:sz w:val="24"/>
          <w:szCs w:val="24"/>
        </w:rPr>
        <w:br/>
        <w:t xml:space="preserve">kad reorganizuojant valstybinių pašto paslaugų teikėjus labiausiai nukenčia kaimo vietovės – jos yra nuostolingiausios dėl reto tankumo, todėl pirmiausia pertvarkomos (dažnai mažinant pašto skyrių skaičių). AB ,,Lietuvos paštas’’ duomenimis iki 2009 m. pabaigos planuoja pertvarkyti 72 nuostolingai dirbančius kaimo paštus, kurie 2008 m. iš viso patyrė daugiau nei 2,3 mln. litų nuostolį – vidutiniškai po 32 tūkst. litų kiekvienas. Kaimo teritorijų gyventojai mažiau naudojasi pašto paslaugomis, </w:t>
      </w:r>
      <w:r w:rsidRPr="006740E5">
        <w:rPr>
          <w:rFonts w:ascii="Times New Roman" w:hAnsi="Times New Roman"/>
          <w:sz w:val="24"/>
          <w:szCs w:val="24"/>
        </w:rPr>
        <w:br/>
        <w:t>to priežastimis galima įvardinti: didelius atstumus iki pašto skyrių, nepatogų naudojimąsi paslaugomis. Naujasis modelis padėtų spręsti valstybinio pašto skyrių nuostolingumą kaimo rajonuose, suteikiant paprastesnes sąlygas naudotis pašto paslaugomis – pašto paslaugos internetu.</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 xml:space="preserve">AB ,,Lietuvos paštas’’ naudojamą CVVS gan nesudėtingai galima pritaikyti e. paslaugų teikimui (e. prekybai būtų reikalinga papildomai įsigyti/susikurti elektroninės parduotuvės platformą) </w:t>
      </w:r>
      <w:r w:rsidRPr="006740E5">
        <w:rPr>
          <w:rFonts w:ascii="Times New Roman" w:hAnsi="Times New Roman"/>
          <w:sz w:val="24"/>
          <w:szCs w:val="24"/>
        </w:rPr>
        <w:br/>
        <w:t>ir įgyvendinus siūlomą modelį, įmonė priartėtų prie vartotojų. Šiuolaikinės visuomenės – informacinės visuomenės ypatybė yra ta, kad vartotojas informacijos (jei įmanoma) ir paslaugų/prekių siekia internetu ar kitais nuotoliniais būdais, tad visoms įmonėms būtina pirmiausia aktyviai dalyvauti internete. Toks dalyvavimas įmonę vartotojui pristato kaip modernią, besiorientuojančią į vartotojų poreikius. Iš įmonės pozicijų – tai suteiktų galimybę optimizuoti darbo procesus ir išteklių panaudojimą. Lietuvos pašto sektoriaus raidoje, pašto paslaugų perkėlimas būtų sekantis nuoseklus žingsnis AB ,,Lietuvos paštas’’ konkurencingumui liberalizuojamoje rinkoje išlaikyti.</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rPr>
      </w:pPr>
    </w:p>
    <w:p w:rsidR="00C66C7D" w:rsidRPr="006740E5" w:rsidRDefault="00C66C7D" w:rsidP="00FB15B3">
      <w:pPr>
        <w:tabs>
          <w:tab w:val="left" w:pos="-6379"/>
          <w:tab w:val="left" w:pos="709"/>
        </w:tabs>
        <w:spacing w:before="20" w:after="40" w:line="360" w:lineRule="auto"/>
        <w:ind w:firstLine="567"/>
        <w:jc w:val="center"/>
        <w:rPr>
          <w:rFonts w:ascii="Times New Roman" w:hAnsi="Times New Roman"/>
          <w:sz w:val="24"/>
          <w:szCs w:val="24"/>
        </w:rPr>
      </w:pPr>
      <w:r w:rsidRPr="006740E5">
        <w:rPr>
          <w:rFonts w:ascii="Times New Roman" w:hAnsi="Times New Roman"/>
          <w:sz w:val="24"/>
          <w:szCs w:val="24"/>
        </w:rPr>
        <w:t>***</w:t>
      </w:r>
    </w:p>
    <w:p w:rsidR="00C66C7D" w:rsidRPr="006740E5" w:rsidRDefault="00C66C7D" w:rsidP="00FB15B3">
      <w:pPr>
        <w:tabs>
          <w:tab w:val="left" w:pos="-6379"/>
          <w:tab w:val="left" w:pos="709"/>
        </w:tabs>
        <w:spacing w:before="20" w:after="40" w:line="360" w:lineRule="auto"/>
        <w:ind w:firstLine="567"/>
        <w:jc w:val="both"/>
        <w:rPr>
          <w:rFonts w:ascii="Times New Roman" w:hAnsi="Times New Roman"/>
          <w:sz w:val="24"/>
          <w:szCs w:val="24"/>
        </w:rPr>
      </w:pPr>
    </w:p>
    <w:p w:rsidR="00C66C7D" w:rsidRPr="006740E5" w:rsidRDefault="00C66C7D" w:rsidP="00FB15B3">
      <w:pPr>
        <w:tabs>
          <w:tab w:val="left" w:pos="-6379"/>
          <w:tab w:val="left" w:pos="-2127"/>
        </w:tabs>
        <w:spacing w:before="20" w:after="40" w:line="360" w:lineRule="auto"/>
        <w:ind w:firstLine="567"/>
        <w:jc w:val="both"/>
        <w:rPr>
          <w:rFonts w:ascii="Times New Roman" w:hAnsi="Times New Roman"/>
          <w:sz w:val="24"/>
          <w:szCs w:val="24"/>
        </w:rPr>
      </w:pPr>
      <w:r w:rsidRPr="006740E5">
        <w:rPr>
          <w:rFonts w:ascii="Times New Roman" w:hAnsi="Times New Roman"/>
          <w:sz w:val="24"/>
          <w:szCs w:val="24"/>
        </w:rPr>
        <w:t>Europos Sąjungos universaliųjų pašto paslaugų teikėjų teikiamų e. paslaugų analizė atskleidė, kad e. paslaugų teikimas – viena svarbiausių modernaus pašto paslaugų teikėjo charakteristikų, todėl pašto paslaugų perorganizavimas į pašto e. paslaugas – būtinas AB ,,Lietuvos paštas’’ žingsnis siekiant išsilaikyti Lietuvos pašto rinkoje.</w:t>
      </w:r>
    </w:p>
    <w:p w:rsidR="00C66C7D" w:rsidRPr="006740E5" w:rsidRDefault="00C66C7D" w:rsidP="00FB15B3">
      <w:pPr>
        <w:tabs>
          <w:tab w:val="left" w:pos="-6379"/>
          <w:tab w:val="left" w:pos="-2127"/>
        </w:tabs>
        <w:spacing w:before="20" w:after="40" w:line="360" w:lineRule="auto"/>
        <w:ind w:firstLine="567"/>
        <w:jc w:val="both"/>
        <w:rPr>
          <w:rFonts w:ascii="Times New Roman" w:hAnsi="Times New Roman"/>
          <w:sz w:val="24"/>
          <w:szCs w:val="24"/>
        </w:rPr>
      </w:pPr>
    </w:p>
    <w:p w:rsidR="00C66C7D" w:rsidRPr="006740E5" w:rsidRDefault="00FB614B" w:rsidP="00FB15B3">
      <w:pPr>
        <w:tabs>
          <w:tab w:val="left" w:pos="-6379"/>
          <w:tab w:val="left" w:pos="-2127"/>
        </w:tabs>
        <w:spacing w:before="20" w:after="40" w:line="360" w:lineRule="auto"/>
        <w:jc w:val="both"/>
        <w:rPr>
          <w:rFonts w:ascii="Times New Roman" w:hAnsi="Times New Roman"/>
          <w:sz w:val="24"/>
          <w:szCs w:val="24"/>
        </w:rPr>
      </w:pPr>
      <w:r w:rsidRPr="006740E5">
        <w:rPr>
          <w:rFonts w:ascii="Times New Roman" w:hAnsi="Times New Roman"/>
          <w:sz w:val="24"/>
          <w:szCs w:val="24"/>
          <w:lang w:eastAsia="lt-LT"/>
        </w:rPr>
        <w:lastRenderedPageBreak/>
        <w:drawing>
          <wp:inline distT="0" distB="0" distL="0" distR="0">
            <wp:extent cx="5984240" cy="3228975"/>
            <wp:effectExtent l="19050" t="0" r="16510" b="0"/>
            <wp:docPr id="24"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66C7D" w:rsidRPr="006740E5" w:rsidRDefault="00C66C7D" w:rsidP="00FB15B3">
      <w:pPr>
        <w:tabs>
          <w:tab w:val="left" w:pos="-6379"/>
        </w:tabs>
        <w:spacing w:after="240" w:line="360" w:lineRule="auto"/>
        <w:jc w:val="center"/>
        <w:rPr>
          <w:rFonts w:ascii="Times New Roman" w:hAnsi="Times New Roman"/>
          <w:b/>
          <w:iCs/>
          <w:sz w:val="24"/>
          <w:szCs w:val="24"/>
        </w:rPr>
      </w:pPr>
      <w:r w:rsidRPr="006740E5">
        <w:rPr>
          <w:rFonts w:ascii="Times New Roman" w:hAnsi="Times New Roman"/>
          <w:iCs/>
          <w:sz w:val="24"/>
          <w:szCs w:val="24"/>
        </w:rPr>
        <w:t xml:space="preserve">22 pav. </w:t>
      </w:r>
      <w:r w:rsidRPr="006740E5">
        <w:rPr>
          <w:rFonts w:ascii="Times New Roman" w:hAnsi="Times New Roman"/>
          <w:b/>
          <w:iCs/>
          <w:sz w:val="24"/>
          <w:szCs w:val="24"/>
        </w:rPr>
        <w:t>ES valstybinių (ir jau privatizuotų) pašto paslaugų teikėjų</w:t>
      </w:r>
      <w:r w:rsidRPr="006740E5">
        <w:rPr>
          <w:rFonts w:ascii="Times New Roman" w:hAnsi="Times New Roman"/>
          <w:b/>
          <w:iCs/>
          <w:sz w:val="24"/>
          <w:szCs w:val="24"/>
        </w:rPr>
        <w:br/>
        <w:t>teikiamų e. paslaugų analizė (vnt.)</w:t>
      </w:r>
    </w:p>
    <w:p w:rsidR="00C66C7D" w:rsidRPr="006740E5" w:rsidRDefault="00C66C7D" w:rsidP="00FB15B3">
      <w:pPr>
        <w:tabs>
          <w:tab w:val="left" w:pos="-6379"/>
          <w:tab w:val="left" w:pos="-2127"/>
        </w:tabs>
        <w:spacing w:before="20" w:after="40" w:line="360" w:lineRule="auto"/>
        <w:ind w:firstLine="567"/>
        <w:jc w:val="both"/>
        <w:rPr>
          <w:rFonts w:ascii="Times New Roman" w:hAnsi="Times New Roman"/>
          <w:sz w:val="24"/>
          <w:szCs w:val="24"/>
        </w:rPr>
      </w:pPr>
      <w:r w:rsidRPr="006740E5">
        <w:rPr>
          <w:rFonts w:ascii="Times New Roman" w:hAnsi="Times New Roman"/>
          <w:iCs/>
          <w:sz w:val="24"/>
          <w:szCs w:val="24"/>
        </w:rPr>
        <w:t xml:space="preserve">ES valstybinių (ir jau privatizuotų) pašto paslaugų teikėjų teikiamų e. paslaugų analizė (vnt.) </w:t>
      </w:r>
      <w:r w:rsidRPr="006740E5">
        <w:rPr>
          <w:rFonts w:ascii="Times New Roman" w:hAnsi="Times New Roman"/>
          <w:iCs/>
          <w:sz w:val="24"/>
          <w:szCs w:val="24"/>
        </w:rPr>
        <w:br/>
        <w:t xml:space="preserve">(žr. 22 pav.) parodė, kad Lietuvos universaliųjų pašto paslaugų teikėjas yra trečioje nuo galo vietoje, pagal teikiamų e. paslaugų skaičių ES, kartu su Lenkija. Analizuojamų pašto paslaugų teikėjų teikiamų e. paslaugų spektrą sudaro dvidešimt septynios skirtingos paslaugos, kurias įvairiais deriniais teikia dvidešimt septynios ES valstybės narės. E. paslaugų teikimo vidurkis yra 5,89 e. paslaugos. Dvylika iš dvidešimt septynių analizuotų pašto paslaugų teikėjų (tai sudaro 44,44 proc. subjektų) nepasiekia net ES vidurkio, tuo tarpu likusieji 55,56 proc. subjektų ženkliai viršija e. paslaugų kiekių vidurkio nesiekiančiuosius. Remiantis šia ir Lietuvos pašto rinkos subjektų analize, galima daryti išvadą, kad valstybinis pašto paslaugų teikėjo AB ,,Lietuvos paštas‘‘ vykdoma veikla yra nekonkurencinga tiek ES, tiek Lietuvos </w:t>
      </w:r>
      <w:r w:rsidR="0004279E" w:rsidRPr="006740E5">
        <w:rPr>
          <w:rFonts w:ascii="Times New Roman" w:hAnsi="Times New Roman"/>
          <w:iCs/>
          <w:sz w:val="24"/>
          <w:szCs w:val="24"/>
        </w:rPr>
        <w:t>mastu</w:t>
      </w:r>
      <w:r w:rsidRPr="006740E5">
        <w:rPr>
          <w:rFonts w:ascii="Times New Roman" w:hAnsi="Times New Roman"/>
          <w:iCs/>
          <w:sz w:val="24"/>
          <w:szCs w:val="24"/>
        </w:rPr>
        <w:t xml:space="preserve">. Dėl šios priežasties yra </w:t>
      </w:r>
      <w:r w:rsidRPr="006740E5">
        <w:rPr>
          <w:rFonts w:ascii="Times New Roman" w:hAnsi="Times New Roman"/>
          <w:sz w:val="24"/>
          <w:szCs w:val="24"/>
        </w:rPr>
        <w:t>siūlomas Liberalizuotai pašto rinkai pritaikytas (kartu ir galintis pasivyti ir net pralenkti ES vidurkį) AB ,,Lietuvos paštas‘‘ paslaugų teikimo modelis, kuris patenkintų šiuolaikinio vartotojo poreikį gauti paslaugą neišeinant iš namų – negaištant laiko kelionei į pašto skyrių ir stovėjimui eilėse, taip skatindamas vis daugiau gyventojų ir verslo subjektų rinktis valstybinio pašto teikiamas paslaugas.</w:t>
      </w:r>
    </w:p>
    <w:p w:rsidR="00C66C7D" w:rsidRPr="006740E5" w:rsidRDefault="00C66C7D" w:rsidP="0022425B">
      <w:pPr>
        <w:tabs>
          <w:tab w:val="left" w:pos="-6379"/>
        </w:tabs>
        <w:ind w:firstLine="567"/>
        <w:rPr>
          <w:rFonts w:ascii="Times New Roman" w:hAnsi="Times New Roman"/>
          <w:iCs/>
          <w:sz w:val="24"/>
          <w:szCs w:val="24"/>
        </w:rPr>
      </w:pPr>
    </w:p>
    <w:p w:rsidR="00C66C7D" w:rsidRPr="006740E5" w:rsidRDefault="00C66C7D" w:rsidP="0022425B">
      <w:pPr>
        <w:tabs>
          <w:tab w:val="left" w:pos="-6379"/>
        </w:tabs>
        <w:ind w:firstLine="567"/>
        <w:rPr>
          <w:rFonts w:ascii="Times New Roman" w:hAnsi="Times New Roman"/>
          <w:iCs/>
          <w:sz w:val="24"/>
          <w:szCs w:val="24"/>
        </w:rPr>
      </w:pPr>
      <w:r w:rsidRPr="006740E5">
        <w:rPr>
          <w:rFonts w:ascii="Times New Roman" w:hAnsi="Times New Roman"/>
          <w:iCs/>
          <w:sz w:val="24"/>
          <w:szCs w:val="24"/>
        </w:rPr>
        <w:br w:type="page"/>
      </w:r>
    </w:p>
    <w:p w:rsidR="002633C1" w:rsidRPr="006740E5" w:rsidRDefault="002633C1" w:rsidP="002633C1">
      <w:pPr>
        <w:tabs>
          <w:tab w:val="left" w:pos="-6379"/>
        </w:tabs>
        <w:jc w:val="center"/>
        <w:rPr>
          <w:rFonts w:ascii="Times New Roman" w:hAnsi="Times New Roman"/>
          <w:b/>
          <w:sz w:val="24"/>
          <w:szCs w:val="24"/>
        </w:rPr>
      </w:pPr>
      <w:bookmarkStart w:id="7" w:name="_Toc248397768"/>
      <w:r w:rsidRPr="006740E5">
        <w:rPr>
          <w:rFonts w:ascii="Times New Roman" w:hAnsi="Times New Roman"/>
          <w:b/>
          <w:sz w:val="24"/>
          <w:szCs w:val="24"/>
        </w:rPr>
        <w:lastRenderedPageBreak/>
        <w:t>IŠVADOS IR PASIŪLYMAI</w:t>
      </w:r>
      <w:bookmarkEnd w:id="7"/>
    </w:p>
    <w:p w:rsidR="002633C1" w:rsidRPr="006740E5" w:rsidRDefault="002633C1" w:rsidP="002633C1">
      <w:pPr>
        <w:tabs>
          <w:tab w:val="left" w:pos="-6379"/>
          <w:tab w:val="left" w:pos="-4395"/>
        </w:tabs>
        <w:ind w:firstLine="567"/>
        <w:jc w:val="center"/>
        <w:rPr>
          <w:rFonts w:ascii="Times New Roman" w:hAnsi="Times New Roman"/>
          <w:b/>
          <w:iCs/>
          <w:sz w:val="24"/>
          <w:szCs w:val="24"/>
        </w:rPr>
      </w:pPr>
    </w:p>
    <w:p w:rsidR="002633C1" w:rsidRPr="006740E5" w:rsidRDefault="002633C1" w:rsidP="00D018EA">
      <w:pPr>
        <w:numPr>
          <w:ilvl w:val="0"/>
          <w:numId w:val="1"/>
        </w:numPr>
        <w:tabs>
          <w:tab w:val="left" w:pos="-6379"/>
          <w:tab w:val="left" w:pos="-4395"/>
          <w:tab w:val="left" w:pos="0"/>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N</w:t>
      </w:r>
      <w:r w:rsidR="00D018EA" w:rsidRPr="006740E5">
        <w:rPr>
          <w:rFonts w:ascii="Times New Roman" w:hAnsi="Times New Roman"/>
          <w:sz w:val="24"/>
          <w:szCs w:val="24"/>
        </w:rPr>
        <w:t xml:space="preserve">aujų žinių taikymas – tai tokių subjekto veiklos organizavimo priemonių taikymo procesas, kurios anksčiau nebuvo taikomos atitinkamo subjekto veikloje. </w:t>
      </w:r>
      <w:r w:rsidR="00D018EA" w:rsidRPr="006740E5">
        <w:rPr>
          <w:rFonts w:ascii="Times New Roman" w:hAnsi="Times New Roman"/>
          <w:iCs/>
          <w:sz w:val="24"/>
          <w:szCs w:val="24"/>
        </w:rPr>
        <w:t xml:space="preserve">Naujų žinių taikymo valstybinime sektoriuje analizė parodė, kad ši sritis dar silpnai ištirta, naujos žinios nėra plačiai taikomos, </w:t>
      </w:r>
      <w:r w:rsidR="00BB7E58" w:rsidRPr="006740E5">
        <w:rPr>
          <w:rFonts w:ascii="Times New Roman" w:hAnsi="Times New Roman"/>
          <w:iCs/>
          <w:sz w:val="24"/>
          <w:szCs w:val="24"/>
        </w:rPr>
        <w:br/>
      </w:r>
      <w:r w:rsidR="00D018EA" w:rsidRPr="006740E5">
        <w:rPr>
          <w:rFonts w:ascii="Times New Roman" w:hAnsi="Times New Roman"/>
          <w:iCs/>
          <w:sz w:val="24"/>
          <w:szCs w:val="24"/>
        </w:rPr>
        <w:t>todėl siekiant didinti valstybinio sektoriaus konkurencingumą ir užtikrinti veiklos efektyvumą aktualu taikyti inovatyvius metodus. N</w:t>
      </w:r>
      <w:r w:rsidRPr="006740E5">
        <w:rPr>
          <w:rFonts w:ascii="Times New Roman" w:hAnsi="Times New Roman"/>
          <w:sz w:val="24"/>
          <w:szCs w:val="24"/>
        </w:rPr>
        <w:t xml:space="preserve">aujų žinių taikymo verslo procesuose analizė parodė inovatyvių metodų taikymo nauda ekonominę veiklą vykdančiam subjektui. </w:t>
      </w:r>
    </w:p>
    <w:p w:rsidR="001E727B" w:rsidRPr="006740E5" w:rsidRDefault="002633C1" w:rsidP="001E727B">
      <w:pPr>
        <w:numPr>
          <w:ilvl w:val="0"/>
          <w:numId w:val="1"/>
        </w:numPr>
        <w:tabs>
          <w:tab w:val="left" w:pos="-6379"/>
          <w:tab w:val="left" w:pos="-4395"/>
          <w:tab w:val="left" w:pos="0"/>
        </w:tabs>
        <w:spacing w:before="20" w:after="40" w:line="360" w:lineRule="auto"/>
        <w:ind w:left="0" w:firstLine="567"/>
        <w:jc w:val="both"/>
        <w:rPr>
          <w:rFonts w:ascii="Times New Roman" w:hAnsi="Times New Roman"/>
          <w:i/>
          <w:sz w:val="24"/>
          <w:szCs w:val="24"/>
        </w:rPr>
      </w:pPr>
      <w:r w:rsidRPr="006740E5">
        <w:rPr>
          <w:rFonts w:ascii="Times New Roman" w:hAnsi="Times New Roman"/>
          <w:sz w:val="24"/>
          <w:szCs w:val="24"/>
        </w:rPr>
        <w:t>Teorinių šaltinių analizė parodė, kad Lietuvoje vykdomą</w:t>
      </w:r>
      <w:r w:rsidR="00BB7E58" w:rsidRPr="006740E5">
        <w:rPr>
          <w:rFonts w:ascii="Times New Roman" w:hAnsi="Times New Roman"/>
          <w:sz w:val="24"/>
          <w:szCs w:val="24"/>
        </w:rPr>
        <w:t xml:space="preserve"> liberalizacijos</w:t>
      </w:r>
      <w:r w:rsidRPr="006740E5">
        <w:rPr>
          <w:rFonts w:ascii="Times New Roman" w:hAnsi="Times New Roman"/>
          <w:sz w:val="24"/>
          <w:szCs w:val="24"/>
        </w:rPr>
        <w:t xml:space="preserve"> procesą galima vertinti kaip chaotišką ir lėtą, lyginant su vakarų Europos valstybėse vykstančiais procesais</w:t>
      </w:r>
      <w:r w:rsidR="00BB7E58" w:rsidRPr="006740E5">
        <w:rPr>
          <w:rFonts w:ascii="Times New Roman" w:hAnsi="Times New Roman"/>
          <w:sz w:val="24"/>
          <w:szCs w:val="24"/>
        </w:rPr>
        <w:t>.</w:t>
      </w:r>
      <w:r w:rsidRPr="006740E5">
        <w:rPr>
          <w:rFonts w:ascii="Times New Roman" w:hAnsi="Times New Roman"/>
          <w:sz w:val="24"/>
          <w:szCs w:val="24"/>
        </w:rPr>
        <w:t xml:space="preserve"> </w:t>
      </w:r>
      <w:r w:rsidR="00D9662F" w:rsidRPr="006740E5">
        <w:rPr>
          <w:rFonts w:ascii="Times New Roman" w:hAnsi="Times New Roman"/>
          <w:sz w:val="24"/>
          <w:szCs w:val="24"/>
        </w:rPr>
        <w:br/>
      </w:r>
      <w:r w:rsidRPr="006740E5">
        <w:rPr>
          <w:rFonts w:ascii="Times New Roman" w:hAnsi="Times New Roman"/>
          <w:sz w:val="24"/>
          <w:szCs w:val="24"/>
        </w:rPr>
        <w:t>Teisi</w:t>
      </w:r>
      <w:r w:rsidR="00BB7E58" w:rsidRPr="006740E5">
        <w:rPr>
          <w:rFonts w:ascii="Times New Roman" w:hAnsi="Times New Roman"/>
          <w:sz w:val="24"/>
          <w:szCs w:val="24"/>
        </w:rPr>
        <w:t>nis pašto sektoriaus reglamentavimas</w:t>
      </w:r>
      <w:r w:rsidRPr="006740E5">
        <w:rPr>
          <w:rFonts w:ascii="Times New Roman" w:hAnsi="Times New Roman"/>
          <w:sz w:val="24"/>
          <w:szCs w:val="24"/>
        </w:rPr>
        <w:t xml:space="preserve"> įstatymais įformintas laipsniška</w:t>
      </w:r>
      <w:r w:rsidR="00BB7E58" w:rsidRPr="006740E5">
        <w:rPr>
          <w:rFonts w:ascii="Times New Roman" w:hAnsi="Times New Roman"/>
          <w:sz w:val="24"/>
          <w:szCs w:val="24"/>
        </w:rPr>
        <w:t>i</w:t>
      </w:r>
      <w:r w:rsidRPr="006740E5">
        <w:rPr>
          <w:rFonts w:ascii="Times New Roman" w:hAnsi="Times New Roman"/>
          <w:sz w:val="24"/>
          <w:szCs w:val="24"/>
        </w:rPr>
        <w:t xml:space="preserve"> </w:t>
      </w:r>
      <w:r w:rsidR="00BB7E58" w:rsidRPr="006740E5">
        <w:rPr>
          <w:rFonts w:ascii="Times New Roman" w:hAnsi="Times New Roman"/>
          <w:sz w:val="24"/>
          <w:szCs w:val="24"/>
        </w:rPr>
        <w:t xml:space="preserve">kuriant </w:t>
      </w:r>
      <w:r w:rsidRPr="006740E5">
        <w:rPr>
          <w:rFonts w:ascii="Times New Roman" w:hAnsi="Times New Roman"/>
          <w:sz w:val="24"/>
          <w:szCs w:val="24"/>
        </w:rPr>
        <w:t>rinkos liberalizavim</w:t>
      </w:r>
      <w:r w:rsidR="00BB7E58" w:rsidRPr="006740E5">
        <w:rPr>
          <w:rFonts w:ascii="Times New Roman" w:hAnsi="Times New Roman"/>
          <w:sz w:val="24"/>
          <w:szCs w:val="24"/>
        </w:rPr>
        <w:t>o</w:t>
      </w:r>
      <w:r w:rsidRPr="006740E5">
        <w:rPr>
          <w:rFonts w:ascii="Times New Roman" w:hAnsi="Times New Roman"/>
          <w:sz w:val="24"/>
          <w:szCs w:val="24"/>
        </w:rPr>
        <w:t xml:space="preserve"> sąlygas valstybiniam pašto paslaugų teikėjui</w:t>
      </w:r>
      <w:r w:rsidR="00BB7E58" w:rsidRPr="006740E5">
        <w:rPr>
          <w:rFonts w:ascii="Times New Roman" w:hAnsi="Times New Roman"/>
          <w:sz w:val="24"/>
          <w:szCs w:val="24"/>
        </w:rPr>
        <w:t>, kad šis galėtų</w:t>
      </w:r>
      <w:r w:rsidRPr="006740E5">
        <w:rPr>
          <w:rFonts w:ascii="Times New Roman" w:hAnsi="Times New Roman"/>
          <w:sz w:val="24"/>
          <w:szCs w:val="24"/>
        </w:rPr>
        <w:t xml:space="preserve"> laiku prisitaikyti prie pokyčių nėra realizuojamas suplanuotais tempais ir mastais.</w:t>
      </w:r>
      <w:r w:rsidR="00BB7E58" w:rsidRPr="006740E5">
        <w:rPr>
          <w:rFonts w:ascii="Times New Roman" w:hAnsi="Times New Roman"/>
          <w:sz w:val="24"/>
          <w:szCs w:val="24"/>
        </w:rPr>
        <w:t xml:space="preserve"> Dėl šios priežasties AB ,,Lietuvos paštas’’ veikia nuostolingai ir pamažu praranda rinką.</w:t>
      </w:r>
    </w:p>
    <w:p w:rsidR="001E727B" w:rsidRPr="006740E5" w:rsidRDefault="001E727B" w:rsidP="001E727B">
      <w:pPr>
        <w:numPr>
          <w:ilvl w:val="0"/>
          <w:numId w:val="1"/>
        </w:numPr>
        <w:tabs>
          <w:tab w:val="left" w:pos="-6379"/>
          <w:tab w:val="left" w:pos="-4395"/>
          <w:tab w:val="left" w:pos="0"/>
        </w:tabs>
        <w:spacing w:before="20" w:after="40" w:line="360" w:lineRule="auto"/>
        <w:ind w:left="0" w:firstLine="567"/>
        <w:jc w:val="both"/>
        <w:rPr>
          <w:rFonts w:ascii="Times New Roman" w:hAnsi="Times New Roman"/>
          <w:i/>
          <w:sz w:val="24"/>
          <w:szCs w:val="24"/>
        </w:rPr>
      </w:pPr>
      <w:r w:rsidRPr="006740E5">
        <w:rPr>
          <w:rFonts w:ascii="Times New Roman" w:hAnsi="Times New Roman"/>
          <w:sz w:val="24"/>
          <w:szCs w:val="24"/>
        </w:rPr>
        <w:t>Veikiančio AB ,,Lietuvos paštas’’ paslaugų teikimo modelio analizė leidžia daryti išvadą, kad valstybinis pašto paslaugų teikėjas savo veiklą vykdo neatsižvelgdamas į:</w:t>
      </w:r>
    </w:p>
    <w:p w:rsidR="001E727B" w:rsidRPr="006740E5" w:rsidRDefault="001E727B" w:rsidP="001E727B">
      <w:pPr>
        <w:pStyle w:val="ListParagraph"/>
        <w:numPr>
          <w:ilvl w:val="0"/>
          <w:numId w:val="13"/>
        </w:numPr>
        <w:tabs>
          <w:tab w:val="left" w:pos="-6379"/>
          <w:tab w:val="left" w:pos="284"/>
          <w:tab w:val="left" w:pos="851"/>
        </w:tabs>
        <w:spacing w:after="0" w:line="360" w:lineRule="auto"/>
        <w:ind w:left="0" w:firstLine="567"/>
        <w:jc w:val="both"/>
        <w:rPr>
          <w:rFonts w:ascii="Times New Roman" w:hAnsi="Times New Roman"/>
          <w:sz w:val="24"/>
          <w:szCs w:val="24"/>
        </w:rPr>
      </w:pPr>
      <w:r w:rsidRPr="006740E5">
        <w:rPr>
          <w:rFonts w:ascii="Times New Roman" w:hAnsi="Times New Roman"/>
          <w:sz w:val="24"/>
          <w:szCs w:val="24"/>
        </w:rPr>
        <w:t>teisiškai naikinamą jo monopoliją šalyje ir dėl to besikeičiančias sąlygas (augančią konkurenciją), kurių aplinkoje veikdamas sparčiai praranda turimą rinką;</w:t>
      </w:r>
    </w:p>
    <w:p w:rsidR="001E727B" w:rsidRPr="006740E5" w:rsidRDefault="001E727B" w:rsidP="001E727B">
      <w:pPr>
        <w:pStyle w:val="ListParagraph"/>
        <w:numPr>
          <w:ilvl w:val="0"/>
          <w:numId w:val="13"/>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vartotojų poreikius, kurių patenkinimas besikuriančios laisvos rinkos sąlygomis yra pagrindas ekonominę veiklą vykdančiam subjektui;</w:t>
      </w:r>
    </w:p>
    <w:p w:rsidR="001E727B" w:rsidRPr="006740E5" w:rsidRDefault="001E727B" w:rsidP="001E727B">
      <w:pPr>
        <w:pStyle w:val="ListParagraph"/>
        <w:numPr>
          <w:ilvl w:val="0"/>
          <w:numId w:val="13"/>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būtinybę aptarnaujant vartotojus taikyti e. priemones dėl dviejų priežasčių: 1) šiuolaikinis vartotojas yra informacinės visuomenės dalyvis įpratęs prie IKT teikiamo patogumo siekiant informacijos ir paslaugų, 2) e. priemones savo veikloje taiko itin sėkmingai veikiantys kiti Lietuvos pašto rinkos dalyviai;</w:t>
      </w:r>
    </w:p>
    <w:p w:rsidR="001E727B" w:rsidRPr="006740E5" w:rsidRDefault="001E727B" w:rsidP="001E727B">
      <w:pPr>
        <w:pStyle w:val="ListParagraph"/>
        <w:numPr>
          <w:ilvl w:val="0"/>
          <w:numId w:val="13"/>
        </w:numPr>
        <w:tabs>
          <w:tab w:val="left" w:pos="-6379"/>
          <w:tab w:val="left" w:pos="-4962"/>
          <w:tab w:val="left" w:pos="284"/>
          <w:tab w:val="left" w:pos="851"/>
        </w:tabs>
        <w:spacing w:before="20" w:after="40" w:line="360" w:lineRule="auto"/>
        <w:ind w:left="0" w:firstLine="567"/>
        <w:jc w:val="both"/>
        <w:rPr>
          <w:rFonts w:ascii="Times New Roman" w:hAnsi="Times New Roman"/>
          <w:sz w:val="24"/>
          <w:szCs w:val="24"/>
        </w:rPr>
      </w:pPr>
      <w:r w:rsidRPr="006740E5">
        <w:rPr>
          <w:rFonts w:ascii="Times New Roman" w:hAnsi="Times New Roman"/>
          <w:sz w:val="24"/>
          <w:szCs w:val="24"/>
        </w:rPr>
        <w:t>būtinybę, vartotojų aptarnavime taikant IKT ir siekiant patenkinti vartotojų poreikius, įdiegti sistemą, pajėgiančia AB ,,Lietuvos paštas’’ suteikti jam būtiną informaciją apie vartotojų poreikius ir požiūrį į subjektą minimaliomis vartotojo sąnaudomis.</w:t>
      </w:r>
    </w:p>
    <w:p w:rsidR="002633C1" w:rsidRPr="006740E5" w:rsidRDefault="002633C1" w:rsidP="00D209B2">
      <w:pPr>
        <w:numPr>
          <w:ilvl w:val="0"/>
          <w:numId w:val="1"/>
        </w:numPr>
        <w:tabs>
          <w:tab w:val="left" w:pos="-6379"/>
          <w:tab w:val="left" w:pos="-4395"/>
          <w:tab w:val="left" w:pos="0"/>
        </w:tabs>
        <w:spacing w:before="20" w:after="40" w:line="360" w:lineRule="auto"/>
        <w:ind w:left="0" w:firstLine="567"/>
        <w:jc w:val="both"/>
        <w:rPr>
          <w:rFonts w:ascii="Times New Roman" w:hAnsi="Times New Roman"/>
          <w:i/>
          <w:sz w:val="24"/>
          <w:szCs w:val="24"/>
        </w:rPr>
      </w:pPr>
      <w:r w:rsidRPr="006740E5">
        <w:rPr>
          <w:rFonts w:ascii="Times New Roman" w:hAnsi="Times New Roman"/>
          <w:sz w:val="24"/>
          <w:szCs w:val="24"/>
        </w:rPr>
        <w:t>Empir</w:t>
      </w:r>
      <w:r w:rsidR="001E727B" w:rsidRPr="006740E5">
        <w:rPr>
          <w:rFonts w:ascii="Times New Roman" w:hAnsi="Times New Roman"/>
          <w:sz w:val="24"/>
          <w:szCs w:val="24"/>
        </w:rPr>
        <w:t xml:space="preserve">inis tyrimas atskleidė, </w:t>
      </w:r>
      <w:r w:rsidRPr="006740E5">
        <w:rPr>
          <w:rFonts w:ascii="Times New Roman" w:hAnsi="Times New Roman"/>
          <w:sz w:val="24"/>
          <w:szCs w:val="24"/>
        </w:rPr>
        <w:t xml:space="preserve">kad dabartinis AB ,,Lietuvos paštas’’ veikimo modelis nepatrauklus moderniam vartotojui. Tyrimo metu pagrindine AB ,,Lietuvos paštas‘‘ dalyvavimo pašto rinkoje problema buvo nustatytas </w:t>
      </w:r>
      <w:r w:rsidRPr="006740E5">
        <w:rPr>
          <w:rFonts w:ascii="Times New Roman" w:hAnsi="Times New Roman"/>
          <w:iCs/>
          <w:sz w:val="24"/>
          <w:szCs w:val="24"/>
        </w:rPr>
        <w:t>visuomenės poreikio neatitinkantis informacinių-komunikacinių technologijų taikymas ryšių su klientais užmezgimo ir palaikymo procesuose bei teikiant paslaugas</w:t>
      </w:r>
      <w:r w:rsidRPr="006740E5">
        <w:rPr>
          <w:rFonts w:ascii="Times New Roman" w:hAnsi="Times New Roman"/>
          <w:sz w:val="24"/>
          <w:szCs w:val="24"/>
        </w:rPr>
        <w:t xml:space="preserve">. </w:t>
      </w:r>
      <w:r w:rsidR="001E727B" w:rsidRPr="006740E5">
        <w:rPr>
          <w:rFonts w:ascii="Times New Roman" w:hAnsi="Times New Roman"/>
          <w:sz w:val="24"/>
          <w:szCs w:val="24"/>
        </w:rPr>
        <w:t xml:space="preserve">Atitinkamai </w:t>
      </w:r>
      <w:r w:rsidRPr="006740E5">
        <w:rPr>
          <w:rFonts w:ascii="Times New Roman" w:hAnsi="Times New Roman"/>
          <w:sz w:val="24"/>
          <w:szCs w:val="24"/>
        </w:rPr>
        <w:t xml:space="preserve">Europos Sąjungos universaliųjų pašto paslaugų teikėjų teikiamų elektroninių paslaugų analizė atskleidė, kad elektroninių paslaugų teikimas – viena svarbiausių modernaus pašto paslaugų teikėjo charakteristikų, todėl pašto paslaugų perorganizavimas į pašto elektronines paslaugas – </w:t>
      </w:r>
      <w:r w:rsidR="00BB7E58" w:rsidRPr="006740E5">
        <w:rPr>
          <w:rFonts w:ascii="Times New Roman" w:hAnsi="Times New Roman"/>
          <w:sz w:val="24"/>
          <w:szCs w:val="24"/>
        </w:rPr>
        <w:lastRenderedPageBreak/>
        <w:t>prioritetinis</w:t>
      </w:r>
      <w:r w:rsidRPr="006740E5">
        <w:rPr>
          <w:rFonts w:ascii="Times New Roman" w:hAnsi="Times New Roman"/>
          <w:sz w:val="24"/>
          <w:szCs w:val="24"/>
        </w:rPr>
        <w:t xml:space="preserve"> valstybinio pašto paslaugų teikėjo žingsnis siekiant išsilaikyti Lietuvos pašto rinkoje. </w:t>
      </w:r>
      <w:r w:rsidR="00D209B2" w:rsidRPr="006740E5">
        <w:rPr>
          <w:rFonts w:ascii="Times New Roman" w:hAnsi="Times New Roman"/>
          <w:sz w:val="24"/>
          <w:szCs w:val="24"/>
        </w:rPr>
        <w:t xml:space="preserve">Rekomenduojamas teorinis liberalizuotai pašto rinkai pritaikytas AB ,,Lietuvos paštas’’ paslaugų teikimo modelis </w:t>
      </w:r>
      <w:r w:rsidR="00312F86" w:rsidRPr="006740E5">
        <w:rPr>
          <w:rFonts w:ascii="Times New Roman" w:hAnsi="Times New Roman"/>
          <w:sz w:val="24"/>
          <w:szCs w:val="24"/>
        </w:rPr>
        <w:t xml:space="preserve">pateikiamas valstybės ir klientų kontekste </w:t>
      </w:r>
      <w:r w:rsidRPr="006740E5">
        <w:rPr>
          <w:rFonts w:ascii="Times New Roman" w:hAnsi="Times New Roman"/>
          <w:sz w:val="24"/>
          <w:szCs w:val="24"/>
        </w:rPr>
        <w:t>remiasi naujų žinių taikymu (elektroninių paslaugų, skirtų klientų aptar</w:t>
      </w:r>
      <w:r w:rsidR="00D209B2" w:rsidRPr="006740E5">
        <w:rPr>
          <w:rFonts w:ascii="Times New Roman" w:hAnsi="Times New Roman"/>
          <w:sz w:val="24"/>
          <w:szCs w:val="24"/>
        </w:rPr>
        <w:t>navimui, įdiegimu) ir orientuoja</w:t>
      </w:r>
      <w:r w:rsidRPr="006740E5">
        <w:rPr>
          <w:rFonts w:ascii="Times New Roman" w:hAnsi="Times New Roman"/>
          <w:sz w:val="24"/>
          <w:szCs w:val="24"/>
        </w:rPr>
        <w:t>s</w:t>
      </w:r>
      <w:r w:rsidR="00D209B2" w:rsidRPr="006740E5">
        <w:rPr>
          <w:rFonts w:ascii="Times New Roman" w:hAnsi="Times New Roman"/>
          <w:sz w:val="24"/>
          <w:szCs w:val="24"/>
        </w:rPr>
        <w:t>i</w:t>
      </w:r>
      <w:r w:rsidRPr="006740E5">
        <w:rPr>
          <w:rFonts w:ascii="Times New Roman" w:hAnsi="Times New Roman"/>
          <w:sz w:val="24"/>
          <w:szCs w:val="24"/>
        </w:rPr>
        <w:t xml:space="preserve"> į šiuolaikinio vartotojo poreikį gauti paslaugą neišeinant iš namų – negaištant laiko kelionei į pašto skyrių ir stovėjimui eilėse, </w:t>
      </w:r>
      <w:r w:rsidR="00D9662F" w:rsidRPr="006740E5">
        <w:rPr>
          <w:rFonts w:ascii="Times New Roman" w:hAnsi="Times New Roman"/>
          <w:sz w:val="24"/>
          <w:szCs w:val="24"/>
        </w:rPr>
        <w:br/>
      </w:r>
      <w:r w:rsidRPr="006740E5">
        <w:rPr>
          <w:rFonts w:ascii="Times New Roman" w:hAnsi="Times New Roman"/>
          <w:sz w:val="24"/>
          <w:szCs w:val="24"/>
        </w:rPr>
        <w:t>taip skatindamas vis daugiau gyventojų ir verslo subjektų rinktis valstybinio pašto teikiamas paslaugas.</w:t>
      </w:r>
    </w:p>
    <w:p w:rsidR="002633C1" w:rsidRPr="006740E5" w:rsidRDefault="001E727B" w:rsidP="00D018EA">
      <w:pPr>
        <w:numPr>
          <w:ilvl w:val="0"/>
          <w:numId w:val="1"/>
        </w:numPr>
        <w:tabs>
          <w:tab w:val="left" w:pos="-6379"/>
          <w:tab w:val="left" w:pos="-4395"/>
          <w:tab w:val="left" w:pos="0"/>
        </w:tabs>
        <w:spacing w:before="20" w:after="40" w:line="360" w:lineRule="auto"/>
        <w:ind w:left="0" w:firstLine="567"/>
        <w:jc w:val="both"/>
        <w:rPr>
          <w:rFonts w:ascii="Times New Roman" w:hAnsi="Times New Roman"/>
          <w:iCs/>
          <w:sz w:val="24"/>
          <w:szCs w:val="24"/>
        </w:rPr>
      </w:pPr>
      <w:r w:rsidRPr="006740E5">
        <w:rPr>
          <w:rFonts w:ascii="Times New Roman" w:hAnsi="Times New Roman"/>
          <w:sz w:val="24"/>
          <w:szCs w:val="24"/>
        </w:rPr>
        <w:t>E</w:t>
      </w:r>
      <w:r w:rsidR="00D018EA" w:rsidRPr="006740E5">
        <w:rPr>
          <w:rFonts w:ascii="Times New Roman" w:hAnsi="Times New Roman"/>
          <w:iCs/>
          <w:sz w:val="24"/>
          <w:szCs w:val="24"/>
        </w:rPr>
        <w:t>mpirinis tyrim</w:t>
      </w:r>
      <w:r w:rsidRPr="006740E5">
        <w:rPr>
          <w:rFonts w:ascii="Times New Roman" w:hAnsi="Times New Roman"/>
          <w:iCs/>
          <w:sz w:val="24"/>
          <w:szCs w:val="24"/>
        </w:rPr>
        <w:t>o rezultatai</w:t>
      </w:r>
      <w:r w:rsidR="00D018EA" w:rsidRPr="006740E5">
        <w:rPr>
          <w:rFonts w:ascii="Times New Roman" w:hAnsi="Times New Roman"/>
          <w:iCs/>
          <w:sz w:val="24"/>
          <w:szCs w:val="24"/>
        </w:rPr>
        <w:t xml:space="preserve"> parodė, kad AB ,,Lietuvos paštas“ galėtų taikyti </w:t>
      </w:r>
      <w:r w:rsidR="00BB7E58" w:rsidRPr="006740E5">
        <w:rPr>
          <w:rFonts w:ascii="Times New Roman" w:hAnsi="Times New Roman"/>
          <w:iCs/>
          <w:sz w:val="24"/>
          <w:szCs w:val="24"/>
        </w:rPr>
        <w:t>elektroninio verslo modelį elektroninė</w:t>
      </w:r>
      <w:r w:rsidR="00D018EA" w:rsidRPr="006740E5">
        <w:rPr>
          <w:rFonts w:ascii="Times New Roman" w:hAnsi="Times New Roman"/>
          <w:iCs/>
          <w:sz w:val="24"/>
          <w:szCs w:val="24"/>
        </w:rPr>
        <w:t xml:space="preserve"> rinkodar</w:t>
      </w:r>
      <w:r w:rsidR="00BB7E58" w:rsidRPr="006740E5">
        <w:rPr>
          <w:rFonts w:ascii="Times New Roman" w:hAnsi="Times New Roman"/>
          <w:iCs/>
          <w:sz w:val="24"/>
          <w:szCs w:val="24"/>
        </w:rPr>
        <w:t>a</w:t>
      </w:r>
      <w:r w:rsidR="00D018EA" w:rsidRPr="006740E5">
        <w:rPr>
          <w:rFonts w:ascii="Times New Roman" w:hAnsi="Times New Roman"/>
          <w:iCs/>
          <w:sz w:val="24"/>
          <w:szCs w:val="24"/>
        </w:rPr>
        <w:t xml:space="preserve">, kuris sukuria sąlygas minimaliai trukdant patį vartotoją suteikti jam maksimalų kiekį informacijos. </w:t>
      </w:r>
      <w:r w:rsidR="00D018EA" w:rsidRPr="006740E5">
        <w:rPr>
          <w:rFonts w:ascii="Times New Roman" w:hAnsi="Times New Roman"/>
          <w:sz w:val="24"/>
          <w:szCs w:val="24"/>
        </w:rPr>
        <w:t xml:space="preserve">AB ,,Lietuvos paštas“ konkurencingumui didinti rekomenduojama visas subjekto teikiamas paslaugas, kurių prigimtis netrukdo jas teikti panaudojant informacines komunikacines technologijas, perkelti į elektroninę erdvę, tai būtų: paslaugų teikimo sutartys, prekyba, pranešimai, atsiskaitymai. Taip pat pritaikyti vartotojo registraciją, galimybę vartotojui susikurti individualią aplinką, paslaugų valdymą ir kreipimusis į pašto paslaugų teikėjo administraciją elektroniniu būdu. Pritaikius siūlomas elektronines paslaugas būtų užmegztas dvipusis ryšys elektroninėje erdvėje tarp paslaugų teikėjo ir paslaugų gavėjo, kuris sudarytų sąlygas sėkmingai vystyti e. rinkodarą. </w:t>
      </w:r>
      <w:r w:rsidR="00D018EA" w:rsidRPr="006740E5">
        <w:rPr>
          <w:rFonts w:ascii="Times New Roman" w:hAnsi="Times New Roman"/>
          <w:iCs/>
          <w:sz w:val="24"/>
          <w:szCs w:val="24"/>
        </w:rPr>
        <w:t>Pripratinus vartotojus dėl paslaugų kreiptis į interneto svetainę teigiamai suaktyvėtų bendrovės reklaminės kampanijos. ES šalių universaliųjų pašto paslaugų teikėjų teikiamų paslaugų analizė (į tyrimą neįtraukta Lietuva), atlikta Lietuvos pašto rinkos galimybių empirinio tyrimo rezultatams paremti, parodė, kad dešimt valstybių (38,46 proc.) taiko e. rinkodarą teikiant pašto paslaugas.</w:t>
      </w:r>
    </w:p>
    <w:p w:rsidR="002633C1" w:rsidRPr="006740E5" w:rsidRDefault="00BB7E58" w:rsidP="00BB7E58">
      <w:pPr>
        <w:numPr>
          <w:ilvl w:val="0"/>
          <w:numId w:val="1"/>
        </w:numPr>
        <w:tabs>
          <w:tab w:val="left" w:pos="-6379"/>
          <w:tab w:val="left" w:pos="-4395"/>
          <w:tab w:val="left" w:pos="0"/>
        </w:tabs>
        <w:spacing w:before="20" w:after="40" w:line="360" w:lineRule="auto"/>
        <w:ind w:left="0" w:firstLine="567"/>
        <w:jc w:val="both"/>
        <w:rPr>
          <w:rFonts w:ascii="Times New Roman" w:hAnsi="Times New Roman"/>
          <w:i/>
          <w:sz w:val="24"/>
          <w:szCs w:val="24"/>
        </w:rPr>
      </w:pPr>
      <w:r w:rsidRPr="006740E5">
        <w:rPr>
          <w:rFonts w:ascii="Times New Roman" w:hAnsi="Times New Roman"/>
          <w:iCs/>
          <w:sz w:val="24"/>
          <w:szCs w:val="24"/>
        </w:rPr>
        <w:t>Didinant</w:t>
      </w:r>
      <w:r w:rsidR="002633C1" w:rsidRPr="006740E5">
        <w:rPr>
          <w:rFonts w:ascii="Times New Roman" w:hAnsi="Times New Roman"/>
          <w:iCs/>
          <w:sz w:val="24"/>
          <w:szCs w:val="24"/>
        </w:rPr>
        <w:t xml:space="preserve"> AB ,,Lietuvos paštas‘‘ veikl</w:t>
      </w:r>
      <w:r w:rsidRPr="006740E5">
        <w:rPr>
          <w:rFonts w:ascii="Times New Roman" w:hAnsi="Times New Roman"/>
          <w:iCs/>
          <w:sz w:val="24"/>
          <w:szCs w:val="24"/>
        </w:rPr>
        <w:t>os efektyvumą</w:t>
      </w:r>
      <w:r w:rsidR="002633C1" w:rsidRPr="006740E5">
        <w:rPr>
          <w:rFonts w:ascii="Times New Roman" w:hAnsi="Times New Roman"/>
          <w:iCs/>
          <w:sz w:val="24"/>
          <w:szCs w:val="24"/>
        </w:rPr>
        <w:t xml:space="preserve"> būtina skirti daugiau dėmesio ir nuodugniai išanalizuoti šio tyrimo metu nustatytas AB ,,Lietuvos</w:t>
      </w:r>
      <w:r w:rsidRPr="006740E5">
        <w:rPr>
          <w:rFonts w:ascii="Times New Roman" w:hAnsi="Times New Roman"/>
          <w:iCs/>
          <w:sz w:val="24"/>
          <w:szCs w:val="24"/>
        </w:rPr>
        <w:t xml:space="preserve"> paštas‘‘ elektroninių paslaugų realizacijos procesą ir rinkodaros problemas</w:t>
      </w:r>
      <w:r w:rsidR="002633C1" w:rsidRPr="006740E5">
        <w:rPr>
          <w:rFonts w:ascii="Times New Roman" w:hAnsi="Times New Roman"/>
          <w:iCs/>
          <w:sz w:val="24"/>
          <w:szCs w:val="24"/>
        </w:rPr>
        <w:t>.</w:t>
      </w:r>
      <w:r w:rsidR="002633C1" w:rsidRPr="006740E5">
        <w:rPr>
          <w:rFonts w:ascii="Times New Roman" w:hAnsi="Times New Roman"/>
          <w:sz w:val="24"/>
          <w:szCs w:val="24"/>
        </w:rPr>
        <w:t xml:space="preserve"> Tolimesni tyrimai siekiant nustatyti visus veiksnius darančius įtaką Lietuvos Respublikos pašto rinkai ir pašto paslaugų tiekėjų pelningumui yra aktualūs ir būtini.</w:t>
      </w:r>
    </w:p>
    <w:p w:rsidR="00C66C7D" w:rsidRPr="006740E5" w:rsidRDefault="00C66C7D" w:rsidP="0022425B">
      <w:pPr>
        <w:tabs>
          <w:tab w:val="left" w:pos="-6379"/>
          <w:tab w:val="left" w:pos="-4395"/>
        </w:tabs>
        <w:spacing w:line="360" w:lineRule="auto"/>
        <w:ind w:firstLine="567"/>
        <w:rPr>
          <w:rFonts w:ascii="Times New Roman" w:hAnsi="Times New Roman"/>
          <w:iCs/>
          <w:sz w:val="24"/>
          <w:szCs w:val="24"/>
        </w:rPr>
      </w:pPr>
      <w:r w:rsidRPr="006740E5">
        <w:rPr>
          <w:rFonts w:ascii="Times New Roman" w:hAnsi="Times New Roman"/>
          <w:iCs/>
          <w:sz w:val="24"/>
          <w:szCs w:val="24"/>
        </w:rPr>
        <w:br w:type="page"/>
      </w:r>
    </w:p>
    <w:p w:rsidR="00C66C7D" w:rsidRPr="006740E5" w:rsidRDefault="00C66C7D" w:rsidP="00453847">
      <w:pPr>
        <w:jc w:val="center"/>
        <w:rPr>
          <w:rFonts w:ascii="Times New Roman" w:hAnsi="Times New Roman"/>
          <w:b/>
          <w:sz w:val="24"/>
          <w:szCs w:val="24"/>
        </w:rPr>
      </w:pPr>
      <w:bookmarkStart w:id="8" w:name="_Toc248397769"/>
      <w:r w:rsidRPr="006740E5">
        <w:rPr>
          <w:rFonts w:ascii="Times New Roman" w:hAnsi="Times New Roman"/>
          <w:b/>
          <w:sz w:val="24"/>
          <w:szCs w:val="24"/>
        </w:rPr>
        <w:lastRenderedPageBreak/>
        <w:t>LITERATŪRA</w:t>
      </w:r>
      <w:bookmarkEnd w:id="8"/>
    </w:p>
    <w:p w:rsidR="00C66C7D" w:rsidRPr="006740E5" w:rsidRDefault="00C66C7D" w:rsidP="0022425B">
      <w:pPr>
        <w:tabs>
          <w:tab w:val="left" w:pos="-6379"/>
        </w:tabs>
        <w:ind w:firstLine="567"/>
      </w:pP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Adams R. et al.</w:t>
      </w:r>
      <w:r w:rsidRPr="006740E5">
        <w:rPr>
          <w:rFonts w:ascii="Times New Roman" w:hAnsi="Times New Roman"/>
          <w:iCs/>
          <w:sz w:val="24"/>
          <w:szCs w:val="24"/>
        </w:rPr>
        <w:t xml:space="preserve"> Innovation management measurement: A review, International Journal of Management Reviews, 2006, Vol. 8 Issue 1, p. 21-47. - ISSN 1468-2370.</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Ahmad A. R., Idris M. T. M.</w:t>
      </w:r>
      <w:r w:rsidRPr="006740E5">
        <w:rPr>
          <w:rFonts w:ascii="Times New Roman" w:hAnsi="Times New Roman"/>
          <w:iCs/>
          <w:sz w:val="24"/>
          <w:szCs w:val="24"/>
        </w:rPr>
        <w:t xml:space="preserve"> Managing knowledge management through strategic management perspectives, The 10th IBIMA conference on Innovation and Knowledge Management in Business Globalization, 2008, Kuala Lumpur, Malaysia, June 30 - July 2, 2008, p. 1295–1301.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Ahmad H. et al.</w:t>
      </w:r>
      <w:r w:rsidRPr="006740E5">
        <w:rPr>
          <w:rFonts w:ascii="Times New Roman" w:hAnsi="Times New Roman"/>
          <w:iCs/>
          <w:sz w:val="24"/>
          <w:szCs w:val="24"/>
        </w:rPr>
        <w:t xml:space="preserve"> The Effect of Kowledge Enablers to Knowledge Acquisition: Evidence from Higher Education in Malaysia, The 13th IBIMA conference on Knowledge Management and Innovation in Advancing Economies, 2009, Marrakech, Marocco November 9–10, 2009, p. 84–97.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Alhawari S. et al.</w:t>
      </w:r>
      <w:r w:rsidRPr="006740E5">
        <w:rPr>
          <w:rFonts w:ascii="Times New Roman" w:hAnsi="Times New Roman"/>
          <w:iCs/>
          <w:sz w:val="24"/>
          <w:szCs w:val="24"/>
        </w:rPr>
        <w:t xml:space="preserve"> A knowledge management process to customer knowledge expansion, The 12th IBIMA conference on Creating Global Economies through Innovation and Knowledge Management, 2009, Kuala Lumpur, Malaysia, June 29 - 30, 2009, p. 121–126.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Bold" w:hAnsi="Times-Bold" w:cs="Times-Bold"/>
          <w:b/>
          <w:bCs/>
          <w:sz w:val="24"/>
          <w:szCs w:val="24"/>
        </w:rPr>
        <w:t xml:space="preserve">ALHawari S. </w:t>
      </w:r>
      <w:r w:rsidRPr="006740E5">
        <w:rPr>
          <w:rFonts w:ascii="Times-Bold" w:hAnsi="Times-Bold" w:cs="Times-Bold"/>
          <w:bCs/>
          <w:sz w:val="24"/>
          <w:szCs w:val="24"/>
        </w:rPr>
        <w:t xml:space="preserve">The Impact of Knowledge Process about Customer on the Success of Customer Knowledge Acquisition, </w:t>
      </w:r>
      <w:r w:rsidRPr="006740E5">
        <w:rPr>
          <w:rFonts w:ascii="Times New Roman" w:hAnsi="Times New Roman"/>
          <w:iCs/>
          <w:sz w:val="24"/>
          <w:szCs w:val="24"/>
        </w:rPr>
        <w:t>The 10th IBIMA conference on Innovation and Knowledge Management in Business Globalization, 2008, Kuala Lumpur, Malaysia, June 30 - July 2, 2008, p. 28–34.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Al-Jarrah M. et al.</w:t>
      </w:r>
      <w:r w:rsidRPr="006740E5">
        <w:rPr>
          <w:rFonts w:ascii="Times New Roman" w:hAnsi="Times New Roman"/>
          <w:iCs/>
          <w:sz w:val="24"/>
          <w:szCs w:val="24"/>
        </w:rPr>
        <w:t xml:space="preserve"> The Relationship between Knowledge Management and Core Competence and their impact on strategic Performance, The 13th IBIMA conference on Knowledge Management and Innovation in Advancing Economies, 2009, Marrakech, Marocco November 9–10, 2009, p. 697–707.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Alryalat H., Alhawari S.</w:t>
      </w:r>
      <w:r w:rsidRPr="006740E5">
        <w:rPr>
          <w:rFonts w:ascii="Times New Roman" w:hAnsi="Times New Roman"/>
          <w:iCs/>
          <w:sz w:val="24"/>
          <w:szCs w:val="24"/>
        </w:rPr>
        <w:t xml:space="preserve"> Towards Customer Knowledge Relationship Management: Integrating Knowledge Management and Customer Relationship Management Process, Journal of Information Management (JIKM), 2008, 3(7), p.145-157.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Roman" w:hAnsi="Times-Roman" w:cs="Times-Roman"/>
          <w:b/>
          <w:sz w:val="24"/>
          <w:szCs w:val="24"/>
        </w:rPr>
        <w:t>Al-Shalabi A., Singh N.</w:t>
      </w:r>
      <w:r w:rsidRPr="006740E5">
        <w:rPr>
          <w:rFonts w:ascii="Times-Roman" w:hAnsi="Times-Roman" w:cs="Times-Roman"/>
          <w:sz w:val="24"/>
          <w:szCs w:val="24"/>
        </w:rPr>
        <w:t xml:space="preserve"> Framework for Orienting Engineering Undergraduate Final Year Projects towards New Product Innovation Process, </w:t>
      </w:r>
      <w:r w:rsidRPr="006740E5">
        <w:rPr>
          <w:rFonts w:ascii="Times New Roman" w:hAnsi="Times New Roman"/>
          <w:iCs/>
          <w:sz w:val="24"/>
          <w:szCs w:val="24"/>
        </w:rPr>
        <w:t>The 10th IBIMA conference on Innovation and Knowledge Management in Business Globalization, 2008, Kuala Lumpur, Malaysia, June 30 - July 2, 2008, p. 112–119.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Andrei M.</w:t>
      </w:r>
      <w:r w:rsidRPr="006740E5">
        <w:rPr>
          <w:rFonts w:ascii="Times New Roman" w:hAnsi="Times New Roman"/>
          <w:iCs/>
          <w:sz w:val="24"/>
          <w:szCs w:val="24"/>
        </w:rPr>
        <w:t xml:space="preserve"> Impact of IT and Technology on Compensation and Benefits Management, The 13th IBIMA conference on Knowledge Management and Innovation in Advancing Economies, 2009, Marrakech, Marocco November 9–10, 2009, p. 1048–1059.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Roman" w:hAnsi="Times-Roman" w:cs="Times-Roman"/>
          <w:b/>
          <w:sz w:val="24"/>
          <w:szCs w:val="24"/>
        </w:rPr>
        <w:t>Annavarjula M. et al.</w:t>
      </w:r>
      <w:r w:rsidRPr="006740E5">
        <w:rPr>
          <w:rFonts w:ascii="Times-Roman" w:hAnsi="Times-Roman" w:cs="Times-Roman"/>
          <w:sz w:val="24"/>
          <w:szCs w:val="24"/>
        </w:rPr>
        <w:t xml:space="preserve"> Technological Innovation and the Market Value of Firms, </w:t>
      </w:r>
      <w:r w:rsidRPr="006740E5">
        <w:rPr>
          <w:rFonts w:ascii="Times New Roman" w:hAnsi="Times New Roman"/>
          <w:iCs/>
          <w:sz w:val="24"/>
          <w:szCs w:val="24"/>
        </w:rPr>
        <w:t>The 10th IBIMA conference on Innovation and Knowledge Management in Business Globalization, 2008, Kuala Lumpur, Malaysia, June 30 - July 2, 2008, p. 209–211.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Aras G., Crowther D.</w:t>
      </w:r>
      <w:r w:rsidRPr="006740E5">
        <w:rPr>
          <w:rFonts w:ascii="Times New Roman" w:hAnsi="Times New Roman"/>
          <w:iCs/>
          <w:sz w:val="24"/>
          <w:szCs w:val="24"/>
        </w:rPr>
        <w:t xml:space="preserve"> The durable corporation in a time of financial and economic crisis // Ekonomika ir vadyba. – Kaunas: Technologija, 2009, Vol. 14, p. 210–216.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Arina B. V.</w:t>
      </w:r>
      <w:r w:rsidRPr="006740E5">
        <w:rPr>
          <w:rFonts w:ascii="Times New Roman" w:hAnsi="Times New Roman"/>
          <w:iCs/>
          <w:sz w:val="24"/>
          <w:szCs w:val="24"/>
        </w:rPr>
        <w:t xml:space="preserve"> Quality Management in the Romanian Banking System, The 12th IBIMA conference on Creating Global Economies through Innovation and Knowledge Management, 2009, Kuala Lumpur, Malaysia, June 29 - 30, 2009, p. 326–331.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Atkočiūnienė Z. O.</w:t>
      </w:r>
      <w:r w:rsidRPr="006740E5">
        <w:rPr>
          <w:rFonts w:ascii="Times New Roman" w:hAnsi="Times New Roman"/>
          <w:iCs/>
          <w:sz w:val="24"/>
          <w:szCs w:val="24"/>
        </w:rPr>
        <w:t xml:space="preserve"> Informacijos ir žnių vadyba informacijos ir komunikacijos mokslų sistemoje, Informacijos mokslai, 2006, Nr. 37, p. 22-29. - ISSN 1392–0561.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Baer W., Montes-Rojas G.</w:t>
      </w:r>
      <w:r w:rsidRPr="006740E5">
        <w:rPr>
          <w:rFonts w:ascii="Times New Roman" w:hAnsi="Times New Roman"/>
          <w:iCs/>
          <w:sz w:val="24"/>
          <w:szCs w:val="24"/>
        </w:rPr>
        <w:t xml:space="preserve"> From Privatization to Re-nationalization: What went Wrong with Privatizations in Argentina?, Oxford Development Studies, Sep2008, Vol. 36 Issue 3, p. 323-337. –ISSN: 1360-0818.</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Bagdoniene L., Jakstaite R.</w:t>
      </w:r>
      <w:r w:rsidRPr="006740E5">
        <w:rPr>
          <w:rFonts w:ascii="Times New Roman" w:hAnsi="Times New Roman"/>
          <w:iCs/>
          <w:sz w:val="24"/>
          <w:szCs w:val="24"/>
        </w:rPr>
        <w:t xml:space="preserve"> Trust as basis for development of relationships between professional service providers and their clients // Ekonomika ir vadyba. – Kaunas: Technologija, 2009, Vol. 14, p. 360–366. –ISSN 1822–6515.</w:t>
      </w:r>
    </w:p>
    <w:p w:rsidR="00D537D4" w:rsidRPr="006740E5" w:rsidRDefault="00D537D4"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Bagdoniene L., Zemblyte J.</w:t>
      </w:r>
      <w:r w:rsidRPr="006740E5">
        <w:rPr>
          <w:rFonts w:ascii="Times New Roman" w:hAnsi="Times New Roman"/>
          <w:iCs/>
          <w:sz w:val="24"/>
          <w:szCs w:val="24"/>
        </w:rPr>
        <w:t xml:space="preserve"> (2009) </w:t>
      </w:r>
      <w:r w:rsidRPr="006740E5">
        <w:rPr>
          <w:rFonts w:ascii="TimesNewRomanPS-BoldMT" w:hAnsi="TimesNewRomanPS-BoldMT" w:cs="TimesNewRomanPS-BoldMT"/>
          <w:bCs/>
          <w:sz w:val="24"/>
          <w:szCs w:val="24"/>
          <w:lang w:eastAsia="lt-LT"/>
        </w:rPr>
        <w:t>Online shopping motivation factors and their effect on Lithuanian consumers</w:t>
      </w:r>
      <w:r w:rsidRPr="006740E5">
        <w:rPr>
          <w:rFonts w:ascii="Times New Roman" w:hAnsi="Times New Roman"/>
          <w:iCs/>
          <w:sz w:val="24"/>
          <w:szCs w:val="24"/>
        </w:rPr>
        <w:t>// Ekonomika ir vadyba. – Kaunas: Technologija, 2009, Vol. 14, p., p. 367-374.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Banyte J., Salickaite R.</w:t>
      </w:r>
      <w:r w:rsidRPr="006740E5">
        <w:rPr>
          <w:rFonts w:ascii="Times New Roman" w:hAnsi="Times New Roman"/>
          <w:iCs/>
          <w:sz w:val="24"/>
          <w:szCs w:val="24"/>
        </w:rPr>
        <w:t xml:space="preserve"> Successful diffusion and adoption of innovation as a means to increase competitiveness of enterprises // Engineering Economics, 2008, Vol. 1, p. 48-56. </w:t>
      </w:r>
      <w:r w:rsidR="002F19AC" w:rsidRPr="006740E5">
        <w:rPr>
          <w:rFonts w:ascii="Times New Roman" w:hAnsi="Times New Roman"/>
          <w:iCs/>
          <w:sz w:val="24"/>
          <w:szCs w:val="24"/>
        </w:rPr>
        <w:t>–</w:t>
      </w:r>
      <w:r w:rsidRPr="006740E5">
        <w:rPr>
          <w:rFonts w:ascii="Times New Roman" w:hAnsi="Times New Roman"/>
          <w:iCs/>
          <w:sz w:val="24"/>
          <w:szCs w:val="24"/>
        </w:rPr>
        <w:t xml:space="preserve"> ISSN</w:t>
      </w:r>
      <w:r w:rsidR="002F19AC" w:rsidRPr="006740E5">
        <w:rPr>
          <w:rFonts w:ascii="Times New Roman" w:hAnsi="Times New Roman"/>
          <w:iCs/>
          <w:sz w:val="24"/>
          <w:szCs w:val="24"/>
        </w:rPr>
        <w:t xml:space="preserve"> 1392-2785.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Baptiste R. G.</w:t>
      </w:r>
      <w:r w:rsidRPr="006740E5">
        <w:rPr>
          <w:rFonts w:ascii="Times New Roman" w:hAnsi="Times New Roman"/>
          <w:iCs/>
          <w:sz w:val="24"/>
          <w:szCs w:val="24"/>
        </w:rPr>
        <w:t xml:space="preserve"> The transformation of the postal services of Trinidad and Tobago, Public Administration &amp; Development, 2004, Vol. 24 Issue 5, p. 385-396. –ISSN: 0271-2075.</w:t>
      </w:r>
    </w:p>
    <w:p w:rsidR="00C66C7D" w:rsidRPr="006740E5" w:rsidRDefault="00C66C7D" w:rsidP="008D7545">
      <w:pPr>
        <w:spacing w:after="0" w:line="240" w:lineRule="auto"/>
        <w:ind w:firstLine="567"/>
        <w:jc w:val="both"/>
        <w:rPr>
          <w:rFonts w:ascii="Times New Roman" w:hAnsi="Times New Roman"/>
          <w:sz w:val="24"/>
          <w:szCs w:val="24"/>
        </w:rPr>
      </w:pPr>
      <w:r w:rsidRPr="006740E5">
        <w:rPr>
          <w:rFonts w:ascii="Times New Roman" w:hAnsi="Times New Roman"/>
          <w:b/>
          <w:sz w:val="24"/>
          <w:szCs w:val="24"/>
        </w:rPr>
        <w:t>Bayo-Moriones A., Lera-López F.</w:t>
      </w:r>
      <w:r w:rsidRPr="006740E5">
        <w:rPr>
          <w:rFonts w:ascii="Times New Roman" w:hAnsi="Times New Roman"/>
          <w:sz w:val="24"/>
          <w:szCs w:val="24"/>
        </w:rPr>
        <w:t xml:space="preserve"> A firm-level analysis of determinants of ICT adoption in Spain, Technovation, Vol. 27, Issues 6-7, 2007, p. 352-366. –ISSN 0166-4972.</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Bergaron B. P.</w:t>
      </w:r>
      <w:r w:rsidRPr="006740E5">
        <w:rPr>
          <w:rFonts w:ascii="Times New Roman" w:hAnsi="Times New Roman"/>
          <w:iCs/>
          <w:sz w:val="24"/>
          <w:szCs w:val="24"/>
        </w:rPr>
        <w:t xml:space="preserve"> Essentials of Knowledge Management, John Wiley: Hoboken, 2003.</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Bernatonyte D. et al. </w:t>
      </w:r>
      <w:r w:rsidRPr="006740E5">
        <w:rPr>
          <w:rFonts w:ascii="Times New Roman" w:hAnsi="Times New Roman"/>
          <w:iCs/>
          <w:sz w:val="24"/>
          <w:szCs w:val="24"/>
        </w:rPr>
        <w:t>Regional peculiarities of development of Lithuanian SME // Ekonomika ir vadyba. – Kaunas: Technologija, 2009, Vol. 14, p. 676–684. –ISSN 1822–6515.</w:t>
      </w:r>
    </w:p>
    <w:p w:rsidR="00C66C7D" w:rsidRPr="006740E5" w:rsidRDefault="00C66C7D" w:rsidP="008D7545">
      <w:pPr>
        <w:spacing w:after="0" w:line="240" w:lineRule="auto"/>
        <w:ind w:firstLine="567"/>
        <w:jc w:val="both"/>
        <w:rPr>
          <w:rFonts w:ascii="Times New Roman" w:hAnsi="Times New Roman"/>
          <w:sz w:val="24"/>
          <w:szCs w:val="24"/>
        </w:rPr>
      </w:pPr>
      <w:r w:rsidRPr="006740E5">
        <w:rPr>
          <w:rFonts w:ascii="Times New Roman" w:hAnsi="Times New Roman"/>
          <w:b/>
          <w:sz w:val="24"/>
          <w:szCs w:val="24"/>
        </w:rPr>
        <w:t>Billon M. et al.</w:t>
      </w:r>
      <w:r w:rsidRPr="006740E5">
        <w:rPr>
          <w:rFonts w:ascii="Times New Roman" w:hAnsi="Times New Roman"/>
          <w:sz w:val="24"/>
          <w:szCs w:val="24"/>
        </w:rPr>
        <w:t xml:space="preserve"> Disparities in ICT adoption: A multidimensional approach to study the cross-country digital divide, Telecommunications Policy, Vol. 33, Issues 10-11, 2009, p. 596-610. –ISSN 0308-5961.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Bolt D.B., Crawford R.A.K. </w:t>
      </w:r>
      <w:r w:rsidRPr="006740E5">
        <w:rPr>
          <w:rFonts w:ascii="Times New Roman" w:hAnsi="Times New Roman"/>
          <w:iCs/>
          <w:sz w:val="24"/>
          <w:szCs w:val="24"/>
        </w:rPr>
        <w:t>Digital divide: Computers and our children’s future – New York: Bantam Books, 2000.</w:t>
      </w:r>
    </w:p>
    <w:p w:rsidR="00C66C7D" w:rsidRPr="006740E5" w:rsidRDefault="00C66C7D" w:rsidP="008D7545">
      <w:pPr>
        <w:tabs>
          <w:tab w:val="left" w:pos="-6379"/>
          <w:tab w:val="left" w:pos="0"/>
          <w:tab w:val="left" w:pos="709"/>
          <w:tab w:val="left" w:pos="993"/>
        </w:tabs>
        <w:spacing w:before="20" w:after="40" w:line="240" w:lineRule="auto"/>
        <w:ind w:firstLine="567"/>
        <w:jc w:val="both"/>
        <w:rPr>
          <w:rFonts w:ascii="Times New Roman" w:hAnsi="Times New Roman"/>
          <w:sz w:val="24"/>
          <w:szCs w:val="24"/>
        </w:rPr>
      </w:pPr>
      <w:r w:rsidRPr="006740E5">
        <w:rPr>
          <w:rFonts w:ascii="Times New Roman" w:hAnsi="Times New Roman"/>
          <w:b/>
          <w:sz w:val="24"/>
          <w:szCs w:val="24"/>
        </w:rPr>
        <w:t xml:space="preserve">Brant T. </w:t>
      </w:r>
      <w:r w:rsidRPr="006740E5">
        <w:rPr>
          <w:rFonts w:ascii="Times New Roman" w:hAnsi="Times New Roman"/>
          <w:sz w:val="24"/>
          <w:szCs w:val="24"/>
        </w:rPr>
        <w:t>Liberalisation, privatisation, and regulation of postal services in Europe – First international experience in the run−up to new European regulation, PIQUE–Project–Paper, Düsseldorf, 2007.</w:t>
      </w:r>
    </w:p>
    <w:p w:rsidR="00C66C7D" w:rsidRPr="006740E5" w:rsidRDefault="00C66C7D" w:rsidP="008D7545">
      <w:pPr>
        <w:tabs>
          <w:tab w:val="left" w:pos="-6379"/>
          <w:tab w:val="left" w:pos="0"/>
          <w:tab w:val="left" w:pos="709"/>
          <w:tab w:val="left" w:pos="993"/>
        </w:tabs>
        <w:spacing w:before="20" w:after="40" w:line="240" w:lineRule="auto"/>
        <w:ind w:firstLine="567"/>
        <w:jc w:val="both"/>
        <w:rPr>
          <w:rFonts w:ascii="Times New Roman" w:hAnsi="Times New Roman"/>
          <w:sz w:val="24"/>
          <w:szCs w:val="24"/>
        </w:rPr>
      </w:pPr>
      <w:r w:rsidRPr="006740E5">
        <w:rPr>
          <w:rFonts w:ascii="Times New Roman" w:hAnsi="Times New Roman"/>
          <w:b/>
          <w:sz w:val="24"/>
          <w:szCs w:val="24"/>
        </w:rPr>
        <w:t>Broussolle D.</w:t>
      </w:r>
      <w:r w:rsidRPr="006740E5">
        <w:rPr>
          <w:rFonts w:ascii="Times New Roman" w:hAnsi="Times New Roman"/>
          <w:sz w:val="24"/>
          <w:szCs w:val="24"/>
        </w:rPr>
        <w:t xml:space="preserve"> Full market opening in the postal service facing the social and territorial cohesion goal in France, LaRGE paper No. 92, Strasbourg, 2007.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Chen W., Bennet D.</w:t>
      </w:r>
      <w:r w:rsidRPr="006740E5">
        <w:rPr>
          <w:rFonts w:ascii="Times New Roman" w:hAnsi="Times New Roman"/>
          <w:iCs/>
          <w:sz w:val="24"/>
          <w:szCs w:val="24"/>
        </w:rPr>
        <w:t xml:space="preserve"> Cultural Impacts of Wireless Networks: Emerging Experiences in the Healthcare Sector, The 13th IBIMA conference on Knowledge Management and Innovation in Advancing Economies, 2009, Marrakech, Marocco November 9–10, 2009, p. 604–611. –ISBN: 978-0-9821489-2-1.</w:t>
      </w:r>
    </w:p>
    <w:p w:rsidR="00AA73F1" w:rsidRPr="006740E5" w:rsidRDefault="00AA73F1" w:rsidP="008D7545">
      <w:pPr>
        <w:tabs>
          <w:tab w:val="left" w:pos="-6379"/>
          <w:tab w:val="left" w:pos="70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Cohen R., et al. </w:t>
      </w:r>
      <w:r w:rsidRPr="006740E5">
        <w:rPr>
          <w:rFonts w:ascii="Times New Roman" w:hAnsi="Times New Roman"/>
          <w:iCs/>
          <w:sz w:val="24"/>
          <w:szCs w:val="24"/>
        </w:rPr>
        <w:t>The impact of Competetive entry into the Swedish Postal Market. 10th Koningswinter Seminaro on ,,Postal Markets between Monopoly and Competition‘‘. February 12-13, 2007.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Collard A.</w:t>
      </w:r>
      <w:r w:rsidRPr="006740E5">
        <w:rPr>
          <w:rFonts w:ascii="Times New Roman" w:hAnsi="Times New Roman"/>
          <w:iCs/>
          <w:sz w:val="24"/>
          <w:szCs w:val="24"/>
        </w:rPr>
        <w:t xml:space="preserve"> Towards greater autonomy of the postal services, Annals of Public &amp; Co-operative Economy, 1972, Vol. 43 Issue 1, p. 37-58. –ISSN: 1370-4788.</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Crawford B., de la Barra C. L.</w:t>
      </w:r>
      <w:r w:rsidRPr="006740E5">
        <w:rPr>
          <w:rFonts w:ascii="Times New Roman" w:hAnsi="Times New Roman"/>
          <w:iCs/>
          <w:sz w:val="24"/>
          <w:szCs w:val="24"/>
        </w:rPr>
        <w:t xml:space="preserve"> eXtreme Programming Meets Knowledge Creation and Creativity, The 13th IBIMA conference on Knowledge Management and Innovation in Advancing Economies, 2009, Marrakech, Marocco November 9–10, 2009, p. 929–943. –ISBN: 978-0-9821489-2-1.</w:t>
      </w:r>
    </w:p>
    <w:p w:rsidR="00C66C7D" w:rsidRPr="006740E5" w:rsidRDefault="00C66C7D" w:rsidP="008D7545">
      <w:pPr>
        <w:tabs>
          <w:tab w:val="left" w:pos="-6379"/>
          <w:tab w:val="left" w:pos="0"/>
          <w:tab w:val="left" w:pos="709"/>
          <w:tab w:val="left" w:pos="993"/>
        </w:tabs>
        <w:spacing w:before="20" w:after="40" w:line="240" w:lineRule="auto"/>
        <w:ind w:firstLine="567"/>
        <w:jc w:val="both"/>
        <w:rPr>
          <w:rFonts w:ascii="Times New Roman" w:hAnsi="Times New Roman"/>
          <w:sz w:val="24"/>
          <w:szCs w:val="24"/>
        </w:rPr>
      </w:pPr>
      <w:r w:rsidRPr="006740E5">
        <w:rPr>
          <w:rFonts w:ascii="Times New Roman" w:hAnsi="Times New Roman"/>
          <w:b/>
          <w:sz w:val="24"/>
          <w:szCs w:val="24"/>
        </w:rPr>
        <w:t xml:space="preserve">Crew M.A., Kleindorfer P.R. </w:t>
      </w:r>
      <w:r w:rsidRPr="006740E5">
        <w:rPr>
          <w:rFonts w:ascii="Times New Roman" w:hAnsi="Times New Roman"/>
          <w:sz w:val="24"/>
          <w:szCs w:val="24"/>
        </w:rPr>
        <w:t>Multi−National Policies for the Universal Service Obligation in the Postal Sector under Entry, Review of Network Economics Vol.7, Issue 2, 2007.</w:t>
      </w:r>
    </w:p>
    <w:p w:rsidR="00C66C7D" w:rsidRPr="006740E5" w:rsidRDefault="00C66C7D" w:rsidP="008D7545">
      <w:pPr>
        <w:spacing w:after="0" w:line="240" w:lineRule="auto"/>
        <w:ind w:firstLine="567"/>
        <w:jc w:val="both"/>
        <w:rPr>
          <w:rFonts w:ascii="Times New Roman" w:hAnsi="Times New Roman"/>
          <w:sz w:val="24"/>
          <w:szCs w:val="24"/>
        </w:rPr>
      </w:pPr>
      <w:r w:rsidRPr="006740E5">
        <w:rPr>
          <w:rFonts w:ascii="Times New Roman" w:hAnsi="Times New Roman"/>
          <w:b/>
          <w:sz w:val="24"/>
          <w:szCs w:val="24"/>
        </w:rPr>
        <w:t>Cumps B., et al.</w:t>
      </w:r>
      <w:r w:rsidRPr="006740E5">
        <w:rPr>
          <w:rFonts w:ascii="Times New Roman" w:hAnsi="Times New Roman"/>
          <w:sz w:val="24"/>
          <w:szCs w:val="24"/>
        </w:rPr>
        <w:t xml:space="preserve"> Inferring comprehensible business/ICT alignment rules, Information &amp; Management, Vol. 46, Issue 2, 2009, p. 116-124. –ISSN 0378-7206.</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Roman" w:hAnsi="Times-Roman" w:cs="Times-Roman"/>
          <w:b/>
          <w:sz w:val="24"/>
          <w:szCs w:val="24"/>
        </w:rPr>
        <w:t>Daud S., Yusuf W. F. W.</w:t>
      </w:r>
      <w:r w:rsidRPr="006740E5">
        <w:rPr>
          <w:rFonts w:ascii="Times-Roman" w:hAnsi="Times-Roman" w:cs="Times-Roman"/>
          <w:sz w:val="24"/>
          <w:szCs w:val="24"/>
        </w:rPr>
        <w:t xml:space="preserve"> An Empirical Study of Knowledge Management Processes in Small and Medium Enterprises, </w:t>
      </w:r>
      <w:r w:rsidRPr="006740E5">
        <w:rPr>
          <w:rFonts w:ascii="Times New Roman" w:hAnsi="Times New Roman"/>
          <w:iCs/>
          <w:sz w:val="24"/>
          <w:szCs w:val="24"/>
        </w:rPr>
        <w:t>The 10th IBIMA conference on Innovation and Knowledge Management in Business Globalization, 2008, Kuala Lumpur, Malaysia, June 30 - July 2, 2008, p. 731–739.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Debrowski S.</w:t>
      </w:r>
      <w:r w:rsidRPr="006740E5">
        <w:rPr>
          <w:rFonts w:ascii="Times New Roman" w:hAnsi="Times New Roman"/>
          <w:iCs/>
          <w:sz w:val="24"/>
          <w:szCs w:val="24"/>
        </w:rPr>
        <w:t xml:space="preserve"> Knowledge Management. John Wiley: Milton, 2006.</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Done I. et al.</w:t>
      </w:r>
      <w:r w:rsidRPr="006740E5">
        <w:rPr>
          <w:rFonts w:ascii="Times New Roman" w:hAnsi="Times New Roman"/>
          <w:iCs/>
          <w:sz w:val="24"/>
          <w:szCs w:val="24"/>
        </w:rPr>
        <w:t xml:space="preserve"> The impact of the greenhouse gas emission allowances` trade on development of European industry, The 12th IBIMA conference on Creating Global Economies through Innovation and Knowledge Management, 2009, Kuala Lumpur, Malaysia, June 29 - 30, 2009, p. 1285–1294.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Drori, G.S.</w:t>
      </w:r>
      <w:r w:rsidRPr="006740E5">
        <w:rPr>
          <w:rFonts w:ascii="Times New Roman" w:hAnsi="Times New Roman"/>
          <w:iCs/>
          <w:sz w:val="24"/>
          <w:szCs w:val="24"/>
        </w:rPr>
        <w:t xml:space="preserve"> and Jang, Y.S.  The global digital divide. A sociological assessment of trends and causes, Social Science Computer Review. – Sage Publications, 2003, Vol. 21, No. 2, p. 144-161.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Dumciuviene D. </w:t>
      </w:r>
      <w:r w:rsidRPr="006740E5">
        <w:rPr>
          <w:rFonts w:ascii="Times New Roman" w:hAnsi="Times New Roman"/>
          <w:iCs/>
          <w:sz w:val="24"/>
          <w:szCs w:val="24"/>
        </w:rPr>
        <w:t>European Union cohesion policy implementation for growth // Ekonomika ir vadyba. – Kaunas: Technologija, 2009, Vol. 14, p. 744–748.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Filippini M., Zola M.</w:t>
      </w:r>
      <w:r w:rsidRPr="006740E5">
        <w:rPr>
          <w:rFonts w:ascii="Times New Roman" w:hAnsi="Times New Roman"/>
          <w:iCs/>
          <w:sz w:val="24"/>
          <w:szCs w:val="24"/>
        </w:rPr>
        <w:t xml:space="preserve"> Economies of scale and cost efficiency in the postal services: empirical evidence from Switzerland. Applied Economics Letters, June 2005, v. 12, iss. 7, pp. 437-41. –ISSN 1466-4291.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Fish M.</w:t>
      </w:r>
      <w:r w:rsidRPr="006740E5">
        <w:rPr>
          <w:rFonts w:ascii="Times New Roman" w:hAnsi="Times New Roman"/>
          <w:iCs/>
          <w:sz w:val="24"/>
          <w:szCs w:val="24"/>
        </w:rPr>
        <w:t xml:space="preserve"> The Post Office: strategy of a programme for change, Public Money &amp; Management, 1988, Vol. 8 Issue 3, p. 29-33. –ISSN: 1467-9302</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Fu F. Q. et al.</w:t>
      </w:r>
      <w:r w:rsidRPr="006740E5">
        <w:rPr>
          <w:rFonts w:ascii="Times New Roman" w:hAnsi="Times New Roman"/>
          <w:iCs/>
          <w:sz w:val="24"/>
          <w:szCs w:val="24"/>
        </w:rPr>
        <w:t xml:space="preserve"> Product Innovativeness, Customer Newness, and New Product Performance: A Time-Lagged Examination of the Impact of Salesperson Selling Intentions on New Product Performance, Journal of Personal Selling and Sales Management, 2008, Vol. 28 No. 4, p. 351 – 364. – ISSN: 0885-3134.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Gabriela H. M.</w:t>
      </w:r>
      <w:r w:rsidRPr="006740E5">
        <w:rPr>
          <w:rFonts w:ascii="Times New Roman" w:hAnsi="Times New Roman"/>
          <w:iCs/>
          <w:sz w:val="24"/>
          <w:szCs w:val="24"/>
        </w:rPr>
        <w:t xml:space="preserve"> The Impact of Moving to Knowledge Economy on Leadership, The 12th IBIMA conference on Creating Global Economies through Innovation and Knowledge Management, 2009, Kuala Lumpur, Malaysia, June 29 - 30, 2009, p. 99–103.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Gatautis R.</w:t>
      </w:r>
      <w:r w:rsidRPr="006740E5">
        <w:rPr>
          <w:rFonts w:ascii="Times New Roman" w:hAnsi="Times New Roman"/>
          <w:iCs/>
          <w:sz w:val="24"/>
          <w:szCs w:val="24"/>
        </w:rPr>
        <w:t xml:space="preserve"> The Impact of ICT on Public and Private Sectors in Lithuania, Engineering Economics. 2008, Kaunas: Technologija, No. 4 (59), p. 18–28. –ISSN 1392–2785.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Gatautis R.</w:t>
      </w:r>
      <w:r w:rsidRPr="006740E5">
        <w:rPr>
          <w:rFonts w:ascii="Times New Roman" w:hAnsi="Times New Roman"/>
          <w:iCs/>
          <w:sz w:val="24"/>
          <w:szCs w:val="24"/>
        </w:rPr>
        <w:t xml:space="preserve"> Towards eBusiness support policy developement: Lithuania perpectives // Ekonomika ir vadyba. – Kaunas: Technologija, 2009, Vol. 14, p. 388–396.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Geddes R. R.</w:t>
      </w:r>
      <w:r w:rsidRPr="006740E5">
        <w:rPr>
          <w:rFonts w:ascii="Times New Roman" w:hAnsi="Times New Roman"/>
          <w:iCs/>
          <w:sz w:val="24"/>
          <w:szCs w:val="24"/>
        </w:rPr>
        <w:t xml:space="preserve"> Reform of the U.S. Postal Service, Journal of Economic Perspectives, 2005, Vol. 19 Issue 3, p. 217-232. –ISSN: 0895-3309.</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Goncalves R. M. et al.</w:t>
      </w:r>
      <w:r w:rsidRPr="006740E5">
        <w:rPr>
          <w:rFonts w:ascii="Times New Roman" w:hAnsi="Times New Roman"/>
          <w:iCs/>
          <w:sz w:val="24"/>
          <w:szCs w:val="24"/>
        </w:rPr>
        <w:t xml:space="preserve"> E-business Maturity and Information Technology in Portuguese SMEs, The 13th IBIMA conference on Knowledge Management and Innovation in Advancing Economies, 2009, Marrakech, Marocco November 9–10, 2009, p. 328–324.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Halttunen V. et al.</w:t>
      </w:r>
      <w:r w:rsidRPr="006740E5">
        <w:rPr>
          <w:rFonts w:ascii="Times New Roman" w:hAnsi="Times New Roman"/>
          <w:iCs/>
          <w:sz w:val="24"/>
          <w:szCs w:val="24"/>
        </w:rPr>
        <w:t xml:space="preserve"> </w:t>
      </w:r>
      <w:r w:rsidRPr="006740E5">
        <w:rPr>
          <w:rFonts w:ascii="Times New Roman" w:hAnsi="Times New Roman"/>
          <w:bCs/>
          <w:iCs/>
          <w:sz w:val="24"/>
          <w:szCs w:val="24"/>
        </w:rPr>
        <w:t>Three Perspectives on Digital Content Markets: An Analysis of Trends in Technologies, Business and Consumer Behaviou,</w:t>
      </w:r>
      <w:r w:rsidRPr="006740E5">
        <w:rPr>
          <w:rFonts w:ascii="Times New Roman" w:hAnsi="Times New Roman"/>
          <w:bCs/>
          <w:i/>
          <w:iCs/>
          <w:sz w:val="24"/>
          <w:szCs w:val="24"/>
        </w:rPr>
        <w:t xml:space="preserve">. </w:t>
      </w:r>
      <w:r w:rsidRPr="006740E5">
        <w:rPr>
          <w:rFonts w:ascii="Times New Roman" w:hAnsi="Times New Roman"/>
          <w:iCs/>
          <w:sz w:val="24"/>
          <w:szCs w:val="24"/>
        </w:rPr>
        <w:t>The 13th IBIMA conference on Knowledge Management and Innovation in Advancing Economies, 2009 Marrakech, Marocco November 9-10, 2009, p. 16–27. – ISBN: 978-0-9821489-2-1.</w:t>
      </w:r>
    </w:p>
    <w:p w:rsidR="00D963F4" w:rsidRPr="006740E5" w:rsidRDefault="00C46531"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Hopenienė, R., Railienė, G.</w:t>
      </w:r>
      <w:r w:rsidRPr="006740E5">
        <w:rPr>
          <w:rFonts w:ascii="Times New Roman" w:hAnsi="Times New Roman"/>
          <w:iCs/>
          <w:sz w:val="24"/>
          <w:szCs w:val="24"/>
        </w:rPr>
        <w:t xml:space="preserve"> (2009) The efficiency of profitplanner board game: achieving the key pedagogical objectives // Ekonomika ir vadyba. – Kaun</w:t>
      </w:r>
      <w:r w:rsidR="00D963F4" w:rsidRPr="006740E5">
        <w:rPr>
          <w:rFonts w:ascii="Times New Roman" w:hAnsi="Times New Roman"/>
          <w:iCs/>
          <w:sz w:val="24"/>
          <w:szCs w:val="24"/>
        </w:rPr>
        <w:t>as: Technologija, 2009, Vol. 14, p. 1121-1128.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Ibrahim A. R. et al.</w:t>
      </w:r>
      <w:r w:rsidRPr="006740E5">
        <w:rPr>
          <w:rFonts w:ascii="Times New Roman" w:hAnsi="Times New Roman"/>
          <w:iCs/>
          <w:sz w:val="24"/>
          <w:szCs w:val="24"/>
        </w:rPr>
        <w:t xml:space="preserve"> Organizational Innovative Capabilities: An Empirical Study of Malaysian Firms, Journal of Innovation and Business Best Practices, 2009, Vol. 1 No. 2, p. 9-18.</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Ishak N. B. et al.</w:t>
      </w:r>
      <w:r w:rsidRPr="006740E5">
        <w:rPr>
          <w:rFonts w:ascii="Times New Roman" w:hAnsi="Times New Roman"/>
          <w:iCs/>
          <w:sz w:val="24"/>
          <w:szCs w:val="24"/>
        </w:rPr>
        <w:t xml:space="preserve"> Knowledge Management and Human Capital Management: An Approach to Sustainable Performance, The 12th IBIMA conference on Creating Global Economies through Innovation and Knowledge Management, 2009, Kuala Lumpur, Malaysia, June 29 - 30, 2009, p. 949–958. –ISBN: 978-0-9821489-1-4.</w:t>
      </w:r>
    </w:p>
    <w:p w:rsidR="00C66C7D" w:rsidRPr="006740E5" w:rsidRDefault="00C66C7D" w:rsidP="008D7545">
      <w:pPr>
        <w:tabs>
          <w:tab w:val="left" w:pos="-6379"/>
          <w:tab w:val="left" w:pos="0"/>
          <w:tab w:val="left" w:pos="709"/>
          <w:tab w:val="left" w:pos="993"/>
        </w:tabs>
        <w:spacing w:before="20" w:after="40" w:line="240" w:lineRule="auto"/>
        <w:ind w:firstLine="567"/>
        <w:jc w:val="both"/>
        <w:rPr>
          <w:rFonts w:ascii="Times New Roman" w:hAnsi="Times New Roman"/>
          <w:sz w:val="24"/>
          <w:szCs w:val="24"/>
        </w:rPr>
      </w:pPr>
      <w:r w:rsidRPr="006740E5">
        <w:rPr>
          <w:rFonts w:ascii="Times New Roman" w:hAnsi="Times New Roman"/>
          <w:b/>
          <w:sz w:val="24"/>
          <w:szCs w:val="24"/>
        </w:rPr>
        <w:t>Jaag Ch.</w:t>
      </w:r>
      <w:r w:rsidRPr="006740E5">
        <w:rPr>
          <w:rFonts w:ascii="Times New Roman" w:hAnsi="Times New Roman"/>
          <w:sz w:val="24"/>
          <w:szCs w:val="24"/>
        </w:rPr>
        <w:t xml:space="preserve"> Liberalization of Swiss Letter Market and the Viability of Universal Service Obligations, Schweizerische Zeitschrift für Volkswirtschaft und Statistik, Nr. 143 (3), 2007.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Jandos J., Vorisek J.</w:t>
      </w:r>
      <w:r w:rsidRPr="006740E5">
        <w:rPr>
          <w:rFonts w:ascii="Times New Roman" w:hAnsi="Times New Roman"/>
          <w:iCs/>
          <w:sz w:val="24"/>
          <w:szCs w:val="24"/>
        </w:rPr>
        <w:t xml:space="preserve"> Enterprise Web 2.0. What is it really? The 13th IBIMA conference on Knowledge Management and Innovation in Advancing Economies, 2009, Marrakech, Marocco November 9–10, 2009, p. 10–15.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Kahn K.</w:t>
      </w:r>
      <w:r w:rsidRPr="006740E5">
        <w:rPr>
          <w:rFonts w:ascii="Times New Roman" w:hAnsi="Times New Roman"/>
          <w:iCs/>
          <w:sz w:val="24"/>
          <w:szCs w:val="24"/>
        </w:rPr>
        <w:t xml:space="preserve"> Wikinomics, Steven Blair and the Zurich International Conference on Concussion in Sport, British Journal of Sports Medicine, 2008, Vol. 43 Issue 4, p. 235.</w:t>
      </w:r>
    </w:p>
    <w:p w:rsidR="00C66C7D" w:rsidRPr="006740E5" w:rsidRDefault="00C66C7D" w:rsidP="008D7545">
      <w:pPr>
        <w:tabs>
          <w:tab w:val="left" w:pos="-6379"/>
          <w:tab w:val="left" w:pos="70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Kardelis K.</w:t>
      </w:r>
      <w:r w:rsidRPr="006740E5">
        <w:rPr>
          <w:rFonts w:ascii="Times New Roman" w:hAnsi="Times New Roman"/>
          <w:iCs/>
          <w:sz w:val="24"/>
          <w:szCs w:val="24"/>
        </w:rPr>
        <w:t xml:space="preserve"> Mokslinių tyrimų metodologija ir metodai, Vilnius, 2007, p. 179−</w:t>
      </w:r>
      <w:r w:rsidR="008F1031" w:rsidRPr="006740E5">
        <w:rPr>
          <w:rFonts w:ascii="Times New Roman" w:hAnsi="Times New Roman"/>
          <w:iCs/>
          <w:sz w:val="24"/>
          <w:szCs w:val="24"/>
        </w:rPr>
        <w:t>207.</w:t>
      </w:r>
      <w:r w:rsidRPr="006740E5">
        <w:rPr>
          <w:rFonts w:ascii="Times New Roman" w:hAnsi="Times New Roman"/>
          <w:iCs/>
          <w:sz w:val="24"/>
          <w:szCs w:val="24"/>
        </w:rPr>
        <w:t xml:space="preserve"> – ISBN 9955−655−35−6.</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Katiliūtė E., Stanikūnienė B. </w:t>
      </w:r>
      <w:r w:rsidRPr="006740E5">
        <w:rPr>
          <w:rFonts w:ascii="Times New Roman" w:hAnsi="Times New Roman"/>
          <w:iCs/>
          <w:sz w:val="24"/>
          <w:szCs w:val="24"/>
        </w:rPr>
        <w:t>N ligoninės organizacijos kultūros vertinimas: slaugytojų požiūrio aspektas // Ekonomika ir vadyba. – Kaunas: Technologija, 2009, Vol. 14, p. 575–581.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Kenny Ch.</w:t>
      </w:r>
      <w:r w:rsidRPr="006740E5">
        <w:rPr>
          <w:rFonts w:ascii="Times New Roman" w:hAnsi="Times New Roman"/>
          <w:iCs/>
          <w:sz w:val="24"/>
          <w:szCs w:val="24"/>
        </w:rPr>
        <w:t xml:space="preserve"> Reforming the Posts: Abandoning the Monopoly-Supported Postal Universal Service Obligation in Developing Countries, The World Bank, Policy Research Working Paper, Series: 3627, 2005.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Keršienė R.</w:t>
      </w:r>
      <w:r w:rsidRPr="006740E5">
        <w:rPr>
          <w:rFonts w:ascii="Times New Roman" w:hAnsi="Times New Roman"/>
          <w:iCs/>
          <w:sz w:val="24"/>
          <w:szCs w:val="24"/>
        </w:rPr>
        <w:t xml:space="preserve"> Konkurencingumo išsaugojimo veiksniai globalizacijos sąlygomis // Ekonomika ir vadyba. – Kaunas: Technologija, 2009, Vol. 14, p. 819–824.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Kiškis M.</w:t>
      </w:r>
      <w:r w:rsidRPr="006740E5">
        <w:rPr>
          <w:rFonts w:ascii="Times New Roman" w:hAnsi="Times New Roman"/>
          <w:iCs/>
          <w:sz w:val="24"/>
          <w:szCs w:val="24"/>
        </w:rPr>
        <w:t xml:space="preserve"> Socialiniai iššūkiai tiesioginei elektroninei rinkodarai, Ekonomika ir vadyba, 2009, Kaunas: Technologija, Vol. 14, p. 430–440.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Kliukinskaite-Vigil V.</w:t>
      </w:r>
      <w:r w:rsidRPr="006740E5">
        <w:rPr>
          <w:rFonts w:ascii="Times New Roman" w:hAnsi="Times New Roman"/>
          <w:iCs/>
          <w:sz w:val="24"/>
          <w:szCs w:val="24"/>
        </w:rPr>
        <w:t xml:space="preserve"> External and Inter-organizational Networking as Facilitators of Innovation Generation in an MNC, The 12th IBIMA conference on Creating Global Economies through Innovation and Knowledge Management, 2009, Kuala Lumpur, Malaysia, June 29 - 30, 2009, p. 11–20.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Kocak O., Zeytinili E. E.</w:t>
      </w:r>
      <w:r w:rsidRPr="006740E5">
        <w:rPr>
          <w:rFonts w:ascii="Times New Roman" w:hAnsi="Times New Roman"/>
          <w:iCs/>
          <w:sz w:val="24"/>
          <w:szCs w:val="24"/>
        </w:rPr>
        <w:t xml:space="preserve"> The effect of technological production and usage of high-tech goods to the welfare of a country: comparison of Finland and Turkey // Ekonomika ir vadyba. – Kaunas: Technologija, 2009, Vol. 14, p. 842–851. –ISSN 1822–6515.</w:t>
      </w:r>
    </w:p>
    <w:p w:rsidR="00D7657C" w:rsidRPr="006740E5" w:rsidRDefault="00D7657C"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Koch, A., Strotmann, H.</w:t>
      </w:r>
      <w:r w:rsidRPr="006740E5">
        <w:rPr>
          <w:rFonts w:ascii="Times New Roman" w:hAnsi="Times New Roman"/>
          <w:iCs/>
          <w:sz w:val="24"/>
          <w:szCs w:val="24"/>
        </w:rPr>
        <w:t xml:space="preserve"> (2005) Determinants of innovative activity in newly founded KIBS. 3rd Interdisciplinary European Conference on Entrepreneurship Research (IECER). http://www.iaw.edu/pdf/iecer_180105.pdf.</w:t>
      </w:r>
    </w:p>
    <w:p w:rsidR="00C66C7D" w:rsidRPr="006740E5" w:rsidRDefault="00C66C7D" w:rsidP="008D7545">
      <w:pPr>
        <w:tabs>
          <w:tab w:val="left" w:pos="-6379"/>
          <w:tab w:val="left" w:pos="0"/>
          <w:tab w:val="left" w:pos="709"/>
          <w:tab w:val="left" w:pos="993"/>
        </w:tabs>
        <w:spacing w:before="20" w:after="40" w:line="240" w:lineRule="auto"/>
        <w:ind w:firstLine="567"/>
        <w:jc w:val="both"/>
        <w:rPr>
          <w:rFonts w:ascii="Times New Roman" w:hAnsi="Times New Roman"/>
          <w:sz w:val="24"/>
          <w:szCs w:val="24"/>
        </w:rPr>
      </w:pPr>
      <w:r w:rsidRPr="006740E5">
        <w:rPr>
          <w:rFonts w:ascii="Times New Roman" w:hAnsi="Times New Roman"/>
          <w:b/>
          <w:sz w:val="24"/>
          <w:szCs w:val="24"/>
        </w:rPr>
        <w:t>Koelinger Ph.</w:t>
      </w:r>
      <w:r w:rsidRPr="006740E5">
        <w:rPr>
          <w:rFonts w:ascii="Times New Roman" w:hAnsi="Times New Roman"/>
          <w:sz w:val="24"/>
          <w:szCs w:val="24"/>
        </w:rPr>
        <w:t xml:space="preserve"> The relationship between technology, innovation and firm performance – Empirical evidence from e−business in Europe, Research policy 37, 2008, p. </w:t>
      </w:r>
      <w:r w:rsidRPr="006740E5">
        <w:rPr>
          <w:rFonts w:ascii="Times New Roman" w:hAnsi="Times New Roman"/>
          <w:szCs w:val="20"/>
        </w:rPr>
        <w:t>1317–1328</w:t>
      </w:r>
      <w:r w:rsidRPr="006740E5">
        <w:rPr>
          <w:rFonts w:ascii="Times New Roman" w:hAnsi="Times New Roman"/>
          <w:sz w:val="24"/>
          <w:szCs w:val="24"/>
        </w:rPr>
        <w:t>.</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Korupp S. E., Szydlik M. </w:t>
      </w:r>
      <w:r w:rsidRPr="006740E5">
        <w:rPr>
          <w:rFonts w:ascii="Times New Roman" w:hAnsi="Times New Roman"/>
          <w:iCs/>
          <w:sz w:val="24"/>
          <w:szCs w:val="24"/>
        </w:rPr>
        <w:t>Causes and trends of the digital divide, European Social Review. – Oxford University Press, 2005, Vol. 21, No. 4, p. 409-422.</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Lai K. P. et al.</w:t>
      </w:r>
      <w:r w:rsidRPr="006740E5">
        <w:rPr>
          <w:rFonts w:ascii="Times New Roman" w:hAnsi="Times New Roman"/>
          <w:iCs/>
          <w:sz w:val="24"/>
          <w:szCs w:val="24"/>
        </w:rPr>
        <w:t xml:space="preserve"> Innovation as a Success Factor for Female Entrepreneurs, The 12th IBIMA conference on Creating Global Economies through Innovation and Knowledge Management, 2009, Kuala Lumpur, Malaysia, June 29 - 30, 2009, p. 247–255.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Lam A.,</w:t>
      </w:r>
      <w:r w:rsidRPr="006740E5">
        <w:rPr>
          <w:rFonts w:ascii="Times New Roman" w:hAnsi="Times New Roman"/>
          <w:iCs/>
          <w:sz w:val="24"/>
          <w:szCs w:val="24"/>
        </w:rPr>
        <w:t xml:space="preserve"> Handbook of Innovation, Oxfort University Press, 2004.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Ling L. S. et al.</w:t>
      </w:r>
      <w:r w:rsidRPr="006740E5">
        <w:rPr>
          <w:rFonts w:ascii="Times New Roman" w:hAnsi="Times New Roman"/>
          <w:iCs/>
          <w:sz w:val="24"/>
          <w:szCs w:val="24"/>
        </w:rPr>
        <w:t xml:space="preserve"> Knowledge Manipulation Skills and Organisational Competitive Advantage: A Framework for MSC Malaysia Companies, The 12th IBIMA conference on Creating Global Economies through Innovation and Knowledge Management, 2009, Kuala Lumpur, Malaysia, June 29 - 30, 2009, p. 939–948.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Ling T. C., Nasurdin A. M.</w:t>
      </w:r>
      <w:r w:rsidRPr="006740E5">
        <w:rPr>
          <w:rFonts w:ascii="Times New Roman" w:hAnsi="Times New Roman"/>
          <w:iCs/>
          <w:sz w:val="24"/>
          <w:szCs w:val="24"/>
        </w:rPr>
        <w:t xml:space="preserve"> The Contribution of Knowledge Management Effectiveness towards Product Innovation: Evidence from Malaysia, The 13th IBIMA conference on Knowledge Management and Innovation in Advancing Economies, 2009, Marrakech, Marocco November 9–10, 2009, p. 1–9.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Maclachlan P. L.</w:t>
      </w:r>
      <w:r w:rsidRPr="006740E5">
        <w:rPr>
          <w:rFonts w:ascii="Times New Roman" w:hAnsi="Times New Roman"/>
          <w:iCs/>
          <w:sz w:val="24"/>
          <w:szCs w:val="24"/>
        </w:rPr>
        <w:t xml:space="preserve"> Storming the Castle: The Battle for Postal Reform in Japan, Social Science Japan Journal, 2006, Vol. 9 Issue 1, p. 1-18. –ISSN: 1369-1465.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Magutu P. O. et al. </w:t>
      </w:r>
      <w:r w:rsidRPr="006740E5">
        <w:rPr>
          <w:rFonts w:ascii="Times New Roman" w:hAnsi="Times New Roman"/>
          <w:iCs/>
          <w:sz w:val="24"/>
          <w:szCs w:val="24"/>
        </w:rPr>
        <w:t>E-Commerce Products And Services In The Banking Industry: The Adoption And Usage In Commercial Banks In Kenya, The 13th IBIMA conference on Knowledge Management and Innovation in Advancing Economies, 2009, Marrakech, Marocco November 9–10, 2009, p.1598–1610. –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Makogon Y. et al.</w:t>
      </w:r>
      <w:r w:rsidRPr="006740E5">
        <w:rPr>
          <w:rFonts w:ascii="Times New Roman" w:hAnsi="Times New Roman"/>
          <w:iCs/>
          <w:sz w:val="24"/>
          <w:szCs w:val="24"/>
        </w:rPr>
        <w:t xml:space="preserve"> Globalization and socialization of economic development: experience for Ukraine // Ekonomika ir vadyba. – Kaunas: Technologija, 2009, Vol. 14, p. 307–314.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Malhotra Y., Dennis F. G.</w:t>
      </w:r>
      <w:r w:rsidRPr="006740E5">
        <w:rPr>
          <w:rFonts w:ascii="Times New Roman" w:hAnsi="Times New Roman"/>
          <w:iCs/>
          <w:sz w:val="24"/>
          <w:szCs w:val="24"/>
        </w:rPr>
        <w:t xml:space="preserve"> Role of Commitment and Motivation in Knowledge Management Systems Implementation: Theory, Conceptualization, and Measurement of Antecedents of Success, Proceedings of 36th Annual Hawaii International Conference on Systems Sciences, January 6-9, 2003, IEEE, p. 1-10. –ISXN</w:t>
      </w:r>
    </w:p>
    <w:p w:rsidR="00C66C7D" w:rsidRPr="006740E5" w:rsidRDefault="00C66C7D" w:rsidP="008D7545">
      <w:pPr>
        <w:tabs>
          <w:tab w:val="left" w:pos="-6379"/>
        </w:tabs>
        <w:spacing w:after="0" w:line="240" w:lineRule="auto"/>
        <w:ind w:firstLine="567"/>
        <w:jc w:val="both"/>
        <w:rPr>
          <w:rFonts w:ascii="Times-Roman" w:hAnsi="Times-Roman" w:cs="Times-Roman"/>
          <w:sz w:val="19"/>
          <w:szCs w:val="19"/>
        </w:rPr>
      </w:pPr>
      <w:r w:rsidRPr="006740E5">
        <w:rPr>
          <w:rFonts w:ascii="Times-Roman" w:hAnsi="Times-Roman" w:cs="Times-Roman"/>
          <w:b/>
          <w:sz w:val="24"/>
          <w:szCs w:val="24"/>
        </w:rPr>
        <w:t>Masa’deh R. et al.</w:t>
      </w:r>
      <w:r w:rsidRPr="006740E5">
        <w:rPr>
          <w:rFonts w:ascii="Times-Roman" w:hAnsi="Times-Roman" w:cs="Times-Roman"/>
          <w:sz w:val="19"/>
          <w:szCs w:val="19"/>
        </w:rPr>
        <w:t xml:space="preserve"> </w:t>
      </w:r>
      <w:r w:rsidRPr="006740E5">
        <w:rPr>
          <w:rFonts w:ascii="Times-Roman" w:hAnsi="Times-Roman" w:cs="Times-Roman"/>
          <w:sz w:val="24"/>
          <w:szCs w:val="24"/>
        </w:rPr>
        <w:t>An Integrative Model Linking IT-Business Strategic Alignment and Firm Performance: The Mediating Role of Pursuing Innovation and Knowledge Management Strategies,</w:t>
      </w:r>
      <w:r w:rsidRPr="006740E5">
        <w:rPr>
          <w:rFonts w:ascii="Times-Roman" w:hAnsi="Times-Roman" w:cs="Times-Roman"/>
          <w:sz w:val="19"/>
          <w:szCs w:val="19"/>
        </w:rPr>
        <w:t xml:space="preserve"> </w:t>
      </w:r>
      <w:r w:rsidRPr="006740E5">
        <w:rPr>
          <w:rFonts w:ascii="Times New Roman" w:hAnsi="Times New Roman"/>
          <w:iCs/>
          <w:sz w:val="24"/>
          <w:szCs w:val="24"/>
        </w:rPr>
        <w:t>The 10th IBIMA conference on Innovation and Knowledge Management in Business Globalization, 2008, Kuala Lumpur, Malaysia, June 30 - July 2, 2008, p. 470–477.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Maydeu-Olivares A., Lado N.</w:t>
      </w:r>
      <w:r w:rsidRPr="006740E5">
        <w:rPr>
          <w:rFonts w:ascii="Times New Roman" w:hAnsi="Times New Roman"/>
          <w:iCs/>
          <w:sz w:val="24"/>
          <w:szCs w:val="24"/>
        </w:rPr>
        <w:t xml:space="preserve"> Market orientation and business economic performance: A mediational model // International Journal of Service Industry Management, 2003, Vol. 14, no. 3, p. 284-309. - ISSN</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Mažeika A., Meškauskaite S.</w:t>
      </w:r>
      <w:r w:rsidRPr="006740E5">
        <w:rPr>
          <w:rFonts w:ascii="Times New Roman" w:hAnsi="Times New Roman"/>
          <w:iCs/>
          <w:sz w:val="24"/>
          <w:szCs w:val="24"/>
        </w:rPr>
        <w:t xml:space="preserve"> The assessment of Lithuanian banking sectors’ understanding and practical actions in closing digital divide. The 13th IBIMA conference on Knowledge Management and Innovation in Advancing Economies, 2009, Marrakech, Marocco November 9-10, 2009. p. 139-147. –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Mažeika A., Misiūnaitė V.</w:t>
      </w:r>
      <w:r w:rsidRPr="006740E5">
        <w:rPr>
          <w:rFonts w:ascii="Times New Roman" w:hAnsi="Times New Roman"/>
          <w:iCs/>
          <w:sz w:val="24"/>
          <w:szCs w:val="24"/>
        </w:rPr>
        <w:t xml:space="preserve"> Wiki economics measures for small and medium businesses to encourage entrepreneurship at the economic crisis period. The 13th IBIMA conference on Knowledge Management and Innovation in Advancing Economies, 2009, Marrakech, Marocco November 9-10, 2009. p. 65-73. – ISBN: 978-0-9821489-2-1.</w:t>
      </w:r>
    </w:p>
    <w:p w:rsidR="00D7657C" w:rsidRPr="006740E5" w:rsidRDefault="00D7657C"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sz w:val="24"/>
          <w:szCs w:val="24"/>
        </w:rPr>
        <w:t>Mazeika, A.</w:t>
      </w:r>
      <w:r w:rsidRPr="006740E5">
        <w:rPr>
          <w:rFonts w:ascii="Times New Roman" w:hAnsi="Times New Roman"/>
          <w:sz w:val="24"/>
          <w:szCs w:val="24"/>
        </w:rPr>
        <w:t xml:space="preserve"> Digtal time stamping service for small and medium enterprises development prospects in lithuania </w:t>
      </w:r>
      <w:r w:rsidRPr="006740E5">
        <w:rPr>
          <w:rFonts w:ascii="Times New Roman" w:hAnsi="Times New Roman"/>
          <w:iCs/>
          <w:sz w:val="24"/>
          <w:szCs w:val="24"/>
        </w:rPr>
        <w:t>// Ekonomika ir vadyba. – Kaunas: Technologija, 2009, p. 459-456. .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Mets T.</w:t>
      </w:r>
      <w:r w:rsidRPr="006740E5">
        <w:rPr>
          <w:rFonts w:ascii="Times New Roman" w:hAnsi="Times New Roman"/>
          <w:iCs/>
          <w:sz w:val="24"/>
          <w:szCs w:val="24"/>
        </w:rPr>
        <w:t xml:space="preserve"> Creating global business model for knowledge-intensive SMEs: the small transition country cases // Ekonomika ir vadyba. – Kaunas: Technologija, 2009, Vol. 14, p. 466–475.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Mets T.</w:t>
      </w:r>
      <w:r w:rsidRPr="006740E5">
        <w:rPr>
          <w:rFonts w:ascii="Times New Roman" w:hAnsi="Times New Roman"/>
          <w:iCs/>
          <w:sz w:val="24"/>
          <w:szCs w:val="24"/>
        </w:rPr>
        <w:t xml:space="preserve"> Developing the sectorial innovation system of Estonian biotechnology // Engineering Economics, 2006, Vol. 50(5), p. 73-79. - ISSN</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Micu A. et al.</w:t>
      </w:r>
      <w:r w:rsidRPr="006740E5">
        <w:rPr>
          <w:rFonts w:ascii="Times New Roman" w:hAnsi="Times New Roman"/>
          <w:iCs/>
          <w:sz w:val="24"/>
          <w:szCs w:val="24"/>
        </w:rPr>
        <w:t xml:space="preserve"> New Business Approach based on CRM Principles in Romanian Organizations, The 12th IBIMA conference on Creating Global Economies through Innovation and Knowledge Management, 2009, Kuala Lumpur, Malaysia, June 29 - 30, 2009, p. 256–264.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Modimogale L., Kroeze J. H.</w:t>
      </w:r>
      <w:r w:rsidRPr="006740E5">
        <w:rPr>
          <w:rFonts w:ascii="Times New Roman" w:hAnsi="Times New Roman"/>
          <w:iCs/>
          <w:sz w:val="24"/>
          <w:szCs w:val="24"/>
        </w:rPr>
        <w:t xml:space="preserve"> Using ICTs to Become a Competitive SME in South Africa, The 13th IBIMA conference on Knowledge Management and Innovation in Advancing Economies, 2009, Marrakech, Marocco November 9–10, 2009, p. 504–513.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Mohdzain M. B. et al.</w:t>
      </w:r>
      <w:r w:rsidRPr="006740E5">
        <w:rPr>
          <w:rFonts w:ascii="Times New Roman" w:hAnsi="Times New Roman"/>
          <w:iCs/>
          <w:sz w:val="24"/>
          <w:szCs w:val="24"/>
        </w:rPr>
        <w:t xml:space="preserve"> Co-evolution of Supply Chain Strategies and Technologies, The 13th IBIMA conference on Knowledge Management and Innovation in Advancing Economies, 2009, Marrakech, Marocco November 9–10, 2009, p. 1414–1422.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Mrad F.</w:t>
      </w:r>
      <w:r w:rsidRPr="006740E5">
        <w:rPr>
          <w:rFonts w:ascii="Times New Roman" w:hAnsi="Times New Roman"/>
          <w:iCs/>
          <w:sz w:val="24"/>
          <w:szCs w:val="24"/>
        </w:rPr>
        <w:t xml:space="preserve"> Scientific Innovation among Arab Youth: A Sampling Tour and Reality TV Workshop Perspective, The 13th IBIMA conference on Knowledge Management and Innovation in Advancing Economies, 2009, Marrakech, Marocco November 9–10, 2009, p. 1968–1980.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Munian N., Subramaniam S.</w:t>
      </w:r>
      <w:r w:rsidRPr="006740E5">
        <w:rPr>
          <w:rFonts w:ascii="Times New Roman" w:hAnsi="Times New Roman"/>
          <w:iCs/>
          <w:sz w:val="24"/>
          <w:szCs w:val="24"/>
        </w:rPr>
        <w:t xml:space="preserve"> Strategic Management Tools for Successful Performance: Evidence from Manufacturing Firms, The 12th IBIMA conference on Creating Global Economies through Innovation and Knowledge Management, 2009, Kuala Lumpur, Malaysia, June 29 - 30, 2009, p. 1624–1631.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bCs/>
          <w:iCs/>
          <w:sz w:val="24"/>
          <w:szCs w:val="24"/>
        </w:rPr>
        <w:t>Nachila C.</w:t>
      </w:r>
      <w:r w:rsidRPr="006740E5">
        <w:rPr>
          <w:rFonts w:ascii="Times New Roman" w:hAnsi="Times New Roman"/>
          <w:bCs/>
          <w:iCs/>
          <w:sz w:val="24"/>
          <w:szCs w:val="24"/>
        </w:rPr>
        <w:t xml:space="preserve"> Extending the ASP.NET Membership schema for a SQL Server survey database through IIS 7,</w:t>
      </w:r>
      <w:r w:rsidRPr="006740E5">
        <w:rPr>
          <w:rFonts w:ascii="Times New Roman" w:hAnsi="Times New Roman"/>
          <w:bCs/>
          <w:i/>
          <w:iCs/>
          <w:sz w:val="24"/>
          <w:szCs w:val="24"/>
        </w:rPr>
        <w:t xml:space="preserve"> </w:t>
      </w:r>
      <w:r w:rsidRPr="006740E5">
        <w:rPr>
          <w:rFonts w:ascii="Times New Roman" w:hAnsi="Times New Roman"/>
          <w:iCs/>
          <w:sz w:val="24"/>
          <w:szCs w:val="24"/>
        </w:rPr>
        <w:t>The 13th IBIMA conference on Knowledge Management and Innovation in Advancing Economies, 2009, Marrakech, Marocco November 9–10, 2009, p. 975–984. –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Najmaei A. et al. </w:t>
      </w:r>
      <w:r w:rsidRPr="006740E5">
        <w:rPr>
          <w:rFonts w:ascii="Times New Roman" w:hAnsi="Times New Roman"/>
          <w:iCs/>
          <w:sz w:val="24"/>
          <w:szCs w:val="24"/>
        </w:rPr>
        <w:t>E-Recruitment, Strategy and Competitiveness: Toward an Integrative Paradigm, The 12th IBIMA conference on Creating Global Economies through Innovation and Knowledge Management, 2009, Kuala Lumpur, Malaysia, June 29 - 30, 2009, p. 844–854.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Najmaei A., Sadeghinejad Z.</w:t>
      </w:r>
      <w:r w:rsidRPr="006740E5">
        <w:rPr>
          <w:rFonts w:ascii="Times New Roman" w:hAnsi="Times New Roman"/>
          <w:iCs/>
          <w:sz w:val="24"/>
          <w:szCs w:val="24"/>
        </w:rPr>
        <w:t xml:space="preserve"> E-Buyology - a Step towards I-Branding: a Holistic Conceptual Paradigm, The 12th IBIMA conference on Creating Global Economies through Innovation and Knowledge Management, 2009, Kuala Lumpur, Malaysia, June 29 - 30, 2009, p. 834–843.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Neagu A. M. et al.</w:t>
      </w:r>
      <w:r w:rsidRPr="006740E5">
        <w:rPr>
          <w:rFonts w:ascii="Times New Roman" w:hAnsi="Times New Roman"/>
          <w:iCs/>
          <w:sz w:val="24"/>
          <w:szCs w:val="24"/>
        </w:rPr>
        <w:t xml:space="preserve"> The Link between Knowledge based Economy Benchmarking Methods, Competitiveness and Welfare: A Quantitative Study Based on the Correlation Method, The 12th IBIMA conference on Creating Global Economies through Innovation and Knowledge Management, 2009, Kuala Lumpur, Malaysia, June 29 - 30, 2009, p. 628–634.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Necula S. C.</w:t>
      </w:r>
      <w:r w:rsidRPr="006740E5">
        <w:rPr>
          <w:rFonts w:ascii="Times New Roman" w:hAnsi="Times New Roman"/>
          <w:iCs/>
          <w:sz w:val="24"/>
          <w:szCs w:val="24"/>
        </w:rPr>
        <w:t xml:space="preserve"> Numbers and Symbols in Decisions Modeling, The 13th IBIMA conference on Knowledge Management and Innovation in Advancing Economies, 2009, Marrakech, Marocco November 9–10, 2009, p. 266–270.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Nejati M. et al.</w:t>
      </w:r>
      <w:r w:rsidRPr="006740E5">
        <w:rPr>
          <w:rFonts w:ascii="Times New Roman" w:hAnsi="Times New Roman"/>
          <w:iCs/>
          <w:sz w:val="24"/>
          <w:szCs w:val="24"/>
        </w:rPr>
        <w:t xml:space="preserve"> Knowledge Management Performance Evaluation in Universities: A Sustainable Development View, The 12th IBIMA conference on Creating Global Economies through Innovation </w:t>
      </w:r>
      <w:r w:rsidRPr="006740E5">
        <w:rPr>
          <w:rFonts w:ascii="Times New Roman" w:hAnsi="Times New Roman"/>
          <w:iCs/>
          <w:sz w:val="24"/>
          <w:szCs w:val="24"/>
        </w:rPr>
        <w:lastRenderedPageBreak/>
        <w:t>and Knowledge Management, 2009, Kuala Lumpur, Malaysia, June 29 - 30, 2009, p. 710–717.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Nejati M., Nejati M.</w:t>
      </w:r>
      <w:r w:rsidRPr="006740E5">
        <w:rPr>
          <w:rFonts w:ascii="Times New Roman" w:hAnsi="Times New Roman"/>
          <w:iCs/>
          <w:sz w:val="24"/>
          <w:szCs w:val="24"/>
        </w:rPr>
        <w:t xml:space="preserve"> Analyzing the knowledge side of development plans: a comparative study between Iran &amp; Malaysia, The 12th IBIMA conference on Creating Global Economies through Innovation and Knowledge Management, 2009, Kuala Lumpur, Malaysia, June 29 - 30, 2009, p. 734–742.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Nicolae S.</w:t>
      </w:r>
      <w:r w:rsidRPr="006740E5">
        <w:rPr>
          <w:rFonts w:ascii="Times New Roman" w:hAnsi="Times New Roman"/>
          <w:iCs/>
          <w:sz w:val="24"/>
          <w:szCs w:val="24"/>
        </w:rPr>
        <w:t xml:space="preserve"> Becoming a Knowledge Worker: An individuals’ solution for unemployment, The 13th IBIMA conference on Knowledge Management and Innovation in Advancing Economies, 2009, Marrakech, Marocco November 9–10, 2009, p. 498–503.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Nicolae S.</w:t>
      </w:r>
      <w:r w:rsidRPr="006740E5">
        <w:rPr>
          <w:rFonts w:ascii="Times New Roman" w:hAnsi="Times New Roman"/>
          <w:iCs/>
          <w:sz w:val="24"/>
          <w:szCs w:val="24"/>
        </w:rPr>
        <w:t xml:space="preserve"> Knowledge Management in Education: A Case Study on “Politehnica” University of Bucharest, The 13th IBIMA conference on Knowledge Management and Innovation in Advancing Economies, 2009, Marrakech, Marocco November 9–10, 2009, p. 427–440.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North D., Smallbone D.</w:t>
      </w:r>
      <w:r w:rsidRPr="006740E5">
        <w:rPr>
          <w:rFonts w:ascii="Times New Roman" w:hAnsi="Times New Roman"/>
          <w:iCs/>
          <w:sz w:val="24"/>
          <w:szCs w:val="24"/>
        </w:rPr>
        <w:t xml:space="preserve"> The innovativeness and groth of rural SMEs during the 1990s, Regional studies, 2000, Nr. 2(34), p. 145-57.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Papuc R. et al.</w:t>
      </w:r>
      <w:r w:rsidRPr="006740E5">
        <w:rPr>
          <w:rFonts w:ascii="Times New Roman" w:hAnsi="Times New Roman"/>
          <w:iCs/>
          <w:sz w:val="24"/>
          <w:szCs w:val="24"/>
        </w:rPr>
        <w:t xml:space="preserve"> New Approaches on Product Innovation, The 12th IBIMA conference on Creating Global Economies through Innovation and Knowledge Management, 2009, Kuala Lumpur, Malaysia, June 29 - 30, 2009, p. 924–925.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Parker D.</w:t>
      </w:r>
      <w:r w:rsidRPr="006740E5">
        <w:rPr>
          <w:rFonts w:ascii="Times New Roman" w:hAnsi="Times New Roman"/>
          <w:iCs/>
          <w:sz w:val="24"/>
          <w:szCs w:val="24"/>
        </w:rPr>
        <w:t xml:space="preserve"> The Last Post for Privatization? Prospects for Privatizing the Postal Services, Public Money &amp; Management, 1994, Vol. 14 Issue 3, p. 17-24. –ISSN: 0954-0962.</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Paškevičiūtė L., Čaplinksas A.</w:t>
      </w:r>
      <w:r w:rsidRPr="006740E5">
        <w:rPr>
          <w:rFonts w:ascii="Times New Roman" w:hAnsi="Times New Roman"/>
          <w:iCs/>
          <w:sz w:val="24"/>
          <w:szCs w:val="24"/>
        </w:rPr>
        <w:t xml:space="preserve"> Verslo ir informacinių technologijų darna, Informacijos mokslai, 2007, Vilnius: Vilniaus universitetas, Tomai 42–43, p. 145–148. –ISSN 1392–0561.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Patrascu A. et al.</w:t>
      </w:r>
      <w:r w:rsidRPr="006740E5">
        <w:rPr>
          <w:rFonts w:ascii="Times New Roman" w:hAnsi="Times New Roman"/>
          <w:iCs/>
          <w:sz w:val="24"/>
          <w:szCs w:val="24"/>
        </w:rPr>
        <w:t xml:space="preserve"> Using Web Technologies in Document Management, The 13th IBIMA conference on Knowledge Management and Innovation in Advancing Economies, 2009, Marrakech, Marocco November 9–10, 2009, p. 1040–1047.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Pei N. S.</w:t>
      </w:r>
      <w:r w:rsidRPr="006740E5">
        <w:rPr>
          <w:rFonts w:ascii="Times New Roman" w:hAnsi="Times New Roman"/>
          <w:iCs/>
          <w:sz w:val="24"/>
          <w:szCs w:val="24"/>
        </w:rPr>
        <w:t xml:space="preserve"> Enhancing Knowledge Management via Organizational Learning, The 12th IBIMA conference on Creating Global Economies through Innovation and Knowledge Management, 2009, Kuala Lumpur, Malaysia, June 29 - 30, 2009, p. 591–595.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Petrauskas R., Zumaras L.</w:t>
      </w:r>
      <w:r w:rsidRPr="006740E5">
        <w:rPr>
          <w:rFonts w:ascii="Times New Roman" w:hAnsi="Times New Roman"/>
          <w:iCs/>
          <w:sz w:val="24"/>
          <w:szCs w:val="24"/>
        </w:rPr>
        <w:t xml:space="preserve"> Comparative analysis of mobile payments in the European Union, Intelektual Economics, 2008, Vilnius: Mykolo Romerio universitetas, No. 2 (4), p. 59–64. –ISSN 1822–8011.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Powell W. W., Snellman K.</w:t>
      </w:r>
      <w:r w:rsidRPr="006740E5">
        <w:rPr>
          <w:rFonts w:ascii="Times New Roman" w:hAnsi="Times New Roman"/>
          <w:iCs/>
          <w:sz w:val="24"/>
          <w:szCs w:val="24"/>
        </w:rPr>
        <w:t xml:space="preserve"> The Knowledge Economy, Annual Review of Sociology, 2004, Vol. 30, Pages 199-220.</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Radu L. D., Tugui A.</w:t>
      </w:r>
      <w:r w:rsidRPr="006740E5">
        <w:rPr>
          <w:rFonts w:ascii="Times New Roman" w:hAnsi="Times New Roman"/>
          <w:iCs/>
          <w:sz w:val="24"/>
          <w:szCs w:val="24"/>
        </w:rPr>
        <w:t xml:space="preserve"> Scenario for digital accounting of fixed assets: Some risks and changes for accounting informatikon, The 13th IBIMA conference on Knowledge Management and Innovation in Advancing Economies, 2009, Marrakech, Marocco November 9–10, 2009, p. 1362–1368.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Roman" w:hAnsi="Times-Roman" w:cs="Times-Roman"/>
          <w:b/>
          <w:sz w:val="24"/>
          <w:szCs w:val="24"/>
        </w:rPr>
        <w:t>Rahim M.</w:t>
      </w:r>
      <w:r w:rsidRPr="006740E5">
        <w:rPr>
          <w:rFonts w:ascii="Times-Roman" w:hAnsi="Times-Roman" w:cs="Times-Roman"/>
          <w:sz w:val="24"/>
          <w:szCs w:val="24"/>
        </w:rPr>
        <w:t xml:space="preserve"> Identifying Factors Affecting Acceptance of E-procurement Systems: An Initial Qualitative Study at an Australian City Council, </w:t>
      </w:r>
      <w:r w:rsidRPr="006740E5">
        <w:rPr>
          <w:rFonts w:ascii="Times New Roman" w:hAnsi="Times New Roman"/>
          <w:iCs/>
          <w:sz w:val="24"/>
          <w:szCs w:val="24"/>
        </w:rPr>
        <w:t>The 10th IBIMA conference on Innovation and Knowledge Management in Business Globalization, 2008, Kuala Lumpur, Malaysia, June 30 - July 2, 2008, p. 219–229.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Raipa A., Petukienė E.</w:t>
      </w:r>
      <w:r w:rsidRPr="006740E5">
        <w:rPr>
          <w:rFonts w:ascii="Times New Roman" w:hAnsi="Times New Roman"/>
          <w:iCs/>
          <w:sz w:val="24"/>
          <w:szCs w:val="24"/>
        </w:rPr>
        <w:t xml:space="preserve"> Klientų dalyvavimas viešosiose paslaugose: bendrasis paslaugų kūrimas, Viešoji politika ir administravimas, 2009, Kaunas: Technologija, Nr. 27, p. 54–62. –ISSN 1648–2603.</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Razak R. A. et al.</w:t>
      </w:r>
      <w:r w:rsidRPr="006740E5">
        <w:rPr>
          <w:rFonts w:ascii="Times New Roman" w:hAnsi="Times New Roman"/>
          <w:b/>
          <w:iCs/>
          <w:sz w:val="24"/>
          <w:szCs w:val="24"/>
        </w:rPr>
        <w:tab/>
      </w:r>
      <w:r w:rsidRPr="006740E5">
        <w:rPr>
          <w:rFonts w:ascii="Times New Roman" w:hAnsi="Times New Roman"/>
          <w:iCs/>
          <w:sz w:val="24"/>
          <w:szCs w:val="24"/>
        </w:rPr>
        <w:t xml:space="preserve"> The Scenarios of Enterprise Architecture in Malaysian Organizations, </w:t>
      </w:r>
      <w:r w:rsidRPr="006740E5">
        <w:rPr>
          <w:rFonts w:ascii="Times New Roman" w:hAnsi="Times New Roman"/>
          <w:iCs/>
          <w:sz w:val="24"/>
          <w:szCs w:val="24"/>
        </w:rPr>
        <w:br/>
        <w:t>The 13th IBIMA conference on Knowledge Management and Innovation in Advancing Economies, 2009, Marrakech, Marocco November 9–10, 2009, p. 923–928.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Rehman M. et al.</w:t>
      </w:r>
      <w:r w:rsidRPr="006740E5">
        <w:rPr>
          <w:rFonts w:ascii="Times New Roman" w:hAnsi="Times New Roman"/>
          <w:iCs/>
          <w:sz w:val="24"/>
          <w:szCs w:val="24"/>
        </w:rPr>
        <w:t xml:space="preserve"> Implementation of Knowledge Management in Small and Medium Enterprises – Malaysian Perspective, The 12th IBIMA conference on Creating Global Economies through Innovation and Knowledge Management, 2009, Kuala Lumpur, Malaysia, June 29 - 30, 2009, p. 1725–1732.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Rehman M. et al.</w:t>
      </w:r>
      <w:r w:rsidRPr="006740E5">
        <w:rPr>
          <w:rFonts w:ascii="Times New Roman" w:hAnsi="Times New Roman"/>
          <w:iCs/>
          <w:sz w:val="24"/>
          <w:szCs w:val="24"/>
        </w:rPr>
        <w:t xml:space="preserve"> Preliminary Study on Proposed Framework for the Implementation of Knowledge Management in Small and Medium Enterprises, The 12th IBIMA conference on Creating Global Economies through Innovation and Knowledge Management, 2009, Kuala Lumpur, Malaysia, June 29 - 30, 2009, p. 1715–1719.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Šajeva S.</w:t>
      </w:r>
      <w:r w:rsidRPr="006740E5">
        <w:rPr>
          <w:rFonts w:ascii="Times New Roman" w:hAnsi="Times New Roman"/>
          <w:iCs/>
          <w:sz w:val="24"/>
          <w:szCs w:val="24"/>
        </w:rPr>
        <w:t xml:space="preserve"> Žinių valdymo brandumo vertinimo modelių ir jų komponentų kritinė analizė // Ekonomika ir vadyba. – Kaunas: Technologija, 2009, Vol. 14, p. 611–624.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Salavau H.</w:t>
      </w:r>
      <w:r w:rsidRPr="006740E5">
        <w:rPr>
          <w:rFonts w:ascii="Times New Roman" w:hAnsi="Times New Roman"/>
          <w:iCs/>
          <w:sz w:val="24"/>
          <w:szCs w:val="24"/>
        </w:rPr>
        <w:t xml:space="preserve"> The concept of innovativeness: should we need to focus?’’, European Journal Innovation Management, 2004, 1(7), p. 33-44.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Sanberg B., Hansen S.</w:t>
      </w:r>
      <w:r w:rsidRPr="006740E5">
        <w:rPr>
          <w:rFonts w:ascii="Times New Roman" w:hAnsi="Times New Roman"/>
          <w:iCs/>
          <w:sz w:val="24"/>
          <w:szCs w:val="24"/>
        </w:rPr>
        <w:t xml:space="preserve"> Creating an international markets for disruptive innovations, European Journal Innovation Management, 2004, 1(7), p. 23-32.</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Shaqrah A. A. et al.</w:t>
      </w:r>
      <w:r w:rsidRPr="006740E5">
        <w:rPr>
          <w:rFonts w:ascii="Times New Roman" w:hAnsi="Times New Roman"/>
          <w:iCs/>
          <w:sz w:val="24"/>
          <w:szCs w:val="24"/>
        </w:rPr>
        <w:t xml:space="preserve"> A Typology of Tacit Knowledge Sharing Themes to Fostering Group Decision Support System, The 13th IBIMA conference on Knowledge Management and Innovation in Advancing Economies, 2009, Marrakech, Marocco November 9–10, 2009, p. 245–255.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Roman" w:hAnsi="Times-Roman" w:cs="Times-Roman"/>
          <w:b/>
          <w:sz w:val="24"/>
          <w:szCs w:val="24"/>
        </w:rPr>
        <w:t>Sheikh S. A.</w:t>
      </w:r>
      <w:r w:rsidRPr="006740E5">
        <w:rPr>
          <w:rFonts w:ascii="Times-Roman" w:hAnsi="Times-Roman" w:cs="Times-Roman"/>
          <w:sz w:val="24"/>
          <w:szCs w:val="24"/>
        </w:rPr>
        <w:t xml:space="preserve"> Use of New Knowledge and Knowledge Management to Gain Competitive Advantage, </w:t>
      </w:r>
      <w:r w:rsidRPr="006740E5">
        <w:rPr>
          <w:rFonts w:ascii="Times New Roman" w:hAnsi="Times New Roman"/>
          <w:iCs/>
          <w:sz w:val="24"/>
          <w:szCs w:val="24"/>
        </w:rPr>
        <w:t>The 10th IBIMA conference on Innovation and Knowledge Management in Business Globalization, 2008, Kuala Lumpur, Malaysia, June 30 - July 2, 2008, p. 35–42. –ISBN: 0-9753393-9-7.</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Shetty M. V. et al.</w:t>
      </w:r>
      <w:r w:rsidRPr="006740E5">
        <w:rPr>
          <w:rFonts w:ascii="Times New Roman" w:hAnsi="Times New Roman"/>
          <w:iCs/>
          <w:sz w:val="24"/>
          <w:szCs w:val="24"/>
        </w:rPr>
        <w:t xml:space="preserve"> Knowledge Management Value Chain for Optimal Growth and Development of Companies: A New Perspective for Consideration and Implementation, The 13th IBIMA conference on Knowledge Management and Innovation in Advancing Economies, 2009, Marrakech, Marocco November 9–10, 2009, p. 612–624.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Shetty M. V., Shingi P. M.</w:t>
      </w:r>
      <w:r w:rsidRPr="006740E5">
        <w:rPr>
          <w:rFonts w:ascii="Times New Roman" w:hAnsi="Times New Roman"/>
          <w:iCs/>
          <w:sz w:val="24"/>
          <w:szCs w:val="24"/>
        </w:rPr>
        <w:t xml:space="preserve"> Towards a Heuristic Model of Social Entrepreneurship Development, The 12th IBIMA conference on Creating Global Economies through Innovation and Knowledge Management, 2009, Kuala Lumpur, Malaysia, June 29 - 30, 2009, p. 104–114.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Snieška V.</w:t>
      </w:r>
      <w:r w:rsidRPr="006740E5">
        <w:rPr>
          <w:rFonts w:ascii="Times New Roman" w:hAnsi="Times New Roman"/>
          <w:iCs/>
          <w:sz w:val="24"/>
          <w:szCs w:val="24"/>
        </w:rPr>
        <w:t xml:space="preserve"> Research into International Competitiveness in 2000–2008, Engineering Economics, 2008, No 4 (59), p. 29–41. –ISSN 1392-2785.</w:t>
      </w:r>
    </w:p>
    <w:p w:rsidR="00D7657C" w:rsidRPr="006740E5" w:rsidRDefault="00D7657C"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Snieska, V., Venckuviene, V.</w:t>
      </w:r>
      <w:r w:rsidRPr="006740E5">
        <w:rPr>
          <w:rFonts w:ascii="Times New Roman" w:hAnsi="Times New Roman"/>
          <w:iCs/>
          <w:sz w:val="24"/>
          <w:szCs w:val="24"/>
        </w:rPr>
        <w:t xml:space="preserve"> Venture capital impact on the region‘s competitiveness // Ekonomika ir vadyba. – Kaunas: Technologija, 2009, Vol. 14, p. 961-967.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Sodomka P., Šteker K.</w:t>
      </w:r>
      <w:r w:rsidRPr="006740E5">
        <w:rPr>
          <w:rFonts w:ascii="Times New Roman" w:hAnsi="Times New Roman"/>
          <w:iCs/>
          <w:sz w:val="24"/>
          <w:szCs w:val="24"/>
        </w:rPr>
        <w:t xml:space="preserve"> Economics as a Key Support Process in ERP Systems, The 12th IBIMA conference on Creating Global Economies through Innovation and Knowledge Management, 2009, Kuala Lumpur, Malaysia, June 29 - 30, 2009, p. 789–798. –ISBN: 978-0-9821489-1-4.</w:t>
      </w:r>
    </w:p>
    <w:p w:rsidR="00D7657C" w:rsidRPr="006740E5" w:rsidRDefault="00D7657C" w:rsidP="008D7545">
      <w:pPr>
        <w:tabs>
          <w:tab w:val="left" w:pos="-6379"/>
          <w:tab w:val="left" w:pos="993"/>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Stahlecker, Th., Koch, A.</w:t>
      </w:r>
      <w:r w:rsidRPr="006740E5">
        <w:rPr>
          <w:rFonts w:ascii="Times New Roman" w:hAnsi="Times New Roman"/>
          <w:iCs/>
          <w:sz w:val="24"/>
          <w:szCs w:val="24"/>
        </w:rPr>
        <w:t xml:space="preserve"> Social networks, functional links, and spatial proximity. Founding processes and early development of KIBS start-ups. NCSB 2004 Conference, 13th Nordic Conference on Small Business Research, 2004, http://citeseerx.ist.psu.edu/viewdoc/download?doi=10.1.1.99.413&amp;rep=rep1&amp;type=pdf</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Suan S. T. et al.</w:t>
      </w:r>
      <w:r w:rsidRPr="006740E5">
        <w:rPr>
          <w:rFonts w:ascii="Times New Roman" w:hAnsi="Times New Roman"/>
          <w:iCs/>
          <w:sz w:val="24"/>
          <w:szCs w:val="24"/>
        </w:rPr>
        <w:t xml:space="preserve"> Analysis of the level of Emotional Intelligence among Executives in the Small and Medium Sized Enterprises, The 12th IBIMA conference on Creating Global Economies through Innovation and Knowledge Management, 2009, Kuala Lumpur, Malaysia, June 29 - 30, 2009, p. 163–169.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Suciu M. Ch., Ivanovici M.</w:t>
      </w:r>
      <w:r w:rsidRPr="006740E5">
        <w:rPr>
          <w:rFonts w:ascii="Times New Roman" w:hAnsi="Times New Roman"/>
          <w:iCs/>
          <w:sz w:val="24"/>
          <w:szCs w:val="24"/>
        </w:rPr>
        <w:t xml:space="preserve"> Creative Communities in the Knowledge-Based Society, The 12th IBIMA conference on Creating Global Economies through Innovation and Knowledge Management, 2009, Kuala Lumpur, Malaysia, June 29 - 30, 2009, p. 1223–1226.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Suddul G., Mohamudlly N.</w:t>
      </w:r>
      <w:r w:rsidRPr="006740E5">
        <w:rPr>
          <w:rFonts w:ascii="Times New Roman" w:hAnsi="Times New Roman"/>
          <w:iCs/>
          <w:sz w:val="24"/>
          <w:szCs w:val="24"/>
        </w:rPr>
        <w:t xml:space="preserve"> An Optimized Messaging Framework for Mobile Web service Clients, The 13th IBIMA conference on Knowledge Management and Innovation in Advancing Economies, 2009, Marrakech, Marocco November 9–10, 2009, p.1682–1688. –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Szymanski D. M. et al.</w:t>
      </w:r>
      <w:r w:rsidRPr="006740E5">
        <w:rPr>
          <w:rFonts w:ascii="Times New Roman" w:hAnsi="Times New Roman"/>
          <w:iCs/>
          <w:sz w:val="24"/>
          <w:szCs w:val="24"/>
        </w:rPr>
        <w:t xml:space="preserve"> Innovativeness and new product success: insights from the cumulative evidence, Journal of the Academy of Marketing Science, 2007, Vol. 35 No. 1, p. 35-52. –ISSN 0092-0703.</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Taib K. M. et al.</w:t>
      </w:r>
      <w:r w:rsidRPr="006740E5">
        <w:rPr>
          <w:rFonts w:ascii="Times New Roman" w:hAnsi="Times New Roman"/>
          <w:iCs/>
          <w:sz w:val="24"/>
          <w:szCs w:val="24"/>
        </w:rPr>
        <w:t xml:space="preserve"> Knowledge Management and Competitive Intelligence: A Synergy for Organizational Competitiveness in the K-Economy, The 10th IBIMA conference on Innovation and Knowledge Management in Business Globalization, 2008, Kuala Lumpur, Malaysia, June 30 - July 2, 2008, p. 1165–1174. –ISBN: 0-9753393-9-7.</w:t>
      </w:r>
    </w:p>
    <w:p w:rsidR="00C66C7D" w:rsidRPr="006740E5" w:rsidRDefault="00C66C7D" w:rsidP="008D7545">
      <w:pPr>
        <w:tabs>
          <w:tab w:val="left" w:pos="-6379"/>
          <w:tab w:val="left" w:pos="70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Tidikis R.</w:t>
      </w:r>
      <w:r w:rsidRPr="006740E5">
        <w:rPr>
          <w:rFonts w:ascii="Times New Roman" w:hAnsi="Times New Roman"/>
          <w:iCs/>
          <w:sz w:val="24"/>
          <w:szCs w:val="24"/>
        </w:rPr>
        <w:t xml:space="preserve"> Socialinių tyrimų mokslo metodolo</w:t>
      </w:r>
      <w:r w:rsidR="008F1031" w:rsidRPr="006740E5">
        <w:rPr>
          <w:rFonts w:ascii="Times New Roman" w:hAnsi="Times New Roman"/>
          <w:iCs/>
          <w:sz w:val="24"/>
          <w:szCs w:val="24"/>
        </w:rPr>
        <w:t>gija, Vilnius, 2003, p. 474−518.</w:t>
      </w:r>
      <w:r w:rsidRPr="006740E5">
        <w:rPr>
          <w:rFonts w:ascii="Times New Roman" w:hAnsi="Times New Roman"/>
          <w:iCs/>
          <w:sz w:val="24"/>
          <w:szCs w:val="24"/>
        </w:rPr>
        <w:t xml:space="preserve"> – ISBN 9955−563−26−5.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Tucek D. et al.</w:t>
      </w:r>
      <w:r w:rsidRPr="006740E5">
        <w:rPr>
          <w:rFonts w:ascii="Times New Roman" w:hAnsi="Times New Roman"/>
          <w:iCs/>
          <w:sz w:val="24"/>
          <w:szCs w:val="24"/>
        </w:rPr>
        <w:t xml:space="preserve"> Business Process Management with Software Support, The 13th IBIMA conference on Knowledge Management and Innovation in Advancing Economies, 2009, Marrakech, Marocco November 9–10, 2009, p. 1060–1073.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Urbonas J. A., Maksvytienė I.</w:t>
      </w:r>
      <w:r w:rsidRPr="006740E5">
        <w:rPr>
          <w:rFonts w:ascii="Times New Roman" w:hAnsi="Times New Roman"/>
          <w:iCs/>
          <w:sz w:val="24"/>
          <w:szCs w:val="24"/>
        </w:rPr>
        <w:t xml:space="preserve"> Įmonės naujovių ekonomijos vaidmuo tarptautinėje konkurencijoje // Ekonomika ir vadyba. – Kaunas: Technologija, 2009, Vol. 14, p. 993–999.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Valentinavičius S.</w:t>
      </w:r>
      <w:r w:rsidRPr="006740E5">
        <w:rPr>
          <w:rFonts w:ascii="Times New Roman" w:hAnsi="Times New Roman"/>
          <w:iCs/>
          <w:sz w:val="24"/>
          <w:szCs w:val="24"/>
        </w:rPr>
        <w:t xml:space="preserve"> Inovacinio verslo plėtra: problemos ir galimybės, EKONOMIKA, 2006, Nr. 74, p. 108-128. - ISSN 1392–1258.</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Vasauskaitė J., Krušinskas R.</w:t>
      </w:r>
      <w:r w:rsidRPr="006740E5">
        <w:rPr>
          <w:rFonts w:ascii="Times New Roman" w:hAnsi="Times New Roman"/>
          <w:iCs/>
          <w:sz w:val="24"/>
          <w:szCs w:val="24"/>
        </w:rPr>
        <w:t xml:space="preserve"> Technologijų gyvavimo ciklo ir strateginių sprendimų sąveika įmonės konkurencingumo užtikrinimui, Ekonomika ir vadyba. – Kaunas: Technologija, 2009, Vol. 14, p. 1009-1017.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Viederyte R.</w:t>
      </w:r>
      <w:r w:rsidRPr="006740E5">
        <w:rPr>
          <w:rFonts w:ascii="Times New Roman" w:hAnsi="Times New Roman"/>
          <w:iCs/>
          <w:sz w:val="24"/>
          <w:szCs w:val="24"/>
        </w:rPr>
        <w:t xml:space="preserve"> Globalization influence on competitive education and knowledge spreading activity // Ekonomika ir vadyba. – Kaunas: Technologija, 2009, Vol. 14, p. 1032–1036. –ISSN 1822–6515.</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Wang C. L., Pervaiz K. A.</w:t>
      </w:r>
      <w:r w:rsidRPr="006740E5">
        <w:rPr>
          <w:rFonts w:ascii="Times New Roman" w:hAnsi="Times New Roman"/>
          <w:iCs/>
          <w:sz w:val="24"/>
          <w:szCs w:val="24"/>
        </w:rPr>
        <w:t xml:space="preserve"> The development and validation of the organisational innovativeness construct using confirmatory factor analysis, European Journal of Innovation Management, 2004, No. 7(4), p. 303-313.</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 xml:space="preserve">Wei O. J., Lama J. A. K. </w:t>
      </w:r>
      <w:r w:rsidRPr="006740E5">
        <w:rPr>
          <w:rFonts w:ascii="Times New Roman" w:hAnsi="Times New Roman"/>
          <w:iCs/>
          <w:sz w:val="24"/>
          <w:szCs w:val="24"/>
        </w:rPr>
        <w:t>Adoption of Technology among Businesses: The Strategic Adoption, The 12th IBIMA conference on Creating Global Economies through Innovation and Knowledge Management, 2009, Kuala Lumpur, Malaysia, June 29 - 30, 2009, p. 27–34.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Whitty M.</w:t>
      </w:r>
      <w:r w:rsidRPr="006740E5">
        <w:rPr>
          <w:rFonts w:ascii="Times New Roman" w:hAnsi="Times New Roman"/>
          <w:iCs/>
          <w:sz w:val="24"/>
          <w:szCs w:val="24"/>
        </w:rPr>
        <w:t xml:space="preserve"> Knowledge Management and Innovation for Organizational Effectiveness and Competitiveness, The 13th IBIMA conference on Knowledge Management and Innovation in Advancing Economies, 2009, Marrakech, Marocco November 9–10, 2009, p. 1122–1127.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Wong K. Y., Chong S. C.</w:t>
      </w:r>
      <w:r w:rsidRPr="006740E5">
        <w:rPr>
          <w:rFonts w:ascii="Times New Roman" w:hAnsi="Times New Roman"/>
          <w:iCs/>
          <w:sz w:val="24"/>
          <w:szCs w:val="24"/>
        </w:rPr>
        <w:t xml:space="preserve"> Optimisation of Legal Information and Knowledge, The 12th IBIMA conference on Creating Global Economies through Innovation and Knowledge Management, 2009, Kuala Lumpur, Malaysia, June 29 - 30, 2009, p. 535–538. –ISBN: 978-0-9821489-1-4.</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Zand F., van Beers C.</w:t>
      </w:r>
      <w:r w:rsidRPr="006740E5">
        <w:rPr>
          <w:rFonts w:ascii="Times New Roman" w:hAnsi="Times New Roman"/>
          <w:iCs/>
          <w:sz w:val="24"/>
          <w:szCs w:val="24"/>
        </w:rPr>
        <w:t xml:space="preserve"> Performance Effects of Enterprise Application Software: New Insights into Mediating Role of Innovation, The 13th IBIMA conference on Knowledge Management and Innovation in Advancing Economies, 2009, Marrakech, Marocco November 9–10, 2009, p. 1396–1413. –ISBN: 978-0-9821489-2-1.</w:t>
      </w:r>
    </w:p>
    <w:p w:rsidR="00C66C7D" w:rsidRPr="006740E5" w:rsidRDefault="00C66C7D" w:rsidP="008D7545">
      <w:pPr>
        <w:tabs>
          <w:tab w:val="left" w:pos="-6379"/>
        </w:tabs>
        <w:spacing w:after="0" w:line="240" w:lineRule="auto"/>
        <w:ind w:firstLine="567"/>
        <w:jc w:val="both"/>
        <w:rPr>
          <w:rFonts w:ascii="Times New Roman" w:hAnsi="Times New Roman"/>
          <w:iCs/>
          <w:sz w:val="24"/>
          <w:szCs w:val="24"/>
        </w:rPr>
      </w:pPr>
      <w:r w:rsidRPr="006740E5">
        <w:rPr>
          <w:rFonts w:ascii="Times New Roman" w:hAnsi="Times New Roman"/>
          <w:b/>
          <w:iCs/>
          <w:sz w:val="24"/>
          <w:szCs w:val="24"/>
        </w:rPr>
        <w:t>Ziborova J., Stašys R.</w:t>
      </w:r>
      <w:r w:rsidRPr="006740E5">
        <w:rPr>
          <w:rFonts w:ascii="Times New Roman" w:hAnsi="Times New Roman"/>
          <w:iCs/>
          <w:sz w:val="24"/>
          <w:szCs w:val="24"/>
        </w:rPr>
        <w:t xml:space="preserve"> Elektroninių rinkodaros priemonių naudojimas Lietuvoje, Vadybos mokslas ir studijos – kaimo verslų ir jų infrastruktūros plėtrai. – Kaunas: Akademija, 2009, Nr. 18 (3), p. 82–88. –ISSN 1822–6760.</w:t>
      </w:r>
    </w:p>
    <w:p w:rsidR="00C66C7D" w:rsidRPr="006740E5" w:rsidRDefault="00C66C7D" w:rsidP="00103AC7">
      <w:pPr>
        <w:tabs>
          <w:tab w:val="left" w:pos="-6379"/>
        </w:tabs>
        <w:spacing w:after="0" w:line="240" w:lineRule="auto"/>
        <w:ind w:firstLine="567"/>
        <w:jc w:val="both"/>
        <w:rPr>
          <w:rFonts w:ascii="Times New Roman" w:hAnsi="Times New Roman"/>
          <w:iCs/>
          <w:sz w:val="24"/>
          <w:szCs w:val="24"/>
        </w:rPr>
      </w:pPr>
    </w:p>
    <w:p w:rsidR="004F4814" w:rsidRPr="006740E5" w:rsidRDefault="00C66C7D" w:rsidP="00D97C60">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br w:type="page"/>
      </w:r>
    </w:p>
    <w:p w:rsidR="00C66C7D" w:rsidRPr="006740E5" w:rsidRDefault="00C66C7D" w:rsidP="00D97C60">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b/>
          <w:sz w:val="24"/>
          <w:szCs w:val="24"/>
        </w:rPr>
        <w:lastRenderedPageBreak/>
        <w:t>Tamošiūnaitė R.</w:t>
      </w:r>
      <w:r w:rsidRPr="006740E5">
        <w:rPr>
          <w:rFonts w:ascii="Times New Roman" w:hAnsi="Times New Roman"/>
          <w:sz w:val="24"/>
          <w:szCs w:val="24"/>
        </w:rPr>
        <w:t xml:space="preserve"> </w:t>
      </w:r>
      <w:r w:rsidR="009A15C5" w:rsidRPr="006740E5">
        <w:rPr>
          <w:rFonts w:ascii="Times New Roman" w:hAnsi="Times New Roman"/>
          <w:sz w:val="24"/>
          <w:szCs w:val="24"/>
        </w:rPr>
        <w:t xml:space="preserve">Valstybinės įmonės AB ,,Lietuvos paštas‘‘ konkurencingumo didinimas </w:t>
      </w:r>
      <w:r w:rsidRPr="006740E5">
        <w:rPr>
          <w:rFonts w:ascii="Times New Roman" w:hAnsi="Times New Roman"/>
          <w:sz w:val="24"/>
          <w:szCs w:val="24"/>
        </w:rPr>
        <w:t xml:space="preserve">/ Elektroninio verslo vadybos magistro baigiamasis darbas. Vadovė doc. dr. A. Skaržauskienė. – Vilnius: Mykolo Romerio universitetas, Socialinės informatikos fakultetas, Elektroninio verslo vadybos katedra, 2010. – </w:t>
      </w:r>
      <w:r w:rsidR="003E7EDB" w:rsidRPr="006740E5">
        <w:rPr>
          <w:rFonts w:ascii="Times New Roman" w:hAnsi="Times New Roman"/>
          <w:sz w:val="24"/>
          <w:szCs w:val="24"/>
        </w:rPr>
        <w:t>87</w:t>
      </w:r>
      <w:r w:rsidRPr="006740E5">
        <w:rPr>
          <w:rFonts w:ascii="Times New Roman" w:hAnsi="Times New Roman"/>
          <w:sz w:val="24"/>
          <w:szCs w:val="24"/>
        </w:rPr>
        <w:t xml:space="preserve"> p.</w:t>
      </w:r>
    </w:p>
    <w:p w:rsidR="00C66C7D" w:rsidRPr="006740E5" w:rsidRDefault="00C66C7D" w:rsidP="00633636">
      <w:pPr>
        <w:tabs>
          <w:tab w:val="left" w:pos="-6379"/>
        </w:tabs>
        <w:spacing w:after="0" w:line="360" w:lineRule="auto"/>
        <w:ind w:firstLine="567"/>
        <w:jc w:val="both"/>
        <w:rPr>
          <w:rFonts w:ascii="Times New Roman" w:hAnsi="Times New Roman"/>
          <w:sz w:val="24"/>
          <w:szCs w:val="24"/>
        </w:rPr>
      </w:pPr>
    </w:p>
    <w:p w:rsidR="00C66C7D" w:rsidRPr="006740E5" w:rsidRDefault="00C66C7D" w:rsidP="00633636">
      <w:pPr>
        <w:tabs>
          <w:tab w:val="left" w:pos="-6379"/>
        </w:tabs>
        <w:spacing w:after="0" w:line="360" w:lineRule="auto"/>
        <w:ind w:firstLine="567"/>
        <w:jc w:val="center"/>
        <w:rPr>
          <w:rFonts w:ascii="Times New Roman" w:hAnsi="Times New Roman"/>
          <w:b/>
          <w:sz w:val="24"/>
          <w:szCs w:val="24"/>
        </w:rPr>
      </w:pPr>
      <w:r w:rsidRPr="006740E5">
        <w:rPr>
          <w:rFonts w:ascii="Times New Roman" w:hAnsi="Times New Roman"/>
          <w:b/>
          <w:sz w:val="24"/>
          <w:szCs w:val="24"/>
        </w:rPr>
        <w:t>ANOTACIJA</w:t>
      </w:r>
    </w:p>
    <w:p w:rsidR="00C66C7D" w:rsidRPr="006740E5" w:rsidRDefault="00C66C7D" w:rsidP="00633636">
      <w:pPr>
        <w:tabs>
          <w:tab w:val="left" w:pos="-6379"/>
        </w:tabs>
        <w:spacing w:after="0" w:line="360" w:lineRule="auto"/>
        <w:ind w:firstLine="567"/>
        <w:jc w:val="both"/>
        <w:rPr>
          <w:rFonts w:ascii="Times New Roman" w:hAnsi="Times New Roman"/>
          <w:b/>
          <w:sz w:val="24"/>
          <w:szCs w:val="24"/>
        </w:rPr>
      </w:pPr>
    </w:p>
    <w:p w:rsidR="00C66C7D" w:rsidRPr="006740E5" w:rsidRDefault="00C66C7D" w:rsidP="006C38F9">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t xml:space="preserve">Magistro baigiamajame darbe </w:t>
      </w:r>
      <w:r w:rsidR="0031146F" w:rsidRPr="006740E5">
        <w:rPr>
          <w:rFonts w:ascii="Times New Roman" w:hAnsi="Times New Roman"/>
          <w:sz w:val="24"/>
          <w:szCs w:val="24"/>
        </w:rPr>
        <w:t xml:space="preserve">analizuojama aktuali valstybinių įmonių problema – konkurencingumo didinimas liberalizuojamoje pašto rinkoje taikant naujas žinias. Pirmoje darbo dalyje apibrėžiama naujų žinių sąvoka ir analizuojamas naujų žinių taikymas pašto rinkos liberalizavimo procese. </w:t>
      </w:r>
      <w:r w:rsidR="006C38F9" w:rsidRPr="006740E5">
        <w:rPr>
          <w:rFonts w:ascii="Times New Roman" w:hAnsi="Times New Roman"/>
          <w:sz w:val="24"/>
          <w:szCs w:val="24"/>
        </w:rPr>
        <w:t>Antroje darbo dalyje analizuojama AB ,,Lietuvos paštas‘‘ veikla ir išskiriama būtinybė tradicinio verslo subjektams taikyti elektronines priemones parduodant prekes ir teikiant paslaugas. Trečioje darbo dalyje, apibendrinus empirinio tyrimo rezultatus pateikiamas rekomendacinis teorinis konkurencingų paslaugų teikimo modelis. Siūlomas modelis gali būti pritaikytas ne tik AB ,,Lietuvos paštas‘‘, bet ir kitiems pašto rinkos dalyviams.</w:t>
      </w:r>
    </w:p>
    <w:p w:rsidR="00C66C7D" w:rsidRPr="006740E5" w:rsidRDefault="00C66C7D" w:rsidP="00633636">
      <w:pPr>
        <w:tabs>
          <w:tab w:val="left" w:pos="-6379"/>
        </w:tabs>
        <w:spacing w:after="0" w:line="360" w:lineRule="auto"/>
        <w:ind w:firstLine="567"/>
        <w:jc w:val="both"/>
        <w:rPr>
          <w:rFonts w:ascii="Times New Roman" w:hAnsi="Times New Roman"/>
          <w:sz w:val="24"/>
          <w:szCs w:val="24"/>
        </w:rPr>
      </w:pPr>
    </w:p>
    <w:p w:rsidR="00C66C7D" w:rsidRPr="006740E5" w:rsidRDefault="00C66C7D" w:rsidP="00633636">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b/>
          <w:sz w:val="24"/>
          <w:szCs w:val="24"/>
        </w:rPr>
        <w:t xml:space="preserve">Raktiniai žodžiai: </w:t>
      </w:r>
      <w:r w:rsidRPr="006740E5">
        <w:rPr>
          <w:rFonts w:ascii="Times New Roman" w:hAnsi="Times New Roman"/>
          <w:sz w:val="24"/>
          <w:szCs w:val="24"/>
        </w:rPr>
        <w:t>pašto rinka, e. paslaugos, naujų žinių taikymas, AB ,,Lietuvos paštas‘‘.</w:t>
      </w:r>
    </w:p>
    <w:p w:rsidR="00C66C7D" w:rsidRPr="006740E5" w:rsidRDefault="00C66C7D" w:rsidP="00ED16B7">
      <w:pPr>
        <w:tabs>
          <w:tab w:val="left" w:pos="-6379"/>
        </w:tabs>
        <w:spacing w:after="0"/>
        <w:ind w:firstLine="567"/>
        <w:jc w:val="both"/>
        <w:rPr>
          <w:rFonts w:ascii="Times New Roman" w:hAnsi="Times New Roman"/>
          <w:sz w:val="24"/>
          <w:szCs w:val="24"/>
        </w:rPr>
      </w:pPr>
    </w:p>
    <w:p w:rsidR="004F4814" w:rsidRPr="006740E5" w:rsidRDefault="00C66C7D" w:rsidP="00FC1776">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sz w:val="24"/>
          <w:szCs w:val="24"/>
        </w:rPr>
        <w:br w:type="page"/>
      </w:r>
    </w:p>
    <w:p w:rsidR="00C66C7D" w:rsidRPr="006740E5" w:rsidRDefault="00C66C7D" w:rsidP="00FC1776">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b/>
          <w:sz w:val="24"/>
          <w:szCs w:val="24"/>
        </w:rPr>
        <w:lastRenderedPageBreak/>
        <w:t>Tamošiūnaitė R.</w:t>
      </w:r>
      <w:r w:rsidRPr="006740E5">
        <w:rPr>
          <w:rFonts w:ascii="Times New Roman" w:hAnsi="Times New Roman"/>
          <w:sz w:val="24"/>
          <w:szCs w:val="24"/>
        </w:rPr>
        <w:t xml:space="preserve"> </w:t>
      </w:r>
      <w:r w:rsidR="009A15C5" w:rsidRPr="006740E5">
        <w:rPr>
          <w:rFonts w:ascii="Times New Roman" w:hAnsi="Times New Roman"/>
          <w:sz w:val="24"/>
          <w:szCs w:val="24"/>
        </w:rPr>
        <w:t>Enhancing a c</w:t>
      </w:r>
      <w:r w:rsidRPr="006740E5">
        <w:rPr>
          <w:rFonts w:ascii="Times New Roman" w:hAnsi="Times New Roman"/>
          <w:sz w:val="24"/>
          <w:szCs w:val="24"/>
        </w:rPr>
        <w:t>ompetetive</w:t>
      </w:r>
      <w:r w:rsidR="009A15C5" w:rsidRPr="006740E5">
        <w:rPr>
          <w:rFonts w:ascii="Times New Roman" w:hAnsi="Times New Roman"/>
          <w:sz w:val="24"/>
          <w:szCs w:val="24"/>
        </w:rPr>
        <w:t xml:space="preserve"> ability</w:t>
      </w:r>
      <w:r w:rsidRPr="006740E5">
        <w:rPr>
          <w:rFonts w:ascii="Times New Roman" w:hAnsi="Times New Roman"/>
          <w:sz w:val="24"/>
          <w:szCs w:val="24"/>
        </w:rPr>
        <w:t xml:space="preserve"> of a national </w:t>
      </w:r>
      <w:r w:rsidR="001C22BC" w:rsidRPr="006740E5">
        <w:rPr>
          <w:rFonts w:ascii="Times New Roman" w:hAnsi="Times New Roman"/>
          <w:sz w:val="24"/>
          <w:szCs w:val="24"/>
        </w:rPr>
        <w:t>company</w:t>
      </w:r>
      <w:r w:rsidRPr="006740E5">
        <w:rPr>
          <w:rFonts w:ascii="Times New Roman" w:hAnsi="Times New Roman"/>
          <w:sz w:val="24"/>
          <w:szCs w:val="24"/>
        </w:rPr>
        <w:t xml:space="preserve"> JSC ,,Lietuvos paštas’’ </w:t>
      </w:r>
      <w:r w:rsidR="00D9662F" w:rsidRPr="006740E5">
        <w:rPr>
          <w:rFonts w:ascii="Times New Roman" w:hAnsi="Times New Roman"/>
          <w:sz w:val="24"/>
          <w:szCs w:val="24"/>
        </w:rPr>
        <w:t>/</w:t>
      </w:r>
      <w:r w:rsidRPr="006740E5">
        <w:rPr>
          <w:rFonts w:ascii="Times New Roman" w:hAnsi="Times New Roman"/>
          <w:iCs/>
          <w:sz w:val="24"/>
          <w:szCs w:val="24"/>
        </w:rPr>
        <w:t xml:space="preserve"> Master thesis in Electronic Business Management. Supervisor assoc. prof. dr. A. Skaržauskienė. – Vilnius: Faculty of Social Informatics Mykolas Romeris University, 2010. – </w:t>
      </w:r>
      <w:r w:rsidR="003E7EDB" w:rsidRPr="006740E5">
        <w:rPr>
          <w:rFonts w:ascii="Times New Roman" w:hAnsi="Times New Roman"/>
          <w:iCs/>
          <w:sz w:val="24"/>
          <w:szCs w:val="24"/>
        </w:rPr>
        <w:t>87</w:t>
      </w:r>
      <w:r w:rsidRPr="006740E5">
        <w:rPr>
          <w:rFonts w:ascii="Times New Roman" w:hAnsi="Times New Roman"/>
          <w:iCs/>
          <w:sz w:val="24"/>
          <w:szCs w:val="24"/>
        </w:rPr>
        <w:t xml:space="preserve"> p.</w:t>
      </w:r>
    </w:p>
    <w:p w:rsidR="00C66C7D" w:rsidRPr="006740E5" w:rsidRDefault="00C66C7D" w:rsidP="00FC1776">
      <w:pPr>
        <w:tabs>
          <w:tab w:val="left" w:pos="-6379"/>
        </w:tabs>
        <w:spacing w:after="0" w:line="360" w:lineRule="auto"/>
        <w:ind w:firstLine="567"/>
        <w:rPr>
          <w:rFonts w:ascii="Times New Roman" w:hAnsi="Times New Roman"/>
          <w:iCs/>
          <w:sz w:val="24"/>
          <w:szCs w:val="24"/>
        </w:rPr>
      </w:pPr>
    </w:p>
    <w:p w:rsidR="00C66C7D" w:rsidRPr="006740E5" w:rsidRDefault="00C66C7D" w:rsidP="00FC1776">
      <w:pPr>
        <w:tabs>
          <w:tab w:val="left" w:pos="-6379"/>
        </w:tabs>
        <w:spacing w:after="0" w:line="360" w:lineRule="auto"/>
        <w:ind w:firstLine="567"/>
        <w:jc w:val="center"/>
        <w:rPr>
          <w:rFonts w:ascii="Times New Roman" w:hAnsi="Times New Roman"/>
          <w:b/>
          <w:iCs/>
          <w:sz w:val="24"/>
          <w:szCs w:val="24"/>
        </w:rPr>
      </w:pPr>
      <w:r w:rsidRPr="006740E5">
        <w:rPr>
          <w:rFonts w:ascii="Times New Roman" w:hAnsi="Times New Roman"/>
          <w:b/>
          <w:iCs/>
          <w:sz w:val="24"/>
          <w:szCs w:val="24"/>
        </w:rPr>
        <w:t>ANOTATION</w:t>
      </w:r>
    </w:p>
    <w:p w:rsidR="00C66C7D" w:rsidRPr="006740E5" w:rsidRDefault="00C66C7D" w:rsidP="00FC1776">
      <w:pPr>
        <w:tabs>
          <w:tab w:val="left" w:pos="-6379"/>
        </w:tabs>
        <w:spacing w:after="0" w:line="360" w:lineRule="auto"/>
        <w:ind w:firstLine="567"/>
        <w:jc w:val="center"/>
        <w:rPr>
          <w:rFonts w:ascii="Times New Roman" w:hAnsi="Times New Roman"/>
          <w:b/>
          <w:iCs/>
          <w:sz w:val="24"/>
          <w:szCs w:val="24"/>
        </w:rPr>
      </w:pPr>
    </w:p>
    <w:p w:rsidR="006A3DFD" w:rsidRPr="006740E5" w:rsidRDefault="00942A41" w:rsidP="00633636">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Master</w:t>
      </w:r>
      <w:r w:rsidR="0031146F" w:rsidRPr="006740E5">
        <w:rPr>
          <w:rFonts w:ascii="Times New Roman" w:hAnsi="Times New Roman"/>
          <w:iCs/>
          <w:sz w:val="24"/>
          <w:szCs w:val="24"/>
        </w:rPr>
        <w:t xml:space="preserve"> thesis analyses a current state owened companies’ </w:t>
      </w:r>
      <w:r w:rsidR="0031146F" w:rsidRPr="006740E5">
        <w:rPr>
          <w:rFonts w:ascii="Times New Roman" w:hAnsi="Times New Roman"/>
          <w:sz w:val="24"/>
          <w:szCs w:val="24"/>
        </w:rPr>
        <w:t xml:space="preserve">problem – the increase of the competitiveness of a company while adapting new knowledge in the </w:t>
      </w:r>
      <w:r w:rsidR="001C22BC" w:rsidRPr="006740E5">
        <w:rPr>
          <w:rFonts w:ascii="Times New Roman" w:hAnsi="Times New Roman"/>
          <w:sz w:val="24"/>
          <w:szCs w:val="24"/>
        </w:rPr>
        <w:t>process</w:t>
      </w:r>
      <w:r w:rsidR="0031146F" w:rsidRPr="006740E5">
        <w:rPr>
          <w:rFonts w:ascii="Times New Roman" w:hAnsi="Times New Roman"/>
          <w:sz w:val="24"/>
          <w:szCs w:val="24"/>
        </w:rPr>
        <w:t xml:space="preserve"> of postal market’s liberalization process. </w:t>
      </w:r>
      <w:r w:rsidR="005F194F" w:rsidRPr="006740E5">
        <w:rPr>
          <w:rFonts w:ascii="Times New Roman" w:hAnsi="Times New Roman"/>
          <w:sz w:val="24"/>
          <w:szCs w:val="24"/>
        </w:rPr>
        <w:t>In the first part of the thesis the n</w:t>
      </w:r>
      <w:r w:rsidR="006A3DFD" w:rsidRPr="006740E5">
        <w:rPr>
          <w:rFonts w:ascii="Times New Roman" w:hAnsi="Times New Roman"/>
          <w:iCs/>
          <w:sz w:val="24"/>
          <w:szCs w:val="24"/>
        </w:rPr>
        <w:t xml:space="preserve">ew knowledge </w:t>
      </w:r>
      <w:r w:rsidR="005F194F" w:rsidRPr="006740E5">
        <w:rPr>
          <w:rFonts w:ascii="Times New Roman" w:hAnsi="Times New Roman"/>
          <w:iCs/>
          <w:sz w:val="24"/>
          <w:szCs w:val="24"/>
        </w:rPr>
        <w:t>notion is defined and new knowledge adaption</w:t>
      </w:r>
      <w:r w:rsidR="006A3DFD" w:rsidRPr="006740E5">
        <w:rPr>
          <w:rFonts w:ascii="Times New Roman" w:hAnsi="Times New Roman"/>
          <w:iCs/>
          <w:sz w:val="24"/>
          <w:szCs w:val="24"/>
        </w:rPr>
        <w:t xml:space="preserve"> in the process of liberalization of the postal market</w:t>
      </w:r>
      <w:r w:rsidR="005F194F" w:rsidRPr="006740E5">
        <w:rPr>
          <w:rFonts w:ascii="Times New Roman" w:hAnsi="Times New Roman"/>
          <w:iCs/>
          <w:sz w:val="24"/>
          <w:szCs w:val="24"/>
        </w:rPr>
        <w:t xml:space="preserve"> is analysed. In the second part of the thesis </w:t>
      </w:r>
      <w:r w:rsidR="006A3DFD" w:rsidRPr="006740E5">
        <w:rPr>
          <w:rFonts w:ascii="Times New Roman" w:hAnsi="Times New Roman"/>
          <w:iCs/>
          <w:sz w:val="24"/>
          <w:szCs w:val="24"/>
        </w:rPr>
        <w:t xml:space="preserve">JSC ,,Lietuvos paštas’’ </w:t>
      </w:r>
      <w:r w:rsidR="005F194F" w:rsidRPr="006740E5">
        <w:rPr>
          <w:rFonts w:ascii="Times New Roman" w:hAnsi="Times New Roman"/>
          <w:iCs/>
          <w:sz w:val="24"/>
          <w:szCs w:val="24"/>
        </w:rPr>
        <w:t xml:space="preserve">performance in </w:t>
      </w:r>
      <w:r w:rsidR="006A3DFD" w:rsidRPr="006740E5">
        <w:rPr>
          <w:rFonts w:ascii="Times New Roman" w:hAnsi="Times New Roman"/>
          <w:iCs/>
          <w:sz w:val="24"/>
          <w:szCs w:val="24"/>
        </w:rPr>
        <w:t xml:space="preserve">the process of liberalization of the postal </w:t>
      </w:r>
      <w:r w:rsidR="005F194F" w:rsidRPr="006740E5">
        <w:rPr>
          <w:rFonts w:ascii="Times New Roman" w:hAnsi="Times New Roman"/>
          <w:iCs/>
          <w:sz w:val="24"/>
          <w:szCs w:val="24"/>
        </w:rPr>
        <w:t>market is analysed</w:t>
      </w:r>
      <w:r w:rsidR="006A3DFD" w:rsidRPr="006740E5">
        <w:rPr>
          <w:rFonts w:ascii="Times New Roman" w:hAnsi="Times New Roman"/>
          <w:iCs/>
          <w:sz w:val="24"/>
          <w:szCs w:val="24"/>
        </w:rPr>
        <w:t xml:space="preserve">. The </w:t>
      </w:r>
      <w:r w:rsidR="005F194F" w:rsidRPr="006740E5">
        <w:rPr>
          <w:rFonts w:ascii="Times New Roman" w:hAnsi="Times New Roman"/>
          <w:iCs/>
          <w:sz w:val="24"/>
          <w:szCs w:val="24"/>
        </w:rPr>
        <w:t>organizational pro</w:t>
      </w:r>
      <w:r w:rsidR="0031146F" w:rsidRPr="006740E5">
        <w:rPr>
          <w:rFonts w:ascii="Times New Roman" w:hAnsi="Times New Roman"/>
          <w:iCs/>
          <w:sz w:val="24"/>
          <w:szCs w:val="24"/>
        </w:rPr>
        <w:t>b</w:t>
      </w:r>
      <w:r w:rsidR="006A3DFD" w:rsidRPr="006740E5">
        <w:rPr>
          <w:rFonts w:ascii="Times New Roman" w:hAnsi="Times New Roman"/>
          <w:iCs/>
          <w:sz w:val="24"/>
          <w:szCs w:val="24"/>
        </w:rPr>
        <w:t>l</w:t>
      </w:r>
      <w:r w:rsidR="0031146F" w:rsidRPr="006740E5">
        <w:rPr>
          <w:rFonts w:ascii="Times New Roman" w:hAnsi="Times New Roman"/>
          <w:iCs/>
          <w:sz w:val="24"/>
          <w:szCs w:val="24"/>
        </w:rPr>
        <w:t>e</w:t>
      </w:r>
      <w:r w:rsidR="006A3DFD" w:rsidRPr="006740E5">
        <w:rPr>
          <w:rFonts w:ascii="Times New Roman" w:hAnsi="Times New Roman"/>
          <w:iCs/>
          <w:sz w:val="24"/>
          <w:szCs w:val="24"/>
        </w:rPr>
        <w:t xml:space="preserve">ms of JSC ,,Lietuvos paštas’’ are </w:t>
      </w:r>
      <w:r w:rsidR="00A641E3" w:rsidRPr="006740E5">
        <w:rPr>
          <w:rFonts w:ascii="Times New Roman" w:hAnsi="Times New Roman"/>
          <w:iCs/>
          <w:sz w:val="24"/>
          <w:szCs w:val="24"/>
        </w:rPr>
        <w:t>excluded and the neces</w:t>
      </w:r>
      <w:r w:rsidR="0031146F" w:rsidRPr="006740E5">
        <w:rPr>
          <w:rFonts w:ascii="Times New Roman" w:hAnsi="Times New Roman"/>
          <w:iCs/>
          <w:sz w:val="24"/>
          <w:szCs w:val="24"/>
        </w:rPr>
        <w:t>s</w:t>
      </w:r>
      <w:r w:rsidR="00A641E3" w:rsidRPr="006740E5">
        <w:rPr>
          <w:rFonts w:ascii="Times New Roman" w:hAnsi="Times New Roman"/>
          <w:iCs/>
          <w:sz w:val="24"/>
          <w:szCs w:val="24"/>
        </w:rPr>
        <w:t>ity of goods and services based on electronic means</w:t>
      </w:r>
      <w:r w:rsidR="0031146F" w:rsidRPr="006740E5">
        <w:rPr>
          <w:rFonts w:ascii="Times New Roman" w:hAnsi="Times New Roman"/>
          <w:iCs/>
          <w:sz w:val="24"/>
          <w:szCs w:val="24"/>
        </w:rPr>
        <w:t xml:space="preserve"> in traditional business company</w:t>
      </w:r>
      <w:r w:rsidR="00A641E3" w:rsidRPr="006740E5">
        <w:rPr>
          <w:rFonts w:ascii="Times New Roman" w:hAnsi="Times New Roman"/>
          <w:iCs/>
          <w:sz w:val="24"/>
          <w:szCs w:val="24"/>
        </w:rPr>
        <w:t xml:space="preserve"> </w:t>
      </w:r>
      <w:r w:rsidR="0031146F" w:rsidRPr="006740E5">
        <w:rPr>
          <w:rFonts w:ascii="Times New Roman" w:hAnsi="Times New Roman"/>
          <w:iCs/>
          <w:sz w:val="24"/>
          <w:szCs w:val="24"/>
        </w:rPr>
        <w:t xml:space="preserve">is </w:t>
      </w:r>
      <w:r w:rsidR="00A641E3" w:rsidRPr="006740E5">
        <w:rPr>
          <w:rFonts w:ascii="Times New Roman" w:hAnsi="Times New Roman"/>
          <w:iCs/>
          <w:sz w:val="24"/>
          <w:szCs w:val="24"/>
        </w:rPr>
        <w:t xml:space="preserve">identified. </w:t>
      </w:r>
      <w:r w:rsidR="005F194F" w:rsidRPr="006740E5">
        <w:rPr>
          <w:rFonts w:ascii="Times New Roman" w:hAnsi="Times New Roman"/>
          <w:iCs/>
          <w:sz w:val="24"/>
          <w:szCs w:val="24"/>
        </w:rPr>
        <w:t>In the third part of the thesis, a</w:t>
      </w:r>
      <w:r w:rsidR="00A641E3" w:rsidRPr="006740E5">
        <w:rPr>
          <w:rFonts w:ascii="Times New Roman" w:hAnsi="Times New Roman"/>
          <w:iCs/>
          <w:sz w:val="24"/>
          <w:szCs w:val="24"/>
        </w:rPr>
        <w:t xml:space="preserve">s a result for </w:t>
      </w:r>
      <w:r w:rsidR="00DA2824" w:rsidRPr="006740E5">
        <w:rPr>
          <w:rFonts w:ascii="Times New Roman" w:hAnsi="Times New Roman"/>
          <w:iCs/>
          <w:sz w:val="24"/>
          <w:szCs w:val="24"/>
        </w:rPr>
        <w:t xml:space="preserve">empirical </w:t>
      </w:r>
      <w:r w:rsidR="00A641E3" w:rsidRPr="006740E5">
        <w:rPr>
          <w:rFonts w:ascii="Times New Roman" w:hAnsi="Times New Roman"/>
          <w:iCs/>
          <w:sz w:val="24"/>
          <w:szCs w:val="24"/>
        </w:rPr>
        <w:t>research findings a recom</w:t>
      </w:r>
      <w:r w:rsidR="0031146F" w:rsidRPr="006740E5">
        <w:rPr>
          <w:rFonts w:ascii="Times New Roman" w:hAnsi="Times New Roman"/>
          <w:iCs/>
          <w:sz w:val="24"/>
          <w:szCs w:val="24"/>
        </w:rPr>
        <w:t>m</w:t>
      </w:r>
      <w:r w:rsidR="00A641E3" w:rsidRPr="006740E5">
        <w:rPr>
          <w:rFonts w:ascii="Times New Roman" w:hAnsi="Times New Roman"/>
          <w:iCs/>
          <w:sz w:val="24"/>
          <w:szCs w:val="24"/>
        </w:rPr>
        <w:t xml:space="preserve">endational theoretical model </w:t>
      </w:r>
      <w:r w:rsidR="00BE44B3" w:rsidRPr="006740E5">
        <w:rPr>
          <w:rFonts w:ascii="Times New Roman" w:hAnsi="Times New Roman"/>
          <w:iCs/>
          <w:sz w:val="24"/>
          <w:szCs w:val="24"/>
        </w:rPr>
        <w:t xml:space="preserve">to </w:t>
      </w:r>
      <w:r w:rsidR="0031146F" w:rsidRPr="006740E5">
        <w:rPr>
          <w:rFonts w:ascii="Times New Roman" w:hAnsi="Times New Roman"/>
          <w:iCs/>
          <w:sz w:val="24"/>
          <w:szCs w:val="24"/>
        </w:rPr>
        <w:t>provid</w:t>
      </w:r>
      <w:r w:rsidR="00BE44B3" w:rsidRPr="006740E5">
        <w:rPr>
          <w:rFonts w:ascii="Times New Roman" w:hAnsi="Times New Roman"/>
          <w:iCs/>
          <w:sz w:val="24"/>
          <w:szCs w:val="24"/>
        </w:rPr>
        <w:t xml:space="preserve">e </w:t>
      </w:r>
      <w:r w:rsidR="0031146F" w:rsidRPr="006740E5">
        <w:rPr>
          <w:rFonts w:ascii="Times New Roman" w:hAnsi="Times New Roman"/>
          <w:iCs/>
          <w:sz w:val="24"/>
          <w:szCs w:val="24"/>
        </w:rPr>
        <w:t>competi</w:t>
      </w:r>
      <w:r w:rsidR="00A641E3" w:rsidRPr="006740E5">
        <w:rPr>
          <w:rFonts w:ascii="Times New Roman" w:hAnsi="Times New Roman"/>
          <w:iCs/>
          <w:sz w:val="24"/>
          <w:szCs w:val="24"/>
        </w:rPr>
        <w:t>tive service</w:t>
      </w:r>
      <w:r w:rsidR="0031146F" w:rsidRPr="006740E5">
        <w:rPr>
          <w:rFonts w:ascii="Times New Roman" w:hAnsi="Times New Roman"/>
          <w:iCs/>
          <w:sz w:val="24"/>
          <w:szCs w:val="24"/>
        </w:rPr>
        <w:t>s</w:t>
      </w:r>
      <w:r w:rsidR="00DA2824" w:rsidRPr="006740E5">
        <w:rPr>
          <w:rFonts w:ascii="Times New Roman" w:hAnsi="Times New Roman"/>
          <w:iCs/>
          <w:sz w:val="24"/>
          <w:szCs w:val="24"/>
        </w:rPr>
        <w:t xml:space="preserve"> is presented</w:t>
      </w:r>
      <w:r w:rsidR="00A641E3" w:rsidRPr="006740E5">
        <w:rPr>
          <w:rFonts w:ascii="Times New Roman" w:hAnsi="Times New Roman"/>
          <w:iCs/>
          <w:sz w:val="24"/>
          <w:szCs w:val="24"/>
        </w:rPr>
        <w:t xml:space="preserve">. The suggested model can be adapted not only for the JSC ,,Lietuvos paštas’’ but to all </w:t>
      </w:r>
      <w:r w:rsidR="005F194F" w:rsidRPr="006740E5">
        <w:rPr>
          <w:rFonts w:ascii="Times New Roman" w:hAnsi="Times New Roman"/>
          <w:iCs/>
          <w:sz w:val="24"/>
          <w:szCs w:val="24"/>
        </w:rPr>
        <w:t>participants of postal market.</w:t>
      </w:r>
    </w:p>
    <w:p w:rsidR="0031146F" w:rsidRPr="006740E5" w:rsidRDefault="0031146F" w:rsidP="00633636">
      <w:pPr>
        <w:tabs>
          <w:tab w:val="left" w:pos="-6379"/>
        </w:tabs>
        <w:spacing w:after="0" w:line="360" w:lineRule="auto"/>
        <w:ind w:firstLine="567"/>
        <w:jc w:val="both"/>
        <w:rPr>
          <w:rFonts w:ascii="Times New Roman" w:hAnsi="Times New Roman"/>
          <w:iCs/>
          <w:sz w:val="24"/>
          <w:szCs w:val="24"/>
        </w:rPr>
      </w:pPr>
    </w:p>
    <w:p w:rsidR="00C66C7D" w:rsidRPr="006740E5" w:rsidRDefault="00C66C7D" w:rsidP="00633636">
      <w:pPr>
        <w:tabs>
          <w:tab w:val="left" w:pos="-6379"/>
        </w:tabs>
        <w:spacing w:after="0" w:line="360" w:lineRule="auto"/>
        <w:ind w:firstLine="567"/>
        <w:rPr>
          <w:rFonts w:ascii="Times New Roman" w:hAnsi="Times New Roman"/>
          <w:iCs/>
          <w:sz w:val="24"/>
          <w:szCs w:val="24"/>
        </w:rPr>
      </w:pPr>
      <w:r w:rsidRPr="006740E5">
        <w:rPr>
          <w:rFonts w:ascii="Times New Roman" w:hAnsi="Times New Roman"/>
          <w:b/>
          <w:iCs/>
          <w:sz w:val="24"/>
          <w:szCs w:val="24"/>
        </w:rPr>
        <w:t xml:space="preserve">Keywords: </w:t>
      </w:r>
      <w:r w:rsidRPr="006740E5">
        <w:rPr>
          <w:rFonts w:ascii="Times New Roman" w:hAnsi="Times New Roman"/>
          <w:iCs/>
          <w:sz w:val="24"/>
          <w:szCs w:val="24"/>
        </w:rPr>
        <w:t>postal market, e-services, application of new knowledge, JSC ,,Lietuvos paštas’’.</w:t>
      </w:r>
    </w:p>
    <w:p w:rsidR="00C66C7D" w:rsidRPr="006740E5" w:rsidRDefault="00C66C7D" w:rsidP="00633636">
      <w:pPr>
        <w:tabs>
          <w:tab w:val="left" w:pos="-6379"/>
        </w:tabs>
        <w:spacing w:after="0" w:line="360" w:lineRule="auto"/>
        <w:ind w:firstLine="567"/>
        <w:jc w:val="center"/>
        <w:rPr>
          <w:rFonts w:ascii="Times New Roman" w:hAnsi="Times New Roman"/>
          <w:iCs/>
          <w:sz w:val="24"/>
          <w:szCs w:val="24"/>
        </w:rPr>
      </w:pPr>
    </w:p>
    <w:p w:rsidR="005955E7" w:rsidRPr="006740E5" w:rsidRDefault="00C66C7D" w:rsidP="005955E7">
      <w:pPr>
        <w:tabs>
          <w:tab w:val="left" w:pos="-6379"/>
        </w:tabs>
        <w:spacing w:line="240" w:lineRule="auto"/>
        <w:ind w:firstLine="567"/>
        <w:rPr>
          <w:rFonts w:ascii="Times New Roman" w:hAnsi="Times New Roman"/>
          <w:iCs/>
          <w:sz w:val="24"/>
          <w:szCs w:val="24"/>
        </w:rPr>
      </w:pPr>
      <w:r w:rsidRPr="006740E5">
        <w:rPr>
          <w:rFonts w:ascii="Times New Roman" w:hAnsi="Times New Roman"/>
          <w:iCs/>
          <w:sz w:val="24"/>
          <w:szCs w:val="24"/>
        </w:rPr>
        <w:br w:type="page"/>
      </w:r>
    </w:p>
    <w:p w:rsidR="00C66C7D" w:rsidRPr="006740E5" w:rsidRDefault="00C66C7D" w:rsidP="005955E7">
      <w:pPr>
        <w:tabs>
          <w:tab w:val="left" w:pos="-6379"/>
        </w:tabs>
        <w:spacing w:line="360" w:lineRule="auto"/>
        <w:ind w:firstLine="567"/>
        <w:jc w:val="both"/>
        <w:rPr>
          <w:rFonts w:ascii="Times New Roman" w:hAnsi="Times New Roman"/>
          <w:iCs/>
          <w:sz w:val="24"/>
          <w:szCs w:val="24"/>
        </w:rPr>
      </w:pPr>
      <w:r w:rsidRPr="006740E5">
        <w:rPr>
          <w:rFonts w:ascii="Times New Roman" w:hAnsi="Times New Roman"/>
          <w:b/>
          <w:iCs/>
          <w:sz w:val="24"/>
          <w:szCs w:val="24"/>
        </w:rPr>
        <w:lastRenderedPageBreak/>
        <w:t>Tamošiūnaitė R.</w:t>
      </w:r>
      <w:r w:rsidRPr="006740E5">
        <w:rPr>
          <w:rFonts w:ascii="Times New Roman" w:hAnsi="Times New Roman"/>
          <w:iCs/>
          <w:sz w:val="24"/>
          <w:szCs w:val="24"/>
        </w:rPr>
        <w:t xml:space="preserve"> </w:t>
      </w:r>
      <w:r w:rsidR="009A15C5" w:rsidRPr="006740E5">
        <w:rPr>
          <w:rFonts w:ascii="Times New Roman" w:hAnsi="Times New Roman"/>
          <w:sz w:val="24"/>
          <w:szCs w:val="24"/>
        </w:rPr>
        <w:t>Valstybinės įmonės AB ,,Lietuvos paš</w:t>
      </w:r>
      <w:r w:rsidR="00D9662F" w:rsidRPr="006740E5">
        <w:rPr>
          <w:rFonts w:ascii="Times New Roman" w:hAnsi="Times New Roman"/>
          <w:sz w:val="24"/>
          <w:szCs w:val="24"/>
        </w:rPr>
        <w:t>tas‘‘ konkurencingumo didinimas</w:t>
      </w:r>
      <w:r w:rsidR="009A15C5" w:rsidRPr="006740E5">
        <w:rPr>
          <w:rFonts w:ascii="Times New Roman" w:hAnsi="Times New Roman"/>
          <w:sz w:val="24"/>
          <w:szCs w:val="24"/>
        </w:rPr>
        <w:t xml:space="preserve"> </w:t>
      </w:r>
      <w:r w:rsidRPr="006740E5">
        <w:rPr>
          <w:rFonts w:ascii="Times New Roman" w:hAnsi="Times New Roman"/>
          <w:iCs/>
          <w:sz w:val="24"/>
          <w:szCs w:val="24"/>
        </w:rPr>
        <w:t xml:space="preserve">/ Elektroninio verslo vadybos magistro baigiamasis darbas. Vadovė doc. dr. A. Skaržauskienė. – Vilnius: Mykolo Romerio universitetas, Socialinės informatikos fakultetas, Elektroninio verslo vadybos katedra, 2010. – </w:t>
      </w:r>
      <w:r w:rsidR="003E7EDB" w:rsidRPr="006740E5">
        <w:rPr>
          <w:rFonts w:ascii="Times New Roman" w:hAnsi="Times New Roman"/>
          <w:iCs/>
          <w:sz w:val="24"/>
          <w:szCs w:val="24"/>
        </w:rPr>
        <w:t>87</w:t>
      </w:r>
      <w:r w:rsidRPr="006740E5">
        <w:rPr>
          <w:rFonts w:ascii="Times New Roman" w:hAnsi="Times New Roman"/>
          <w:iCs/>
          <w:sz w:val="24"/>
          <w:szCs w:val="24"/>
        </w:rPr>
        <w:t xml:space="preserve"> p.</w:t>
      </w: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p>
    <w:p w:rsidR="00C66C7D" w:rsidRPr="006740E5" w:rsidRDefault="00C66C7D" w:rsidP="00CC6D8E">
      <w:pPr>
        <w:tabs>
          <w:tab w:val="left" w:pos="-6379"/>
        </w:tabs>
        <w:spacing w:after="0" w:line="360" w:lineRule="auto"/>
        <w:ind w:firstLine="567"/>
        <w:jc w:val="center"/>
        <w:rPr>
          <w:rFonts w:ascii="Times New Roman" w:hAnsi="Times New Roman"/>
          <w:b/>
          <w:iCs/>
          <w:sz w:val="24"/>
          <w:szCs w:val="24"/>
        </w:rPr>
      </w:pPr>
      <w:r w:rsidRPr="006740E5">
        <w:rPr>
          <w:rFonts w:ascii="Times New Roman" w:hAnsi="Times New Roman"/>
          <w:b/>
          <w:iCs/>
          <w:sz w:val="24"/>
          <w:szCs w:val="24"/>
        </w:rPr>
        <w:t>SANTRAUKA</w:t>
      </w:r>
    </w:p>
    <w:p w:rsidR="00C66C7D" w:rsidRPr="006740E5" w:rsidRDefault="00C66C7D" w:rsidP="00CC6D8E">
      <w:pPr>
        <w:tabs>
          <w:tab w:val="left" w:pos="-6379"/>
        </w:tabs>
        <w:spacing w:after="0" w:line="360" w:lineRule="auto"/>
        <w:ind w:firstLine="567"/>
        <w:jc w:val="both"/>
        <w:rPr>
          <w:rFonts w:ascii="Times New Roman" w:hAnsi="Times New Roman"/>
          <w:b/>
          <w:iCs/>
          <w:sz w:val="24"/>
          <w:szCs w:val="24"/>
        </w:rPr>
      </w:pP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Elektroninio verslo vadybos magistro baigiamojo darbo tema yra aktuali, nes nagrinėja </w:t>
      </w:r>
      <w:r w:rsidR="00AD3D58" w:rsidRPr="006740E5">
        <w:rPr>
          <w:rFonts w:ascii="Times New Roman" w:hAnsi="Times New Roman"/>
          <w:iCs/>
          <w:sz w:val="24"/>
          <w:szCs w:val="24"/>
        </w:rPr>
        <w:t xml:space="preserve">modernių metodų taikymą </w:t>
      </w:r>
      <w:r w:rsidR="0004279E">
        <w:rPr>
          <w:rFonts w:ascii="Times New Roman" w:hAnsi="Times New Roman"/>
          <w:iCs/>
          <w:sz w:val="24"/>
          <w:szCs w:val="24"/>
        </w:rPr>
        <w:t>tradici</w:t>
      </w:r>
      <w:r w:rsidR="0004279E" w:rsidRPr="006740E5">
        <w:rPr>
          <w:rFonts w:ascii="Times New Roman" w:hAnsi="Times New Roman"/>
          <w:iCs/>
          <w:sz w:val="24"/>
          <w:szCs w:val="24"/>
        </w:rPr>
        <w:t>nių</w:t>
      </w:r>
      <w:r w:rsidR="00AD3D58" w:rsidRPr="006740E5">
        <w:rPr>
          <w:rFonts w:ascii="Times New Roman" w:hAnsi="Times New Roman"/>
          <w:iCs/>
          <w:sz w:val="24"/>
          <w:szCs w:val="24"/>
        </w:rPr>
        <w:t xml:space="preserve"> paslaugų įmonėse</w:t>
      </w:r>
      <w:r w:rsidR="001330C5" w:rsidRPr="006740E5">
        <w:rPr>
          <w:rFonts w:ascii="Times New Roman" w:hAnsi="Times New Roman"/>
          <w:iCs/>
          <w:sz w:val="24"/>
          <w:szCs w:val="24"/>
        </w:rPr>
        <w:t>.</w:t>
      </w:r>
      <w:r w:rsidR="00AD3D58" w:rsidRPr="006740E5">
        <w:rPr>
          <w:rFonts w:ascii="Times New Roman" w:hAnsi="Times New Roman"/>
          <w:iCs/>
          <w:sz w:val="24"/>
          <w:szCs w:val="24"/>
        </w:rPr>
        <w:t xml:space="preserve"> Š</w:t>
      </w:r>
      <w:r w:rsidRPr="006740E5">
        <w:rPr>
          <w:rFonts w:ascii="Times New Roman" w:hAnsi="Times New Roman"/>
          <w:iCs/>
          <w:sz w:val="24"/>
          <w:szCs w:val="24"/>
        </w:rPr>
        <w:t xml:space="preserve">iame darbe nagrinėjama vienos svarbiausių valstybės funkcijų – ryšių užtikrinimą ir </w:t>
      </w:r>
      <w:r w:rsidR="0004279E" w:rsidRPr="006740E5">
        <w:rPr>
          <w:rFonts w:ascii="Times New Roman" w:hAnsi="Times New Roman"/>
          <w:iCs/>
          <w:sz w:val="24"/>
          <w:szCs w:val="24"/>
        </w:rPr>
        <w:t>palaikymą</w:t>
      </w:r>
      <w:r w:rsidRPr="006740E5">
        <w:rPr>
          <w:rFonts w:ascii="Times New Roman" w:hAnsi="Times New Roman"/>
          <w:iCs/>
          <w:sz w:val="24"/>
          <w:szCs w:val="24"/>
        </w:rPr>
        <w:t xml:space="preserve"> – teikiančios įmonės, AB ,,Lietuvos paštas‘‘ veikla. </w:t>
      </w:r>
      <w:r w:rsidR="001330C5" w:rsidRPr="006740E5">
        <w:rPr>
          <w:rFonts w:ascii="Times New Roman" w:hAnsi="Times New Roman"/>
          <w:iCs/>
          <w:sz w:val="24"/>
          <w:szCs w:val="24"/>
        </w:rPr>
        <w:t>A</w:t>
      </w:r>
      <w:r w:rsidRPr="006740E5">
        <w:rPr>
          <w:rFonts w:ascii="Times New Roman" w:hAnsi="Times New Roman"/>
          <w:iCs/>
          <w:sz w:val="24"/>
          <w:szCs w:val="24"/>
        </w:rPr>
        <w:t>rtėjant visiškam pašto rinkos liberalizavimui, valstybinis pašto paslaugų teikėjas nesugeba prisitaikyti prie naujų rinkos sąlygų.</w:t>
      </w:r>
    </w:p>
    <w:p w:rsidR="00AD3D58" w:rsidRPr="006740E5" w:rsidRDefault="00F41309"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bCs/>
          <w:sz w:val="24"/>
          <w:szCs w:val="24"/>
        </w:rPr>
        <w:t>Mokslinė p</w:t>
      </w:r>
      <w:r w:rsidR="00AD3D58" w:rsidRPr="006740E5">
        <w:rPr>
          <w:rFonts w:ascii="Times New Roman" w:eastAsia="EUAlbertina-Regular-Identity-H" w:hAnsi="Times New Roman"/>
          <w:bCs/>
          <w:sz w:val="24"/>
          <w:szCs w:val="24"/>
        </w:rPr>
        <w:t>roblema – kaip sustiprinti įmonės konkurencingumą taikant naujas žinias pašto sektoriuje liberalėjančioje rinkoje?</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Tyrimo objektas – naujų žinių taikymas valstybinio pašto paslaugų teikėjui, valstybinei įmonei AB ,,Lietuvos paštas’’ liberalėjančioje rinkoje.</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Tyrimo tikslas – pritaikius naujas žinias sukurti valstybinio pašto paslaugų teikėjo, valstybinės įmonės AB ,,Lietuvos paštas’’, teorinį paslaugų teikimo modelį, didinantį įmonės konkurencingumą liberalėjančioje rinkoje.</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Tyrimo uždaviniai:</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1. Išanalizuoti naujų žinių kūrimą ir taikymą didinantį įmonių konkurencingumą liberalėjančioje rinkoje.</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2. Įvertinti Lietuvos pašto sektoriaus raidą </w:t>
      </w:r>
      <w:r w:rsidRPr="006740E5">
        <w:rPr>
          <w:rFonts w:ascii="Times New Roman" w:hAnsi="Times New Roman"/>
          <w:sz w:val="24"/>
          <w:szCs w:val="24"/>
          <w:lang w:eastAsia="lt-LT"/>
        </w:rPr>
        <w:t>Europos Sąjungos pašto rinkos kontekste.</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3. Išanalizuoti AB ,,Lietuvos paštas’’ padėtį liberalėjančioje rinkoje, išskirti </w:t>
      </w:r>
      <w:r w:rsidRPr="006740E5">
        <w:rPr>
          <w:rFonts w:ascii="Times New Roman" w:hAnsi="Times New Roman"/>
          <w:sz w:val="24"/>
          <w:szCs w:val="24"/>
          <w:lang w:eastAsia="lt-LT"/>
        </w:rPr>
        <w:t xml:space="preserve">problemines subjekto veiklos sritis ir jų pagrindu </w:t>
      </w:r>
      <w:r w:rsidR="0004279E" w:rsidRPr="006740E5">
        <w:rPr>
          <w:rFonts w:ascii="Times New Roman" w:hAnsi="Times New Roman"/>
          <w:sz w:val="24"/>
          <w:szCs w:val="24"/>
          <w:lang w:eastAsia="lt-LT"/>
        </w:rPr>
        <w:t>atlikti</w:t>
      </w:r>
      <w:r w:rsidRPr="006740E5">
        <w:rPr>
          <w:rFonts w:ascii="Times New Roman" w:hAnsi="Times New Roman"/>
          <w:sz w:val="24"/>
          <w:szCs w:val="24"/>
          <w:lang w:eastAsia="lt-LT"/>
        </w:rPr>
        <w:t xml:space="preserve"> empirinį tyrimą.</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4. Remiantis </w:t>
      </w:r>
      <w:r w:rsidR="0004279E" w:rsidRPr="006740E5">
        <w:rPr>
          <w:rFonts w:ascii="Times New Roman" w:eastAsia="EUAlbertina-Regular-Identity-H" w:hAnsi="Times New Roman"/>
          <w:sz w:val="24"/>
          <w:szCs w:val="24"/>
        </w:rPr>
        <w:t>empirinio</w:t>
      </w:r>
      <w:r w:rsidRPr="006740E5">
        <w:rPr>
          <w:rFonts w:ascii="Times New Roman" w:eastAsia="EUAlbertina-Regular-Identity-H" w:hAnsi="Times New Roman"/>
          <w:sz w:val="24"/>
          <w:szCs w:val="24"/>
        </w:rPr>
        <w:t xml:space="preserve"> tyrimo metu gautais duomenimis palyginti </w:t>
      </w:r>
      <w:r w:rsidR="0004279E" w:rsidRPr="006740E5">
        <w:rPr>
          <w:rFonts w:ascii="Times New Roman" w:eastAsia="EUAlbertina-Regular-Identity-H" w:hAnsi="Times New Roman"/>
          <w:sz w:val="24"/>
          <w:szCs w:val="24"/>
        </w:rPr>
        <w:t>d</w:t>
      </w:r>
      <w:r w:rsidR="0004279E" w:rsidRPr="006740E5">
        <w:rPr>
          <w:rFonts w:ascii="Times New Roman" w:hAnsi="Times New Roman"/>
          <w:sz w:val="24"/>
          <w:szCs w:val="24"/>
        </w:rPr>
        <w:t>abartinėje</w:t>
      </w:r>
      <w:r w:rsidRPr="006740E5">
        <w:rPr>
          <w:rFonts w:ascii="Times New Roman" w:hAnsi="Times New Roman"/>
          <w:sz w:val="24"/>
          <w:szCs w:val="24"/>
        </w:rPr>
        <w:t xml:space="preserve"> Lietuvos pašto rinkoje siūlomas paslaugas tarp viešojo ir privataus sektoriaus pašto paslaugų teikėjų  ir įvertinti </w:t>
      </w:r>
      <w:r w:rsidRPr="006740E5">
        <w:rPr>
          <w:rFonts w:ascii="Times New Roman" w:hAnsi="Times New Roman"/>
          <w:sz w:val="24"/>
          <w:szCs w:val="24"/>
        </w:rPr>
        <w:br/>
        <w:t>AB ,,Lietuvos paštas’’ konkurencingumo galimybes dalyvaujant Lietuvos pašto rinkoje</w:t>
      </w:r>
      <w:r w:rsidRPr="006740E5">
        <w:rPr>
          <w:rFonts w:ascii="Times New Roman" w:eastAsia="EUAlbertina-Regular-Identity-H" w:hAnsi="Times New Roman"/>
          <w:sz w:val="24"/>
          <w:szCs w:val="24"/>
        </w:rPr>
        <w:t>.</w:t>
      </w:r>
    </w:p>
    <w:p w:rsidR="00AD3D58" w:rsidRPr="006740E5" w:rsidRDefault="00AD3D58" w:rsidP="00AD3D58">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5. Sukurti pritaikius naujas žinias sukurti įmonės konkurencingumą didinantį teorinį paslaugų teikimo modelį valstybinei įmonei AB ,,Lietuvos paštas’’ ir išanalizuoti jo aktualumą praktikoje lyginant su Europos Sąjungos analogiškų paslaugų teikėjais liberalėjančioje rinkoje.</w:t>
      </w:r>
    </w:p>
    <w:p w:rsidR="007868A0" w:rsidRPr="006740E5" w:rsidRDefault="00AD3D58" w:rsidP="00AD3D58">
      <w:pPr>
        <w:tabs>
          <w:tab w:val="left" w:pos="-6379"/>
        </w:tabs>
        <w:spacing w:after="0" w:line="360" w:lineRule="auto"/>
        <w:ind w:firstLine="567"/>
        <w:jc w:val="both"/>
        <w:rPr>
          <w:rFonts w:ascii="Times New Roman" w:eastAsia="EUAlbertina-Regular-Identity-H" w:hAnsi="Times New Roman"/>
          <w:iCs/>
          <w:sz w:val="24"/>
          <w:szCs w:val="24"/>
        </w:rPr>
      </w:pPr>
      <w:r w:rsidRPr="006740E5">
        <w:rPr>
          <w:rFonts w:ascii="Times New Roman" w:eastAsia="EUAlbertina-Regular-Identity-H" w:hAnsi="Times New Roman"/>
          <w:iCs/>
          <w:sz w:val="24"/>
          <w:szCs w:val="24"/>
        </w:rPr>
        <w:t xml:space="preserve">Tyrimo metodai. </w:t>
      </w:r>
      <w:r w:rsidRPr="006740E5">
        <w:rPr>
          <w:rFonts w:ascii="Times New Roman" w:eastAsia="EUAlbertina-Regular-Identity-H" w:hAnsi="Times New Roman"/>
          <w:sz w:val="24"/>
          <w:szCs w:val="24"/>
        </w:rPr>
        <w:t xml:space="preserve">Teoriniai duomenų tyrimo metodai: analizė, sintezė, dedukcija </w:t>
      </w:r>
      <w:r w:rsidRPr="006740E5">
        <w:rPr>
          <w:rFonts w:ascii="Times New Roman" w:eastAsia="EUAlbertina-Regular-Identity-H" w:hAnsi="Times New Roman"/>
          <w:sz w:val="24"/>
          <w:szCs w:val="24"/>
        </w:rPr>
        <w:br/>
        <w:t xml:space="preserve">ir apibendrinimo metodas. </w:t>
      </w:r>
      <w:r w:rsidR="007868A0" w:rsidRPr="006740E5">
        <w:rPr>
          <w:rFonts w:ascii="Times New Roman" w:eastAsia="EUAlbertina-Regular-Identity-H" w:hAnsi="Times New Roman"/>
          <w:sz w:val="24"/>
          <w:szCs w:val="24"/>
        </w:rPr>
        <w:t>Empiriniam prielaidų tikrinimui: ekspertinio vertinimo kiekybinė analizė</w:t>
      </w:r>
      <w:r w:rsidR="007868A0" w:rsidRPr="006740E5">
        <w:rPr>
          <w:rFonts w:ascii="Times New Roman" w:eastAsia="EUAlbertina-Regular-Identity-H" w:hAnsi="Times New Roman"/>
          <w:iCs/>
          <w:sz w:val="24"/>
          <w:szCs w:val="24"/>
        </w:rPr>
        <w:t xml:space="preserve">. Ekspertų nuomonė tirta klausimynu, kuris pateiktas analogiškas AB ,,Lietuvos paštas’’ paslaugas </w:t>
      </w:r>
      <w:r w:rsidR="007868A0" w:rsidRPr="006740E5">
        <w:rPr>
          <w:rFonts w:ascii="Times New Roman" w:eastAsia="EUAlbertina-Regular-Identity-H" w:hAnsi="Times New Roman"/>
          <w:iCs/>
          <w:sz w:val="24"/>
          <w:szCs w:val="24"/>
        </w:rPr>
        <w:lastRenderedPageBreak/>
        <w:t xml:space="preserve">teikiantiems Lietuvos pašto sektoriaus atstovams (verslo plėtros vadybininkams) – subjektams, veikiantiems analogiškoje socio-teisinėje </w:t>
      </w:r>
      <w:r w:rsidR="0004279E" w:rsidRPr="006740E5">
        <w:rPr>
          <w:rFonts w:ascii="Times New Roman" w:eastAsia="EUAlbertina-Regular-Identity-H" w:hAnsi="Times New Roman"/>
          <w:iCs/>
          <w:sz w:val="24"/>
          <w:szCs w:val="24"/>
        </w:rPr>
        <w:t>aplinkoje</w:t>
      </w:r>
      <w:r w:rsidR="007868A0" w:rsidRPr="006740E5">
        <w:rPr>
          <w:rFonts w:ascii="Times New Roman" w:eastAsia="EUAlbertina-Regular-Identity-H" w:hAnsi="Times New Roman"/>
          <w:iCs/>
          <w:sz w:val="24"/>
          <w:szCs w:val="24"/>
        </w:rPr>
        <w:t xml:space="preserve"> (liberalizuojamoje pašto rinkoje).</w:t>
      </w:r>
    </w:p>
    <w:p w:rsidR="001330C5" w:rsidRPr="006740E5" w:rsidRDefault="00C66C7D" w:rsidP="001330C5">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 xml:space="preserve">Magistrinio darbo rezultatai. </w:t>
      </w:r>
      <w:r w:rsidR="001330C5" w:rsidRPr="006740E5">
        <w:rPr>
          <w:rFonts w:ascii="Times New Roman" w:hAnsi="Times New Roman"/>
          <w:iCs/>
          <w:sz w:val="24"/>
          <w:szCs w:val="24"/>
        </w:rPr>
        <w:t xml:space="preserve">Atlikus mokslinės literatūros analizę </w:t>
      </w:r>
      <w:r w:rsidR="001330C5" w:rsidRPr="006740E5">
        <w:rPr>
          <w:rFonts w:ascii="Times New Roman" w:hAnsi="Times New Roman"/>
          <w:sz w:val="24"/>
          <w:szCs w:val="24"/>
        </w:rPr>
        <w:t>apibrėžiama naujų žinių sąvoka ir analizuojamas naujų žinių taikymas pašto rinkos liberalizavimo procese</w:t>
      </w:r>
      <w:r w:rsidR="00664F40" w:rsidRPr="006740E5">
        <w:rPr>
          <w:rFonts w:ascii="Times New Roman" w:hAnsi="Times New Roman"/>
          <w:sz w:val="24"/>
          <w:szCs w:val="24"/>
        </w:rPr>
        <w:t>.</w:t>
      </w:r>
      <w:r w:rsidR="001330C5" w:rsidRPr="006740E5">
        <w:rPr>
          <w:rFonts w:ascii="Times New Roman" w:hAnsi="Times New Roman"/>
          <w:sz w:val="24"/>
          <w:szCs w:val="24"/>
        </w:rPr>
        <w:t xml:space="preserve"> </w:t>
      </w:r>
      <w:r w:rsidR="00664F40" w:rsidRPr="006740E5">
        <w:rPr>
          <w:rFonts w:ascii="Times New Roman" w:hAnsi="Times New Roman"/>
          <w:iCs/>
          <w:sz w:val="24"/>
          <w:szCs w:val="24"/>
        </w:rPr>
        <w:t>N</w:t>
      </w:r>
      <w:r w:rsidR="00664F40" w:rsidRPr="006740E5">
        <w:rPr>
          <w:rFonts w:ascii="Times New Roman" w:hAnsi="Times New Roman"/>
          <w:sz w:val="24"/>
          <w:szCs w:val="24"/>
        </w:rPr>
        <w:t xml:space="preserve">aujų žinių taikymo pašto sektoriuje sritis dar labai silpnai tiriama – per pastaruosius 25-erius metus </w:t>
      </w:r>
      <w:r w:rsidR="00AA327E" w:rsidRPr="006740E5">
        <w:rPr>
          <w:rFonts w:ascii="Times New Roman" w:hAnsi="Times New Roman"/>
          <w:sz w:val="24"/>
          <w:szCs w:val="24"/>
        </w:rPr>
        <w:t>publikuoti vos keli tyrimai šia tematika,</w:t>
      </w:r>
      <w:r w:rsidR="00664F40" w:rsidRPr="006740E5">
        <w:rPr>
          <w:rFonts w:ascii="Times New Roman" w:hAnsi="Times New Roman"/>
          <w:sz w:val="24"/>
          <w:szCs w:val="24"/>
        </w:rPr>
        <w:t xml:space="preserve"> nors prakt</w:t>
      </w:r>
      <w:r w:rsidR="00AA327E" w:rsidRPr="006740E5">
        <w:rPr>
          <w:rFonts w:ascii="Times New Roman" w:hAnsi="Times New Roman"/>
          <w:sz w:val="24"/>
          <w:szCs w:val="24"/>
        </w:rPr>
        <w:t>ikoje susidariusios aplinkybės</w:t>
      </w:r>
      <w:r w:rsidR="00664F40" w:rsidRPr="006740E5">
        <w:rPr>
          <w:rFonts w:ascii="Times New Roman" w:hAnsi="Times New Roman"/>
          <w:sz w:val="24"/>
          <w:szCs w:val="24"/>
        </w:rPr>
        <w:t xml:space="preserve">, rodo didelį </w:t>
      </w:r>
      <w:r w:rsidR="00AA327E" w:rsidRPr="006740E5">
        <w:rPr>
          <w:rFonts w:ascii="Times New Roman" w:hAnsi="Times New Roman"/>
          <w:sz w:val="24"/>
          <w:szCs w:val="24"/>
        </w:rPr>
        <w:t>atitinkamų pašto sektoriaus</w:t>
      </w:r>
      <w:r w:rsidR="00664F40" w:rsidRPr="006740E5">
        <w:rPr>
          <w:rFonts w:ascii="Times New Roman" w:hAnsi="Times New Roman"/>
          <w:sz w:val="24"/>
          <w:szCs w:val="24"/>
        </w:rPr>
        <w:t xml:space="preserve"> tyrimų </w:t>
      </w:r>
      <w:r w:rsidR="00AA327E" w:rsidRPr="006740E5">
        <w:rPr>
          <w:rFonts w:ascii="Times New Roman" w:hAnsi="Times New Roman"/>
          <w:sz w:val="24"/>
          <w:szCs w:val="24"/>
        </w:rPr>
        <w:t>poreikį</w:t>
      </w:r>
      <w:r w:rsidR="00664F40" w:rsidRPr="006740E5">
        <w:rPr>
          <w:rFonts w:ascii="Times New Roman" w:hAnsi="Times New Roman"/>
          <w:sz w:val="24"/>
          <w:szCs w:val="24"/>
        </w:rPr>
        <w:t xml:space="preserve">. Išanalizuota </w:t>
      </w:r>
      <w:r w:rsidR="001330C5" w:rsidRPr="006740E5">
        <w:rPr>
          <w:rFonts w:ascii="Times New Roman" w:hAnsi="Times New Roman"/>
          <w:sz w:val="24"/>
          <w:szCs w:val="24"/>
        </w:rPr>
        <w:t xml:space="preserve">AB ,,Lietuvos paštas‘‘ veikla ir </w:t>
      </w:r>
      <w:r w:rsidR="0004279E">
        <w:rPr>
          <w:rFonts w:ascii="Times New Roman" w:hAnsi="Times New Roman"/>
          <w:sz w:val="24"/>
          <w:szCs w:val="24"/>
        </w:rPr>
        <w:t>išskir</w:t>
      </w:r>
      <w:r w:rsidR="0004279E" w:rsidRPr="006740E5">
        <w:rPr>
          <w:rFonts w:ascii="Times New Roman" w:hAnsi="Times New Roman"/>
          <w:sz w:val="24"/>
          <w:szCs w:val="24"/>
        </w:rPr>
        <w:t>ta</w:t>
      </w:r>
      <w:r w:rsidR="001330C5" w:rsidRPr="006740E5">
        <w:rPr>
          <w:rFonts w:ascii="Times New Roman" w:hAnsi="Times New Roman"/>
          <w:sz w:val="24"/>
          <w:szCs w:val="24"/>
        </w:rPr>
        <w:t xml:space="preserve"> būtinybė tradicinio verslo subjektams taikyti elektronines priemones </w:t>
      </w:r>
      <w:r w:rsidR="00664F40" w:rsidRPr="006740E5">
        <w:rPr>
          <w:rFonts w:ascii="Times New Roman" w:hAnsi="Times New Roman"/>
          <w:sz w:val="24"/>
          <w:szCs w:val="24"/>
        </w:rPr>
        <w:t>savo veikloje.</w:t>
      </w:r>
    </w:p>
    <w:p w:rsidR="00AC6EF7" w:rsidRPr="006740E5" w:rsidRDefault="00AC6EF7" w:rsidP="00AC6EF7">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Empirinio tyrimo metu buvo atlikta Lietuvos pašto rinkos padėties analizė ir įvertintas valstybinio pašto paslaugų teikėjo dalyvavimas joje. </w:t>
      </w:r>
      <w:r w:rsidR="00664F40" w:rsidRPr="006740E5">
        <w:rPr>
          <w:rFonts w:ascii="Times New Roman" w:hAnsi="Times New Roman"/>
          <w:sz w:val="24"/>
          <w:szCs w:val="24"/>
        </w:rPr>
        <w:t xml:space="preserve">Apibendrinus empirinio tyrimo rezultatus pateikiamas rekomendacinis teorinis konkurencingų paslaugų teikimo modelis. Modelio aktualumas išanalizuotas Europos Sąjungos universaliųjų pašto paslaugų teikėjų veiklos kontekste. </w:t>
      </w:r>
    </w:p>
    <w:p w:rsidR="001330C5" w:rsidRPr="006740E5" w:rsidRDefault="00C66C7D" w:rsidP="001330C5">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 xml:space="preserve">Išvados. </w:t>
      </w:r>
      <w:r w:rsidR="00664F40" w:rsidRPr="006740E5">
        <w:rPr>
          <w:rFonts w:ascii="Times New Roman" w:hAnsi="Times New Roman"/>
          <w:sz w:val="24"/>
          <w:szCs w:val="24"/>
        </w:rPr>
        <w:t xml:space="preserve">Naujų žinių taikymas – tai tokių subjekto veiklos organizavimo priemonių taikymo procesas, kurios anksčiau nebuvo taikomos atitinkamo subjekto veikloje. </w:t>
      </w:r>
      <w:r w:rsidR="001330C5" w:rsidRPr="006740E5">
        <w:rPr>
          <w:rFonts w:ascii="Times New Roman" w:hAnsi="Times New Roman"/>
          <w:iCs/>
          <w:sz w:val="24"/>
          <w:szCs w:val="24"/>
        </w:rPr>
        <w:t>Naujų žinių taikym</w:t>
      </w:r>
      <w:r w:rsidR="00664F40" w:rsidRPr="006740E5">
        <w:rPr>
          <w:rFonts w:ascii="Times New Roman" w:hAnsi="Times New Roman"/>
          <w:iCs/>
          <w:sz w:val="24"/>
          <w:szCs w:val="24"/>
        </w:rPr>
        <w:t xml:space="preserve">as būtina priemonė siekiant išlikti konkurencingu kintančioje aplinkoje. </w:t>
      </w:r>
      <w:r w:rsidR="0004279E" w:rsidRPr="006740E5">
        <w:rPr>
          <w:rFonts w:ascii="Times New Roman" w:hAnsi="Times New Roman"/>
          <w:sz w:val="24"/>
          <w:szCs w:val="24"/>
        </w:rPr>
        <w:t>Vakarų Europos valstybių ir Lietuvos pašto rinkų libera</w:t>
      </w:r>
      <w:r w:rsidR="0004279E">
        <w:rPr>
          <w:rFonts w:ascii="Times New Roman" w:hAnsi="Times New Roman"/>
          <w:sz w:val="24"/>
          <w:szCs w:val="24"/>
        </w:rPr>
        <w:t>lizavimo teisiniu reglamentavim</w:t>
      </w:r>
      <w:r w:rsidR="0004279E" w:rsidRPr="006740E5">
        <w:rPr>
          <w:rFonts w:ascii="Times New Roman" w:hAnsi="Times New Roman"/>
          <w:sz w:val="24"/>
          <w:szCs w:val="24"/>
        </w:rPr>
        <w:t xml:space="preserve">o lyginamoji analizė atskleidė Lietuvoje vykdomą procesą galima vertinti kaip chaotišką ir lėtą, kuris teisiškai yra vykdomas greičiau nei valstybinis pašto paslaugų teikėjas pajėgia prisitaikyti, todėl rekomenduojamas naujas konkurencingas AB ,,Lietuvos paštas‘‘ paslaugų teikimo modelis. </w:t>
      </w:r>
      <w:r w:rsidRPr="006740E5">
        <w:rPr>
          <w:rFonts w:ascii="Times New Roman" w:hAnsi="Times New Roman"/>
          <w:sz w:val="24"/>
          <w:szCs w:val="24"/>
        </w:rPr>
        <w:t xml:space="preserve">Remiantis atlikto empirinio tyrimo rezultatais siūlomas elektroninėmis paslaugomis paremtas valstybinio pašto paslaugų teikėjo veiklos modelis atitinkantis poreikį prisitaikyti prie kintančių aplinkos sąlygų ir patenkinti vartotojų poreikį teikiant paslaugas klientams priimtiniausiu būdu. </w:t>
      </w:r>
      <w:r w:rsidR="001330C5" w:rsidRPr="006740E5">
        <w:rPr>
          <w:rFonts w:ascii="Times New Roman" w:hAnsi="Times New Roman"/>
          <w:sz w:val="24"/>
          <w:szCs w:val="24"/>
        </w:rPr>
        <w:t>Siūlomas modelis gali būti pritaikytas ne tik AB ,,Lietuvos paštas‘‘, bet ir kitiems pašto rinkos dalyviams.</w:t>
      </w:r>
    </w:p>
    <w:p w:rsidR="00C66C7D" w:rsidRPr="006740E5" w:rsidRDefault="00C66C7D" w:rsidP="00E63514">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Magistrinio darbo apimtis ir struktūra. Šį darbą sudaro: įvadas; 3 dalys: teorinė, empirinė, modeliavimo; išvados. Tyrimas išdėstytas </w:t>
      </w:r>
      <w:r w:rsidR="003E7EDB" w:rsidRPr="006740E5">
        <w:rPr>
          <w:rFonts w:ascii="Times New Roman" w:hAnsi="Times New Roman"/>
          <w:iCs/>
          <w:sz w:val="24"/>
          <w:szCs w:val="24"/>
        </w:rPr>
        <w:t>87</w:t>
      </w:r>
      <w:r w:rsidRPr="006740E5">
        <w:rPr>
          <w:rFonts w:ascii="Times New Roman" w:hAnsi="Times New Roman"/>
          <w:iCs/>
          <w:sz w:val="24"/>
          <w:szCs w:val="24"/>
        </w:rPr>
        <w:t xml:space="preserve"> puslapiuose dalį informacijos pateikiant ją susisteminus </w:t>
      </w:r>
      <w:r w:rsidRPr="006740E5">
        <w:rPr>
          <w:rFonts w:ascii="Times New Roman" w:hAnsi="Times New Roman"/>
          <w:iCs/>
          <w:sz w:val="24"/>
          <w:szCs w:val="24"/>
        </w:rPr>
        <w:br/>
        <w:t xml:space="preserve">į lenteles (25) ir į diagramas bei schemas pateikiamas 22 paveiksluose. Pateikta 1 priedas. Naudotos mokslinės literatūros sąrašą sudaro </w:t>
      </w:r>
      <w:r w:rsidR="001C138E" w:rsidRPr="006740E5">
        <w:rPr>
          <w:rFonts w:ascii="Times New Roman" w:hAnsi="Times New Roman"/>
          <w:iCs/>
          <w:sz w:val="24"/>
          <w:szCs w:val="24"/>
        </w:rPr>
        <w:t>13</w:t>
      </w:r>
      <w:r w:rsidR="008F1031" w:rsidRPr="006740E5">
        <w:rPr>
          <w:rFonts w:ascii="Times New Roman" w:hAnsi="Times New Roman"/>
          <w:iCs/>
          <w:sz w:val="24"/>
          <w:szCs w:val="24"/>
        </w:rPr>
        <w:t>2</w:t>
      </w:r>
      <w:r w:rsidRPr="006740E5">
        <w:rPr>
          <w:rFonts w:ascii="Times New Roman" w:hAnsi="Times New Roman"/>
          <w:iCs/>
          <w:sz w:val="24"/>
          <w:szCs w:val="24"/>
        </w:rPr>
        <w:t xml:space="preserve"> šaltiniai.</w:t>
      </w:r>
    </w:p>
    <w:p w:rsidR="00C66C7D" w:rsidRPr="006740E5" w:rsidRDefault="00C66C7D" w:rsidP="00EE5D85">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Mokslinio darbo rezultatų skelbimas:</w:t>
      </w:r>
    </w:p>
    <w:p w:rsidR="0079222B" w:rsidRPr="006740E5" w:rsidRDefault="0079222B" w:rsidP="0079222B">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sz w:val="24"/>
          <w:szCs w:val="24"/>
          <w:lang w:eastAsia="lt-LT"/>
        </w:rPr>
        <w:t xml:space="preserve">− </w:t>
      </w:r>
      <w:r w:rsidRPr="006740E5">
        <w:rPr>
          <w:rFonts w:ascii="Times New Roman" w:hAnsi="Times New Roman"/>
          <w:iCs/>
          <w:sz w:val="24"/>
          <w:szCs w:val="24"/>
        </w:rPr>
        <w:t xml:space="preserve">R. Tamošiūnaitė. Elektroninių paslaugų veiksnys Lietuvos pašto rinkai. Vilniaus universiteto mokslinė konferencija ,,Informacijos ir komunikacijos vadybos aprėptys šiuolaikinėje organizacijoje: teorija ir praktika‘‘, 2009−11−20 Vilnius. VU KF SMD Konferencijos rinktiniai darbai, 2010, Nr. 1, </w:t>
      </w:r>
      <w:r w:rsidRPr="006740E5">
        <w:rPr>
          <w:rFonts w:ascii="Times New Roman" w:hAnsi="Times New Roman"/>
          <w:iCs/>
          <w:sz w:val="24"/>
          <w:szCs w:val="24"/>
        </w:rPr>
        <w:br/>
        <w:t>p. 82−92. – ISSN: 2029-3267.</w:t>
      </w:r>
    </w:p>
    <w:p w:rsidR="0079222B" w:rsidRPr="006740E5" w:rsidRDefault="0079222B" w:rsidP="0079222B">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 xml:space="preserve">R. Tamošiūnaitė. E. verslo plėtros galimybės Lietuvos pašto sektoriuje. Mykolo Romerio universiteto </w:t>
      </w:r>
      <w:r w:rsidR="009165DC" w:rsidRPr="006740E5">
        <w:rPr>
          <w:rFonts w:ascii="Times New Roman" w:hAnsi="Times New Roman"/>
          <w:iCs/>
          <w:sz w:val="24"/>
          <w:szCs w:val="24"/>
          <w:lang w:eastAsia="lt-LT"/>
        </w:rPr>
        <w:t>studentų</w:t>
      </w:r>
      <w:r w:rsidR="00E73E74" w:rsidRPr="006740E5">
        <w:rPr>
          <w:rFonts w:ascii="Times New Roman" w:hAnsi="Times New Roman"/>
          <w:iCs/>
          <w:sz w:val="24"/>
          <w:szCs w:val="24"/>
          <w:lang w:eastAsia="lt-LT"/>
        </w:rPr>
        <w:t xml:space="preserve"> </w:t>
      </w:r>
      <w:r w:rsidRPr="006740E5">
        <w:rPr>
          <w:rFonts w:ascii="Times New Roman" w:hAnsi="Times New Roman"/>
          <w:iCs/>
          <w:sz w:val="24"/>
          <w:szCs w:val="24"/>
          <w:lang w:eastAsia="lt-LT"/>
        </w:rPr>
        <w:t>mokslinė konferencija ,,Mokslinės minties šventė 2010’’, Kovo 30-31 d., 2010, Vilnius. (pranešimas be straipsnio).</w:t>
      </w:r>
    </w:p>
    <w:p w:rsidR="00FF63D7" w:rsidRPr="006740E5" w:rsidRDefault="0079222B" w:rsidP="00FF63D7">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lastRenderedPageBreak/>
        <w:t xml:space="preserve">− </w:t>
      </w:r>
      <w:r w:rsidRPr="006740E5">
        <w:rPr>
          <w:rFonts w:ascii="Times New Roman" w:hAnsi="Times New Roman"/>
          <w:iCs/>
          <w:sz w:val="24"/>
          <w:szCs w:val="24"/>
          <w:lang w:eastAsia="lt-LT"/>
        </w:rPr>
        <w:t>R. Tamošiūnaitė. Europos Sąjungos pašto paslaugų sektoriaus liberalizavimo procesas ir jo rezultatai. Mykolo Romerio universitetas, tarptautinė mokslinė konferencija ,,Socialinės technologijos’10: iššūkiai</w:t>
      </w:r>
      <w:r w:rsidRPr="006740E5">
        <w:rPr>
          <w:rFonts w:ascii="Times New Roman" w:hAnsi="Times New Roman"/>
          <w:bCs/>
          <w:iCs/>
          <w:sz w:val="24"/>
          <w:szCs w:val="24"/>
          <w:lang w:eastAsia="lt-LT"/>
        </w:rPr>
        <w:t>, galimybės, sprendimai</w:t>
      </w:r>
      <w:r w:rsidRPr="006740E5">
        <w:rPr>
          <w:rFonts w:ascii="Times New Roman" w:hAnsi="Times New Roman"/>
          <w:iCs/>
          <w:sz w:val="24"/>
          <w:szCs w:val="24"/>
          <w:lang w:eastAsia="lt-LT"/>
        </w:rPr>
        <w:t xml:space="preserve">’’, Lapkričio 25-26 d., 2010, Vilnius, </w:t>
      </w:r>
      <w:r w:rsidR="00FF63D7" w:rsidRPr="006740E5">
        <w:rPr>
          <w:rFonts w:ascii="Times New Roman" w:hAnsi="Times New Roman"/>
          <w:iCs/>
          <w:sz w:val="24"/>
          <w:szCs w:val="24"/>
          <w:lang w:eastAsia="lt-LT"/>
        </w:rPr>
        <w:t>p 317-324. – ISBN: 978-9955-19-208-4.</w:t>
      </w:r>
    </w:p>
    <w:p w:rsidR="008A409B" w:rsidRPr="006740E5" w:rsidRDefault="008A409B" w:rsidP="008A409B">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R. Tamošiūnaitė. E. verslo plėtros galimybės Lietuvos pašto sektoriuje. Tarptautinė teisės ir verslo aukštoji mokyklos studentų ir jaunųjų mokslininkų konferencija ,,Verslas studentų akimis’’, Gruodžio 3 d., 2010, Vilnius, p 148-153. – ISBN: 978-9955-869-14-6.</w:t>
      </w:r>
    </w:p>
    <w:p w:rsidR="001163EF" w:rsidRPr="006740E5" w:rsidRDefault="001163EF" w:rsidP="001163EF">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A. Skaržauskienė, </w:t>
      </w:r>
      <w:r w:rsidRPr="006740E5">
        <w:rPr>
          <w:rFonts w:ascii="Times New Roman" w:hAnsi="Times New Roman"/>
          <w:iCs/>
          <w:sz w:val="24"/>
          <w:szCs w:val="24"/>
          <w:lang w:eastAsia="lt-LT"/>
        </w:rPr>
        <w:t xml:space="preserve">R. Tamošiūnaitė. Valstybinių įmonių konkurencingumo didinimas taikant naujas žinias. Lietuvos pašto rinkos galimybės. </w:t>
      </w:r>
      <w:r w:rsidR="00C670C1" w:rsidRPr="006740E5">
        <w:rPr>
          <w:rFonts w:ascii="Times New Roman" w:hAnsi="Times New Roman"/>
          <w:iCs/>
          <w:sz w:val="24"/>
          <w:szCs w:val="24"/>
          <w:lang w:eastAsia="lt-LT"/>
        </w:rPr>
        <w:t>,,Organizacijų vadyba: sisteminiai tyrimai“, − ISSN 1392-1142. (priimtas spausdinimui)</w:t>
      </w:r>
    </w:p>
    <w:p w:rsidR="001163EF" w:rsidRPr="006740E5" w:rsidRDefault="001163EF" w:rsidP="0079222B">
      <w:pPr>
        <w:tabs>
          <w:tab w:val="left" w:pos="-6379"/>
        </w:tabs>
        <w:spacing w:after="0" w:line="360" w:lineRule="auto"/>
        <w:ind w:firstLine="567"/>
        <w:jc w:val="both"/>
        <w:rPr>
          <w:rFonts w:ascii="Times New Roman" w:hAnsi="Times New Roman"/>
          <w:iCs/>
          <w:sz w:val="24"/>
          <w:szCs w:val="24"/>
          <w:lang w:eastAsia="lt-LT"/>
        </w:rPr>
      </w:pP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p>
    <w:p w:rsidR="00AA2490" w:rsidRPr="006740E5" w:rsidRDefault="00C66C7D" w:rsidP="00AA2490">
      <w:pPr>
        <w:tabs>
          <w:tab w:val="left" w:pos="-6379"/>
        </w:tabs>
        <w:spacing w:line="240" w:lineRule="auto"/>
        <w:ind w:firstLine="567"/>
        <w:rPr>
          <w:rFonts w:ascii="Times New Roman" w:hAnsi="Times New Roman"/>
          <w:iCs/>
          <w:sz w:val="24"/>
          <w:szCs w:val="24"/>
        </w:rPr>
      </w:pPr>
      <w:r w:rsidRPr="006740E5">
        <w:rPr>
          <w:rFonts w:ascii="Times New Roman" w:hAnsi="Times New Roman"/>
          <w:iCs/>
          <w:sz w:val="24"/>
          <w:szCs w:val="24"/>
        </w:rPr>
        <w:br w:type="page"/>
      </w:r>
    </w:p>
    <w:p w:rsidR="00C66C7D" w:rsidRPr="006740E5" w:rsidRDefault="00C66C7D" w:rsidP="00AA2490">
      <w:pPr>
        <w:tabs>
          <w:tab w:val="left" w:pos="-6379"/>
        </w:tabs>
        <w:spacing w:line="360" w:lineRule="auto"/>
        <w:ind w:firstLine="567"/>
        <w:jc w:val="both"/>
        <w:rPr>
          <w:rFonts w:ascii="Times New Roman" w:hAnsi="Times New Roman"/>
          <w:iCs/>
          <w:sz w:val="24"/>
          <w:szCs w:val="24"/>
        </w:rPr>
      </w:pPr>
      <w:r w:rsidRPr="006740E5">
        <w:rPr>
          <w:rFonts w:ascii="Times New Roman" w:hAnsi="Times New Roman"/>
          <w:b/>
          <w:sz w:val="24"/>
          <w:szCs w:val="24"/>
        </w:rPr>
        <w:lastRenderedPageBreak/>
        <w:t>Tamošiūnaitė R.</w:t>
      </w:r>
      <w:r w:rsidRPr="006740E5">
        <w:rPr>
          <w:rFonts w:ascii="Times New Roman" w:hAnsi="Times New Roman"/>
          <w:sz w:val="24"/>
          <w:szCs w:val="24"/>
        </w:rPr>
        <w:t xml:space="preserve"> </w:t>
      </w:r>
      <w:r w:rsidR="009A15C5" w:rsidRPr="006740E5">
        <w:rPr>
          <w:rFonts w:ascii="Times New Roman" w:hAnsi="Times New Roman"/>
          <w:sz w:val="24"/>
          <w:szCs w:val="24"/>
        </w:rPr>
        <w:t xml:space="preserve">Enhancing a competetive ability of a national </w:t>
      </w:r>
      <w:r w:rsidR="001C22BC" w:rsidRPr="006740E5">
        <w:rPr>
          <w:rFonts w:ascii="Times New Roman" w:hAnsi="Times New Roman"/>
          <w:sz w:val="24"/>
          <w:szCs w:val="24"/>
        </w:rPr>
        <w:t>company</w:t>
      </w:r>
      <w:r w:rsidR="00D9662F" w:rsidRPr="006740E5">
        <w:rPr>
          <w:rFonts w:ascii="Times New Roman" w:hAnsi="Times New Roman"/>
          <w:sz w:val="24"/>
          <w:szCs w:val="24"/>
        </w:rPr>
        <w:t xml:space="preserve"> JSC ,,Lietuvos paštas’’</w:t>
      </w:r>
      <w:r w:rsidR="009A15C5" w:rsidRPr="006740E5">
        <w:rPr>
          <w:rFonts w:ascii="Times New Roman" w:hAnsi="Times New Roman"/>
          <w:sz w:val="24"/>
          <w:szCs w:val="24"/>
        </w:rPr>
        <w:t xml:space="preserve"> </w:t>
      </w:r>
      <w:r w:rsidRPr="006740E5">
        <w:rPr>
          <w:rFonts w:ascii="Times New Roman" w:hAnsi="Times New Roman"/>
          <w:sz w:val="24"/>
          <w:szCs w:val="24"/>
        </w:rPr>
        <w:t>/</w:t>
      </w:r>
      <w:r w:rsidRPr="006740E5">
        <w:rPr>
          <w:rFonts w:ascii="Times New Roman" w:hAnsi="Times New Roman"/>
          <w:iCs/>
          <w:sz w:val="24"/>
          <w:szCs w:val="24"/>
        </w:rPr>
        <w:t xml:space="preserve"> Master thesis in Electronic Business Management. Supervisor assoc. prof. dr. A. Skaržauskienė. – Vilnius: Faculty of Social Informatics Mykolas Romeris University, 2010. – </w:t>
      </w:r>
      <w:r w:rsidR="003E7EDB" w:rsidRPr="006740E5">
        <w:rPr>
          <w:rFonts w:ascii="Times New Roman" w:hAnsi="Times New Roman"/>
          <w:iCs/>
          <w:sz w:val="24"/>
          <w:szCs w:val="24"/>
        </w:rPr>
        <w:t>87</w:t>
      </w:r>
      <w:r w:rsidRPr="006740E5">
        <w:rPr>
          <w:rFonts w:ascii="Times New Roman" w:hAnsi="Times New Roman"/>
          <w:iCs/>
          <w:sz w:val="24"/>
          <w:szCs w:val="24"/>
        </w:rPr>
        <w:t xml:space="preserve"> p.</w:t>
      </w: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p>
    <w:p w:rsidR="00C66C7D" w:rsidRPr="006740E5" w:rsidRDefault="00C66C7D" w:rsidP="00CC6D8E">
      <w:pPr>
        <w:tabs>
          <w:tab w:val="left" w:pos="-6379"/>
        </w:tabs>
        <w:spacing w:after="0" w:line="360" w:lineRule="auto"/>
        <w:ind w:firstLine="567"/>
        <w:jc w:val="center"/>
        <w:rPr>
          <w:rFonts w:ascii="Times New Roman" w:hAnsi="Times New Roman"/>
          <w:b/>
          <w:iCs/>
          <w:sz w:val="24"/>
          <w:szCs w:val="24"/>
        </w:rPr>
      </w:pPr>
      <w:r w:rsidRPr="006740E5">
        <w:rPr>
          <w:rFonts w:ascii="Times New Roman" w:hAnsi="Times New Roman"/>
          <w:b/>
          <w:iCs/>
          <w:sz w:val="24"/>
          <w:szCs w:val="24"/>
        </w:rPr>
        <w:t>SUMMARY</w:t>
      </w:r>
    </w:p>
    <w:p w:rsidR="00C66C7D" w:rsidRPr="006740E5" w:rsidRDefault="00C66C7D" w:rsidP="00CC6D8E">
      <w:pPr>
        <w:tabs>
          <w:tab w:val="left" w:pos="-6379"/>
        </w:tabs>
        <w:spacing w:after="0" w:line="360" w:lineRule="auto"/>
        <w:ind w:firstLine="567"/>
        <w:jc w:val="both"/>
        <w:rPr>
          <w:rFonts w:ascii="Times New Roman" w:hAnsi="Times New Roman"/>
          <w:b/>
          <w:iCs/>
          <w:sz w:val="24"/>
          <w:szCs w:val="24"/>
        </w:rPr>
      </w:pPr>
    </w:p>
    <w:p w:rsidR="00C66C7D" w:rsidRPr="006740E5" w:rsidRDefault="00942A41"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Master</w:t>
      </w:r>
      <w:r w:rsidR="00C66C7D" w:rsidRPr="006740E5">
        <w:rPr>
          <w:rFonts w:ascii="Times New Roman" w:hAnsi="Times New Roman"/>
          <w:iCs/>
          <w:sz w:val="24"/>
          <w:szCs w:val="24"/>
        </w:rPr>
        <w:t xml:space="preserve"> </w:t>
      </w:r>
      <w:r w:rsidRPr="006740E5">
        <w:rPr>
          <w:rFonts w:ascii="Times New Roman" w:hAnsi="Times New Roman"/>
          <w:iCs/>
          <w:sz w:val="24"/>
          <w:szCs w:val="24"/>
        </w:rPr>
        <w:t>thesis</w:t>
      </w:r>
      <w:r w:rsidR="00C66C7D" w:rsidRPr="006740E5">
        <w:rPr>
          <w:rFonts w:ascii="Times New Roman" w:hAnsi="Times New Roman"/>
          <w:iCs/>
          <w:sz w:val="24"/>
          <w:szCs w:val="24"/>
        </w:rPr>
        <w:t xml:space="preserve"> </w:t>
      </w:r>
      <w:r w:rsidRPr="006740E5">
        <w:rPr>
          <w:rFonts w:ascii="Times New Roman" w:hAnsi="Times New Roman"/>
          <w:iCs/>
          <w:sz w:val="24"/>
          <w:szCs w:val="24"/>
        </w:rPr>
        <w:t xml:space="preserve">analyses the aplication of modern methods in the companies‘ of traditional services. </w:t>
      </w:r>
      <w:r w:rsidR="00354468" w:rsidRPr="006740E5">
        <w:rPr>
          <w:rFonts w:ascii="Times New Roman" w:hAnsi="Times New Roman"/>
          <w:iCs/>
          <w:sz w:val="24"/>
          <w:szCs w:val="24"/>
        </w:rPr>
        <w:t xml:space="preserve">The thesis analyses </w:t>
      </w:r>
      <w:r w:rsidR="009642CC" w:rsidRPr="006740E5">
        <w:rPr>
          <w:rFonts w:ascii="Times New Roman" w:hAnsi="Times New Roman"/>
          <w:iCs/>
          <w:sz w:val="24"/>
          <w:szCs w:val="24"/>
        </w:rPr>
        <w:t xml:space="preserve">the work of the state owned postal service company JSC ,,Lietuvos paštas“ which delivers </w:t>
      </w:r>
      <w:r w:rsidR="00354468" w:rsidRPr="006740E5">
        <w:rPr>
          <w:rFonts w:ascii="Times New Roman" w:hAnsi="Times New Roman"/>
          <w:iCs/>
          <w:sz w:val="24"/>
          <w:szCs w:val="24"/>
        </w:rPr>
        <w:t xml:space="preserve">one of the essential state functions – to vouch and sustain the communication for it‘s citizenry. </w:t>
      </w:r>
      <w:r w:rsidR="00CB4482" w:rsidRPr="006740E5">
        <w:rPr>
          <w:rFonts w:ascii="Times New Roman" w:hAnsi="Times New Roman"/>
          <w:iCs/>
          <w:sz w:val="24"/>
          <w:szCs w:val="24"/>
        </w:rPr>
        <w:t>On the verge of full liberalization of the postal market, Lithuania‘s state owned postal service provider still is not able to adapt it‘s performance effectively to new conditions.</w:t>
      </w:r>
    </w:p>
    <w:p w:rsidR="00F41309" w:rsidRPr="006740E5" w:rsidRDefault="00F41309" w:rsidP="00CC6D8E">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Scientific problem –</w:t>
      </w:r>
      <w:r w:rsidR="00C66C7D" w:rsidRPr="006740E5">
        <w:rPr>
          <w:rFonts w:ascii="Times New Roman" w:hAnsi="Times New Roman"/>
          <w:iCs/>
          <w:sz w:val="24"/>
          <w:szCs w:val="24"/>
        </w:rPr>
        <w:t xml:space="preserve"> </w:t>
      </w:r>
      <w:r w:rsidRPr="006740E5">
        <w:rPr>
          <w:rFonts w:ascii="Times New Roman" w:hAnsi="Times New Roman"/>
          <w:sz w:val="24"/>
          <w:szCs w:val="24"/>
        </w:rPr>
        <w:t xml:space="preserve">how to </w:t>
      </w:r>
      <w:r w:rsidR="00942A41" w:rsidRPr="006740E5">
        <w:rPr>
          <w:rFonts w:ascii="Times New Roman" w:hAnsi="Times New Roman"/>
          <w:sz w:val="24"/>
          <w:szCs w:val="24"/>
        </w:rPr>
        <w:t xml:space="preserve">increase of the competitiveness of a company while adapting new knowledge in the </w:t>
      </w:r>
      <w:r w:rsidR="001C22BC" w:rsidRPr="006740E5">
        <w:rPr>
          <w:rFonts w:ascii="Times New Roman" w:hAnsi="Times New Roman"/>
          <w:sz w:val="24"/>
          <w:szCs w:val="24"/>
        </w:rPr>
        <w:t>process</w:t>
      </w:r>
      <w:r w:rsidR="00942A41" w:rsidRPr="006740E5">
        <w:rPr>
          <w:rFonts w:ascii="Times New Roman" w:hAnsi="Times New Roman"/>
          <w:sz w:val="24"/>
          <w:szCs w:val="24"/>
        </w:rPr>
        <w:t xml:space="preserve"> of postal market’s liberalization process?</w:t>
      </w:r>
    </w:p>
    <w:p w:rsidR="00942A41" w:rsidRPr="006740E5" w:rsidRDefault="00C66C7D" w:rsidP="00CC6D8E">
      <w:pPr>
        <w:tabs>
          <w:tab w:val="left" w:pos="-6379"/>
        </w:tabs>
        <w:spacing w:after="0" w:line="360" w:lineRule="auto"/>
        <w:ind w:firstLine="567"/>
        <w:jc w:val="both"/>
        <w:rPr>
          <w:rFonts w:ascii="Times New Roman" w:hAnsi="Times New Roman"/>
          <w:sz w:val="24"/>
          <w:szCs w:val="24"/>
        </w:rPr>
      </w:pPr>
      <w:r w:rsidRPr="006740E5">
        <w:rPr>
          <w:rFonts w:ascii="Times New Roman" w:hAnsi="Times New Roman"/>
          <w:iCs/>
          <w:sz w:val="24"/>
          <w:szCs w:val="24"/>
        </w:rPr>
        <w:t xml:space="preserve">The </w:t>
      </w:r>
      <w:r w:rsidR="0038301F" w:rsidRPr="006740E5">
        <w:rPr>
          <w:rFonts w:ascii="Times New Roman" w:hAnsi="Times New Roman"/>
          <w:iCs/>
          <w:sz w:val="24"/>
          <w:szCs w:val="24"/>
        </w:rPr>
        <w:t>objective</w:t>
      </w:r>
      <w:r w:rsidRPr="006740E5">
        <w:rPr>
          <w:rFonts w:ascii="Times New Roman" w:hAnsi="Times New Roman"/>
          <w:iCs/>
          <w:sz w:val="24"/>
          <w:szCs w:val="24"/>
        </w:rPr>
        <w:t xml:space="preserve"> of the research</w:t>
      </w:r>
      <w:r w:rsidR="00942A41" w:rsidRPr="006740E5">
        <w:rPr>
          <w:rFonts w:ascii="Times New Roman" w:hAnsi="Times New Roman"/>
          <w:iCs/>
          <w:sz w:val="24"/>
          <w:szCs w:val="24"/>
        </w:rPr>
        <w:t xml:space="preserve"> – new knowledge adaption in public postal service provider, state owned company JSC ,,Lietuvos paštas“ in the process of </w:t>
      </w:r>
      <w:r w:rsidR="00942A41" w:rsidRPr="006740E5">
        <w:rPr>
          <w:rFonts w:ascii="Times New Roman" w:hAnsi="Times New Roman"/>
          <w:sz w:val="24"/>
          <w:szCs w:val="24"/>
        </w:rPr>
        <w:t>postal market’s liberalization.</w:t>
      </w:r>
    </w:p>
    <w:p w:rsidR="0038301F" w:rsidRPr="006740E5" w:rsidRDefault="0038301F"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sz w:val="24"/>
          <w:szCs w:val="24"/>
        </w:rPr>
        <w:t>The purpose of the research – to create a recommendational theoretic</w:t>
      </w:r>
      <w:r w:rsidR="00BB6E78" w:rsidRPr="006740E5">
        <w:rPr>
          <w:rFonts w:ascii="Times New Roman" w:hAnsi="Times New Roman"/>
          <w:sz w:val="24"/>
          <w:szCs w:val="24"/>
        </w:rPr>
        <w:t xml:space="preserve">al model including </w:t>
      </w:r>
      <w:r w:rsidRPr="006740E5">
        <w:rPr>
          <w:rFonts w:ascii="Times New Roman" w:hAnsi="Times New Roman"/>
          <w:sz w:val="24"/>
          <w:szCs w:val="24"/>
        </w:rPr>
        <w:t>new knowledge adaption, for providing services by Lithuania’s national postal service provider.</w:t>
      </w: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Tasks of the research:</w:t>
      </w:r>
    </w:p>
    <w:p w:rsidR="0038301F" w:rsidRPr="006740E5" w:rsidRDefault="0038301F" w:rsidP="0038301F">
      <w:pPr>
        <w:tabs>
          <w:tab w:val="left" w:pos="-6379"/>
        </w:tabs>
        <w:spacing w:after="0" w:line="360" w:lineRule="auto"/>
        <w:ind w:firstLine="567"/>
        <w:jc w:val="both"/>
        <w:rPr>
          <w:rFonts w:ascii="Times New Roman" w:hAnsi="Times New Roman"/>
          <w:sz w:val="24"/>
          <w:szCs w:val="24"/>
        </w:rPr>
      </w:pPr>
      <w:r w:rsidRPr="006740E5">
        <w:rPr>
          <w:rFonts w:ascii="Times New Roman" w:eastAsia="EUAlbertina-Regular-Identity-H" w:hAnsi="Times New Roman"/>
          <w:sz w:val="24"/>
          <w:szCs w:val="24"/>
        </w:rPr>
        <w:t xml:space="preserve">1. To analyse new knowledge creation and adaption in increasing company‘s competetiveness in the </w:t>
      </w:r>
      <w:r w:rsidRPr="006740E5">
        <w:rPr>
          <w:rFonts w:ascii="Times New Roman" w:hAnsi="Times New Roman"/>
          <w:iCs/>
          <w:sz w:val="24"/>
          <w:szCs w:val="24"/>
        </w:rPr>
        <w:t xml:space="preserve">process of </w:t>
      </w:r>
      <w:r w:rsidRPr="006740E5">
        <w:rPr>
          <w:rFonts w:ascii="Times New Roman" w:hAnsi="Times New Roman"/>
          <w:sz w:val="24"/>
          <w:szCs w:val="24"/>
        </w:rPr>
        <w:t>postal market’s liberalization.</w:t>
      </w:r>
    </w:p>
    <w:p w:rsidR="0038301F" w:rsidRPr="006740E5" w:rsidRDefault="0038301F" w:rsidP="0038301F">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2. </w:t>
      </w:r>
      <w:r w:rsidR="00BB6E78" w:rsidRPr="006740E5">
        <w:rPr>
          <w:rFonts w:ascii="Times New Roman" w:eastAsia="EUAlbertina-Regular-Identity-H" w:hAnsi="Times New Roman"/>
          <w:sz w:val="24"/>
          <w:szCs w:val="24"/>
        </w:rPr>
        <w:t>Evaluate Lithuania‘s postal sector‘s changes in process of time in the context of European Union.</w:t>
      </w:r>
    </w:p>
    <w:p w:rsidR="0038301F" w:rsidRPr="006740E5" w:rsidRDefault="0038301F" w:rsidP="0038301F">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3. </w:t>
      </w:r>
      <w:r w:rsidR="00BB6E78" w:rsidRPr="006740E5">
        <w:rPr>
          <w:rFonts w:ascii="Times New Roman" w:eastAsia="EUAlbertina-Regular-Identity-H" w:hAnsi="Times New Roman"/>
          <w:sz w:val="24"/>
          <w:szCs w:val="24"/>
        </w:rPr>
        <w:t xml:space="preserve">To analyse </w:t>
      </w:r>
      <w:r w:rsidR="00BB6E78" w:rsidRPr="006740E5">
        <w:rPr>
          <w:rFonts w:ascii="Times New Roman" w:hAnsi="Times New Roman"/>
          <w:iCs/>
          <w:sz w:val="24"/>
          <w:szCs w:val="24"/>
        </w:rPr>
        <w:t xml:space="preserve">JSC ,,Lietuvos paštas“ position in the </w:t>
      </w:r>
      <w:r w:rsidR="00BB6E78" w:rsidRPr="006740E5">
        <w:rPr>
          <w:rFonts w:ascii="Times New Roman" w:hAnsi="Times New Roman"/>
          <w:sz w:val="24"/>
          <w:szCs w:val="24"/>
        </w:rPr>
        <w:t>period of postal market’s liberalization process, exclude problematical spheres of the performance of the company and performe empirical research based the results of the analysis.</w:t>
      </w:r>
    </w:p>
    <w:p w:rsidR="0038301F" w:rsidRPr="006740E5" w:rsidRDefault="0038301F" w:rsidP="0038301F">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4. </w:t>
      </w:r>
      <w:r w:rsidR="00507471" w:rsidRPr="006740E5">
        <w:rPr>
          <w:rFonts w:ascii="Times New Roman" w:eastAsia="EUAlbertina-Regular-Identity-H" w:hAnsi="Times New Roman"/>
          <w:sz w:val="24"/>
          <w:szCs w:val="24"/>
        </w:rPr>
        <w:t xml:space="preserve">To compare </w:t>
      </w:r>
      <w:r w:rsidR="009C2871" w:rsidRPr="006740E5">
        <w:rPr>
          <w:rFonts w:ascii="Times New Roman" w:eastAsia="EUAlbertina-Regular-Identity-H" w:hAnsi="Times New Roman"/>
          <w:sz w:val="24"/>
          <w:szCs w:val="24"/>
        </w:rPr>
        <w:t xml:space="preserve">current postal services provided by state owned and private postal services‘ providers and to evaluate the competetiveness of </w:t>
      </w:r>
      <w:r w:rsidR="009C2871" w:rsidRPr="006740E5">
        <w:rPr>
          <w:rFonts w:ascii="Times New Roman" w:hAnsi="Times New Roman"/>
          <w:iCs/>
          <w:sz w:val="24"/>
          <w:szCs w:val="24"/>
        </w:rPr>
        <w:t>JSC ,,Lietuvos paštas“ in Lithuania‘s postal market.</w:t>
      </w:r>
    </w:p>
    <w:p w:rsidR="009C2871" w:rsidRPr="006740E5" w:rsidRDefault="0038301F" w:rsidP="009C2871">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5. </w:t>
      </w:r>
      <w:r w:rsidR="009C2871" w:rsidRPr="006740E5">
        <w:rPr>
          <w:rFonts w:ascii="Times New Roman" w:hAnsi="Times New Roman"/>
          <w:sz w:val="24"/>
          <w:szCs w:val="24"/>
        </w:rPr>
        <w:t xml:space="preserve">To create a recommendational theoretical model including new knowledge adaption, for providing services by Lithuania’s national postal service provider which would contribute to the competetiveness of the postal services’ provider and to analyse the model in the context </w:t>
      </w:r>
      <w:r w:rsidR="009C2871" w:rsidRPr="006740E5">
        <w:rPr>
          <w:rFonts w:ascii="Times New Roman" w:eastAsia="EUAlbertina-Regular-Identity-H" w:hAnsi="Times New Roman"/>
          <w:sz w:val="24"/>
          <w:szCs w:val="24"/>
        </w:rPr>
        <w:t>of European Union postal market.</w:t>
      </w:r>
    </w:p>
    <w:p w:rsidR="00BA7042" w:rsidRPr="006740E5" w:rsidRDefault="00BA7042" w:rsidP="009C2871">
      <w:pPr>
        <w:tabs>
          <w:tab w:val="left" w:pos="-6379"/>
        </w:tabs>
        <w:spacing w:after="0" w:line="360" w:lineRule="auto"/>
        <w:ind w:firstLine="567"/>
        <w:jc w:val="both"/>
        <w:rPr>
          <w:rFonts w:ascii="Times New Roman" w:eastAsia="EUAlbertina-Regular-Identity-H" w:hAnsi="Times New Roman"/>
          <w:sz w:val="24"/>
          <w:szCs w:val="24"/>
        </w:rPr>
      </w:pPr>
      <w:r w:rsidRPr="006740E5">
        <w:rPr>
          <w:rFonts w:ascii="Times New Roman" w:eastAsia="EUAlbertina-Regular-Identity-H" w:hAnsi="Times New Roman"/>
          <w:sz w:val="24"/>
          <w:szCs w:val="24"/>
        </w:rPr>
        <w:t xml:space="preserve">Research methods. Theoretical research methods: analysis, sinthesis, deduction, generalization. For empirical investigation of assumpions a qantitive analyses </w:t>
      </w:r>
      <w:r w:rsidR="007868A0" w:rsidRPr="006740E5">
        <w:rPr>
          <w:rFonts w:ascii="Times New Roman" w:eastAsia="EUAlbertina-Regular-Identity-H" w:hAnsi="Times New Roman"/>
          <w:sz w:val="24"/>
          <w:szCs w:val="24"/>
        </w:rPr>
        <w:t>of data collected from the experts</w:t>
      </w:r>
      <w:r w:rsidRPr="006740E5">
        <w:rPr>
          <w:rFonts w:ascii="Times New Roman" w:eastAsia="EUAlbertina-Regular-Identity-H" w:hAnsi="Times New Roman"/>
          <w:sz w:val="24"/>
          <w:szCs w:val="24"/>
        </w:rPr>
        <w:t>.</w:t>
      </w: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Results of the research. </w:t>
      </w:r>
      <w:r w:rsidR="00AA327E" w:rsidRPr="006740E5">
        <w:rPr>
          <w:rFonts w:ascii="Times New Roman" w:hAnsi="Times New Roman"/>
          <w:iCs/>
          <w:sz w:val="24"/>
          <w:szCs w:val="24"/>
        </w:rPr>
        <w:t xml:space="preserve">According accomplished theoretical research a note of new knowledge is defined and new knowledge adaption in the </w:t>
      </w:r>
      <w:r w:rsidR="00AA327E" w:rsidRPr="006740E5">
        <w:rPr>
          <w:rFonts w:ascii="Times New Roman" w:hAnsi="Times New Roman"/>
          <w:sz w:val="24"/>
          <w:szCs w:val="24"/>
        </w:rPr>
        <w:t>process of postal market’s liberalization process</w:t>
      </w:r>
      <w:r w:rsidR="00AA327E" w:rsidRPr="006740E5">
        <w:rPr>
          <w:rFonts w:ascii="Times New Roman" w:hAnsi="Times New Roman"/>
          <w:iCs/>
          <w:sz w:val="24"/>
          <w:szCs w:val="24"/>
        </w:rPr>
        <w:t xml:space="preserve"> is </w:t>
      </w:r>
      <w:r w:rsidR="00AA327E" w:rsidRPr="006740E5">
        <w:rPr>
          <w:rFonts w:ascii="Times New Roman" w:hAnsi="Times New Roman"/>
          <w:iCs/>
          <w:sz w:val="24"/>
          <w:szCs w:val="24"/>
        </w:rPr>
        <w:lastRenderedPageBreak/>
        <w:t xml:space="preserve">analysed. New knowledge adaption in postal services‘ sector is poorly examined – in last 25 years only few researches are presented, although current market conditions shows it;s need. Also, performance of JSC </w:t>
      </w:r>
      <w:r w:rsidR="00AA327E" w:rsidRPr="006740E5">
        <w:rPr>
          <w:rFonts w:ascii="Times New Roman" w:hAnsi="Times New Roman"/>
          <w:sz w:val="24"/>
          <w:szCs w:val="24"/>
        </w:rPr>
        <w:t>,,Lietuvos paštas‘‘</w:t>
      </w:r>
      <w:r w:rsidR="00AA327E" w:rsidRPr="006740E5">
        <w:rPr>
          <w:rFonts w:ascii="Times New Roman" w:hAnsi="Times New Roman"/>
          <w:iCs/>
          <w:sz w:val="24"/>
          <w:szCs w:val="24"/>
        </w:rPr>
        <w:t xml:space="preserve"> is analysed ant the necessity to adapt electronic means in traditional services‘ business organization is identified.</w:t>
      </w:r>
    </w:p>
    <w:p w:rsidR="00AA327E" w:rsidRPr="006740E5" w:rsidRDefault="00AA327E"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To assess Lithuania‘s postal market condition and evaluate </w:t>
      </w:r>
      <w:r w:rsidR="00D9662F" w:rsidRPr="006740E5">
        <w:rPr>
          <w:rFonts w:ascii="Times New Roman" w:hAnsi="Times New Roman"/>
          <w:iCs/>
          <w:sz w:val="24"/>
          <w:szCs w:val="24"/>
        </w:rPr>
        <w:t>national</w:t>
      </w:r>
      <w:r w:rsidRPr="006740E5">
        <w:rPr>
          <w:rFonts w:ascii="Times New Roman" w:hAnsi="Times New Roman"/>
          <w:iCs/>
          <w:sz w:val="24"/>
          <w:szCs w:val="24"/>
        </w:rPr>
        <w:t xml:space="preserve"> postal services‘s provider‘s part in it was executed empirical research.</w:t>
      </w:r>
      <w:r w:rsidR="000F4C11" w:rsidRPr="006740E5">
        <w:rPr>
          <w:rFonts w:ascii="Times New Roman" w:hAnsi="Times New Roman"/>
          <w:iCs/>
          <w:sz w:val="24"/>
          <w:szCs w:val="24"/>
        </w:rPr>
        <w:t xml:space="preserve"> A recommendational theoretical competetive model to provide postal services was created after generalising the results of empirial research. The relevance of the model was examined in the context of European Union‘s universal postals service providers.</w:t>
      </w:r>
    </w:p>
    <w:p w:rsidR="00C66C7D" w:rsidRPr="006740E5" w:rsidRDefault="00942A41" w:rsidP="00BE44B3">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Conclusions</w:t>
      </w:r>
      <w:r w:rsidR="00C66C7D" w:rsidRPr="006740E5">
        <w:rPr>
          <w:rFonts w:ascii="Times New Roman" w:hAnsi="Times New Roman"/>
          <w:iCs/>
          <w:sz w:val="24"/>
          <w:szCs w:val="24"/>
        </w:rPr>
        <w:t xml:space="preserve"> and recommendations. </w:t>
      </w:r>
      <w:r w:rsidR="00561440" w:rsidRPr="006740E5">
        <w:rPr>
          <w:rFonts w:ascii="Times New Roman" w:hAnsi="Times New Roman"/>
          <w:iCs/>
          <w:sz w:val="24"/>
          <w:szCs w:val="24"/>
        </w:rPr>
        <w:t xml:space="preserve">New knowledge adaption is a process when organizational means, which were not used before, are adapted. New knowledge adaption is essential in order to stay competitive in changing enviroment. The comparative analysis of postal market liberalization in Western Europe countries and Lithuania presented the proccess in Lithuania as chaotic and slow, which leagally is faster then Lithuania‘s national postal services‘ provider is able to adapt to. In order to that, a recommendational theoretical model </w:t>
      </w:r>
      <w:r w:rsidR="00BE44B3" w:rsidRPr="006740E5">
        <w:rPr>
          <w:rFonts w:ascii="Times New Roman" w:hAnsi="Times New Roman"/>
          <w:iCs/>
          <w:sz w:val="24"/>
          <w:szCs w:val="24"/>
        </w:rPr>
        <w:t>to  provide</w:t>
      </w:r>
      <w:r w:rsidR="00561440" w:rsidRPr="006740E5">
        <w:rPr>
          <w:rFonts w:ascii="Times New Roman" w:hAnsi="Times New Roman"/>
          <w:iCs/>
          <w:sz w:val="24"/>
          <w:szCs w:val="24"/>
        </w:rPr>
        <w:t xml:space="preserve"> competitive services</w:t>
      </w:r>
      <w:r w:rsidR="00BE44B3" w:rsidRPr="006740E5">
        <w:rPr>
          <w:rFonts w:ascii="Times New Roman" w:hAnsi="Times New Roman"/>
          <w:iCs/>
          <w:sz w:val="24"/>
          <w:szCs w:val="24"/>
        </w:rPr>
        <w:t xml:space="preserve"> fo JSC ,,Lietuvos paštas’’</w:t>
      </w:r>
      <w:r w:rsidR="00561440" w:rsidRPr="006740E5">
        <w:rPr>
          <w:rFonts w:ascii="Times New Roman" w:hAnsi="Times New Roman"/>
          <w:iCs/>
          <w:sz w:val="24"/>
          <w:szCs w:val="24"/>
        </w:rPr>
        <w:t xml:space="preserve"> is presented.</w:t>
      </w:r>
      <w:r w:rsidR="00BE44B3" w:rsidRPr="006740E5">
        <w:rPr>
          <w:rFonts w:ascii="Times New Roman" w:hAnsi="Times New Roman"/>
          <w:iCs/>
          <w:sz w:val="24"/>
          <w:szCs w:val="24"/>
        </w:rPr>
        <w:t xml:space="preserve"> The suggested model based on electronic services corresponds to necessity to adapt to ever changind environment and to satisfy clients’ needs in a way, which is most acceptable. The model might be adapted not only to JSC ,,Lietuvos paštas’’ but to all participants of postal market.</w:t>
      </w:r>
    </w:p>
    <w:p w:rsidR="00C66C7D" w:rsidRPr="006740E5" w:rsidRDefault="00C66C7D" w:rsidP="00CC6D8E">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 xml:space="preserve">The structure and size of work. Master thesis composes of introduction, 3 parts and findings; </w:t>
      </w:r>
      <w:r w:rsidR="003E7EDB" w:rsidRPr="006740E5">
        <w:rPr>
          <w:rFonts w:ascii="Times New Roman" w:hAnsi="Times New Roman"/>
          <w:iCs/>
          <w:sz w:val="24"/>
          <w:szCs w:val="24"/>
        </w:rPr>
        <w:t>87</w:t>
      </w:r>
      <w:r w:rsidRPr="006740E5">
        <w:rPr>
          <w:rFonts w:ascii="Times New Roman" w:hAnsi="Times New Roman"/>
          <w:iCs/>
          <w:sz w:val="24"/>
          <w:szCs w:val="24"/>
        </w:rPr>
        <w:t xml:space="preserve"> pages, 25 tables, 22 figures, and 1 annex. There was uses 1</w:t>
      </w:r>
      <w:r w:rsidR="00AC6EF7" w:rsidRPr="006740E5">
        <w:rPr>
          <w:rFonts w:ascii="Times New Roman" w:hAnsi="Times New Roman"/>
          <w:iCs/>
          <w:sz w:val="24"/>
          <w:szCs w:val="24"/>
        </w:rPr>
        <w:t>3</w:t>
      </w:r>
      <w:r w:rsidR="008F1031" w:rsidRPr="006740E5">
        <w:rPr>
          <w:rFonts w:ascii="Times New Roman" w:hAnsi="Times New Roman"/>
          <w:iCs/>
          <w:sz w:val="24"/>
          <w:szCs w:val="24"/>
        </w:rPr>
        <w:t>2</w:t>
      </w:r>
      <w:r w:rsidRPr="006740E5">
        <w:rPr>
          <w:rFonts w:ascii="Times New Roman" w:hAnsi="Times New Roman"/>
          <w:iCs/>
          <w:sz w:val="24"/>
          <w:szCs w:val="24"/>
        </w:rPr>
        <w:t xml:space="preserve"> source of academic literature.</w:t>
      </w:r>
    </w:p>
    <w:p w:rsidR="00C66C7D" w:rsidRPr="006740E5" w:rsidRDefault="00C66C7D" w:rsidP="00EC4B60">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t>Announcement and publication of master thesis‘s results:</w:t>
      </w:r>
    </w:p>
    <w:p w:rsidR="00C66C7D" w:rsidRPr="006740E5" w:rsidRDefault="00C66C7D" w:rsidP="00EC4B60">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sz w:val="24"/>
          <w:szCs w:val="24"/>
          <w:lang w:eastAsia="lt-LT"/>
        </w:rPr>
        <w:t xml:space="preserve">− </w:t>
      </w:r>
      <w:r w:rsidRPr="006740E5">
        <w:rPr>
          <w:rFonts w:ascii="Times New Roman" w:hAnsi="Times New Roman"/>
          <w:iCs/>
          <w:sz w:val="24"/>
          <w:szCs w:val="24"/>
        </w:rPr>
        <w:t xml:space="preserve">R. Tamošiūnaitė. The impact of e-services on Lithuania‘s postal market. Vilnius Universitety </w:t>
      </w:r>
      <w:r w:rsidRPr="006740E5">
        <w:rPr>
          <w:rFonts w:ascii="Times New Roman" w:hAnsi="Times New Roman"/>
          <w:iCs/>
          <w:sz w:val="24"/>
          <w:szCs w:val="24"/>
          <w:lang w:eastAsia="lt-LT"/>
        </w:rPr>
        <w:t>academic conference</w:t>
      </w:r>
      <w:r w:rsidRPr="006740E5">
        <w:rPr>
          <w:rFonts w:ascii="Times New Roman" w:hAnsi="Times New Roman"/>
          <w:iCs/>
          <w:sz w:val="24"/>
          <w:szCs w:val="24"/>
        </w:rPr>
        <w:t xml:space="preserve"> ,,The range of management of informatikon and communication in a modern organization: theory and practice.‘‘, 2009−11−20 Vilnius. VU KF SMD Selected pappers of conference, 2010, No. 1, p. 82−92. – ISSN: 2029-3267.</w:t>
      </w:r>
    </w:p>
    <w:p w:rsidR="00C66C7D" w:rsidRPr="006740E5" w:rsidRDefault="00C66C7D" w:rsidP="00EC4B60">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R. Tamošiūnaitė. E-business developement possibiliti</w:t>
      </w:r>
      <w:r w:rsidR="00702495" w:rsidRPr="006740E5">
        <w:rPr>
          <w:rFonts w:ascii="Times New Roman" w:hAnsi="Times New Roman"/>
          <w:iCs/>
          <w:sz w:val="24"/>
          <w:szCs w:val="24"/>
          <w:lang w:eastAsia="lt-LT"/>
        </w:rPr>
        <w:t>es in Lithuania‘s postal market</w:t>
      </w:r>
      <w:r w:rsidRPr="006740E5">
        <w:rPr>
          <w:rFonts w:ascii="Times New Roman" w:hAnsi="Times New Roman"/>
          <w:iCs/>
          <w:sz w:val="24"/>
          <w:szCs w:val="24"/>
          <w:lang w:eastAsia="lt-LT"/>
        </w:rPr>
        <w:t>. Mykolas Romeris University student‘s academic conference ,,Mokslinės minties šventė 2010’’, March 30-31 d., 2010, Vilnius. (an announcement without a publication)</w:t>
      </w:r>
      <w:r w:rsidR="00702495" w:rsidRPr="006740E5">
        <w:rPr>
          <w:rFonts w:ascii="Times New Roman" w:hAnsi="Times New Roman"/>
          <w:iCs/>
          <w:sz w:val="24"/>
          <w:szCs w:val="24"/>
          <w:lang w:eastAsia="lt-LT"/>
        </w:rPr>
        <w:t>.</w:t>
      </w:r>
    </w:p>
    <w:p w:rsidR="00702495" w:rsidRPr="006740E5" w:rsidRDefault="00702495" w:rsidP="00FF63D7">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 xml:space="preserve">R. Tamošiūnaitė. The liberalization of postal market of European Union and it‘s results. Mykolas Romeris University international academic conference ,,Social technologies’10: </w:t>
      </w:r>
      <w:r w:rsidRPr="006740E5">
        <w:rPr>
          <w:rFonts w:ascii="Times New Roman" w:hAnsi="Times New Roman"/>
          <w:bCs/>
          <w:iCs/>
          <w:sz w:val="24"/>
          <w:szCs w:val="24"/>
          <w:lang w:eastAsia="lt-LT"/>
        </w:rPr>
        <w:t>challenges, opportunities, solutions</w:t>
      </w:r>
      <w:r w:rsidRPr="006740E5">
        <w:rPr>
          <w:rFonts w:ascii="Times New Roman" w:hAnsi="Times New Roman"/>
          <w:iCs/>
          <w:sz w:val="24"/>
          <w:szCs w:val="24"/>
          <w:lang w:eastAsia="lt-LT"/>
        </w:rPr>
        <w:t>’’, November 25-26</w:t>
      </w:r>
      <w:r w:rsidR="00AC6EF7" w:rsidRPr="006740E5">
        <w:rPr>
          <w:rFonts w:ascii="Times New Roman" w:hAnsi="Times New Roman"/>
          <w:iCs/>
          <w:sz w:val="24"/>
          <w:szCs w:val="24"/>
          <w:lang w:eastAsia="lt-LT"/>
        </w:rPr>
        <w:t xml:space="preserve"> d., 2010, Vilnius, </w:t>
      </w:r>
      <w:r w:rsidR="00FF63D7" w:rsidRPr="006740E5">
        <w:rPr>
          <w:rFonts w:ascii="Times New Roman" w:hAnsi="Times New Roman"/>
          <w:iCs/>
          <w:sz w:val="24"/>
          <w:szCs w:val="24"/>
          <w:lang w:eastAsia="lt-LT"/>
        </w:rPr>
        <w:t>p 317-324. – ISBN: 978-9955-19-208-4</w:t>
      </w:r>
      <w:r w:rsidRPr="006740E5">
        <w:rPr>
          <w:rFonts w:ascii="Times New Roman" w:hAnsi="Times New Roman"/>
          <w:iCs/>
          <w:sz w:val="24"/>
          <w:szCs w:val="24"/>
          <w:lang w:eastAsia="lt-LT"/>
        </w:rPr>
        <w:t>.</w:t>
      </w:r>
    </w:p>
    <w:p w:rsidR="008A409B" w:rsidRPr="006740E5" w:rsidRDefault="001C138E" w:rsidP="008A409B">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 xml:space="preserve">R. Tamošiūnaitė. E-business developement possibilities in Lithuania‘s postal market. International school of law and management. Students‘ and young scientists‘ conference ,,Verslas studentų akimis’’, December 3 d., 2010, Vilnius, </w:t>
      </w:r>
      <w:r w:rsidR="008A409B" w:rsidRPr="006740E5">
        <w:rPr>
          <w:rFonts w:ascii="Times New Roman" w:hAnsi="Times New Roman"/>
          <w:iCs/>
          <w:sz w:val="24"/>
          <w:szCs w:val="24"/>
          <w:lang w:eastAsia="lt-LT"/>
        </w:rPr>
        <w:t>p 148-153. – ISBN: 978-9955-869-14-6.</w:t>
      </w:r>
    </w:p>
    <w:p w:rsidR="001163EF" w:rsidRPr="006740E5" w:rsidRDefault="001163EF" w:rsidP="001163EF">
      <w:pPr>
        <w:tabs>
          <w:tab w:val="left" w:pos="-6379"/>
        </w:tabs>
        <w:spacing w:after="0" w:line="360" w:lineRule="auto"/>
        <w:ind w:firstLine="567"/>
        <w:jc w:val="both"/>
        <w:rPr>
          <w:rFonts w:ascii="Times New Roman" w:hAnsi="Times New Roman"/>
          <w:iCs/>
          <w:sz w:val="24"/>
          <w:szCs w:val="24"/>
          <w:lang w:eastAsia="lt-LT"/>
        </w:rPr>
      </w:pPr>
      <w:r w:rsidRPr="006740E5">
        <w:rPr>
          <w:rFonts w:ascii="Times New Roman" w:hAnsi="Times New Roman"/>
          <w:sz w:val="24"/>
          <w:szCs w:val="24"/>
          <w:lang w:eastAsia="lt-LT"/>
        </w:rPr>
        <w:lastRenderedPageBreak/>
        <w:t xml:space="preserve">− A. Skaržauskienė, </w:t>
      </w:r>
      <w:r w:rsidRPr="006740E5">
        <w:rPr>
          <w:rFonts w:ascii="Times New Roman" w:hAnsi="Times New Roman"/>
          <w:iCs/>
          <w:sz w:val="24"/>
          <w:szCs w:val="24"/>
          <w:lang w:eastAsia="lt-LT"/>
        </w:rPr>
        <w:t>R. Tamošiūnaitė. New knowledge adaption for increasing competetiveness of state owned company. Lithuania‘s postal market possibilities. ,,Management of organ</w:t>
      </w:r>
      <w:r w:rsidR="00C670C1" w:rsidRPr="006740E5">
        <w:rPr>
          <w:rFonts w:ascii="Times New Roman" w:hAnsi="Times New Roman"/>
          <w:iCs/>
          <w:sz w:val="24"/>
          <w:szCs w:val="24"/>
          <w:lang w:eastAsia="lt-LT"/>
        </w:rPr>
        <w:t>izations: systematic research“,</w:t>
      </w:r>
      <w:r w:rsidRPr="006740E5">
        <w:rPr>
          <w:rFonts w:ascii="Times New Roman" w:hAnsi="Times New Roman"/>
          <w:iCs/>
          <w:sz w:val="24"/>
          <w:szCs w:val="24"/>
          <w:lang w:eastAsia="lt-LT"/>
        </w:rPr>
        <w:t xml:space="preserve"> </w:t>
      </w:r>
      <w:r w:rsidRPr="006740E5">
        <w:rPr>
          <w:rFonts w:ascii="Times New Roman" w:hAnsi="Times New Roman"/>
          <w:sz w:val="24"/>
          <w:szCs w:val="24"/>
          <w:lang w:eastAsia="lt-LT"/>
        </w:rPr>
        <w:t xml:space="preserve">− </w:t>
      </w:r>
      <w:r w:rsidRPr="006740E5">
        <w:rPr>
          <w:rFonts w:ascii="Times New Roman" w:hAnsi="Times New Roman"/>
          <w:iCs/>
          <w:sz w:val="24"/>
          <w:szCs w:val="24"/>
          <w:lang w:eastAsia="lt-LT"/>
        </w:rPr>
        <w:t>ISSN 1392-1142. (accepted for publishing)</w:t>
      </w:r>
    </w:p>
    <w:p w:rsidR="00C66C7D" w:rsidRPr="006740E5" w:rsidRDefault="00C66C7D" w:rsidP="00BA7042">
      <w:pPr>
        <w:tabs>
          <w:tab w:val="left" w:pos="-6379"/>
        </w:tabs>
        <w:spacing w:after="0" w:line="360" w:lineRule="auto"/>
        <w:ind w:firstLine="567"/>
        <w:jc w:val="both"/>
        <w:rPr>
          <w:rFonts w:ascii="Times New Roman" w:hAnsi="Times New Roman"/>
          <w:iCs/>
          <w:sz w:val="24"/>
          <w:szCs w:val="24"/>
        </w:rPr>
      </w:pPr>
      <w:r w:rsidRPr="006740E5">
        <w:rPr>
          <w:rFonts w:ascii="Times New Roman" w:hAnsi="Times New Roman"/>
          <w:iCs/>
          <w:sz w:val="24"/>
          <w:szCs w:val="24"/>
        </w:rPr>
        <w:br w:type="page"/>
      </w:r>
    </w:p>
    <w:p w:rsidR="00C66C7D" w:rsidRPr="006740E5" w:rsidRDefault="00C66C7D" w:rsidP="009A15C5">
      <w:pPr>
        <w:jc w:val="center"/>
        <w:rPr>
          <w:rFonts w:ascii="Times New Roman" w:hAnsi="Times New Roman"/>
          <w:b/>
          <w:sz w:val="24"/>
          <w:szCs w:val="24"/>
        </w:rPr>
      </w:pPr>
      <w:bookmarkStart w:id="9" w:name="_Toc248397774"/>
      <w:r w:rsidRPr="006740E5">
        <w:rPr>
          <w:rFonts w:ascii="Times New Roman" w:hAnsi="Times New Roman"/>
          <w:b/>
          <w:sz w:val="24"/>
          <w:szCs w:val="24"/>
        </w:rPr>
        <w:lastRenderedPageBreak/>
        <w:t>PRIEDAI</w:t>
      </w:r>
      <w:bookmarkEnd w:id="9"/>
    </w:p>
    <w:p w:rsidR="00C66C7D" w:rsidRPr="006740E5" w:rsidRDefault="00C66C7D" w:rsidP="0022425B">
      <w:pPr>
        <w:tabs>
          <w:tab w:val="left" w:pos="-6379"/>
        </w:tabs>
        <w:spacing w:after="0" w:line="360" w:lineRule="auto"/>
        <w:ind w:firstLine="567"/>
        <w:rPr>
          <w:rFonts w:ascii="Times New Roman" w:hAnsi="Times New Roman"/>
          <w:iCs/>
          <w:sz w:val="24"/>
          <w:szCs w:val="24"/>
        </w:rPr>
      </w:pPr>
      <w:r w:rsidRPr="006740E5">
        <w:rPr>
          <w:rFonts w:ascii="Times New Roman" w:hAnsi="Times New Roman"/>
          <w:b/>
          <w:iCs/>
          <w:sz w:val="24"/>
          <w:szCs w:val="24"/>
        </w:rPr>
        <w:t>1 priedas.</w:t>
      </w:r>
      <w:r w:rsidRPr="006740E5">
        <w:rPr>
          <w:rFonts w:ascii="Times New Roman" w:hAnsi="Times New Roman"/>
          <w:iCs/>
          <w:sz w:val="24"/>
          <w:szCs w:val="24"/>
        </w:rPr>
        <w:t xml:space="preserve"> Apklausos anketa</w:t>
      </w: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r w:rsidRPr="006740E5">
        <w:rPr>
          <w:rFonts w:ascii="Times New Roman" w:hAnsi="Times New Roman"/>
          <w:sz w:val="24"/>
          <w:szCs w:val="24"/>
          <w:lang w:eastAsia="lt-LT"/>
        </w:rPr>
        <w:t>Sveiki,</w:t>
      </w: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r w:rsidRPr="006740E5">
        <w:rPr>
          <w:rFonts w:ascii="Times New Roman" w:hAnsi="Times New Roman"/>
          <w:sz w:val="24"/>
          <w:szCs w:val="24"/>
          <w:lang w:eastAsia="lt-LT"/>
        </w:rPr>
        <w:t>Esu Rūta Tamošiūnaitė, Mykolo Romerio universiteto magistrantė, šis tyrimas yra mano magistro baigiamojo darbo dalis.</w:t>
      </w: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r w:rsidRPr="006740E5">
        <w:rPr>
          <w:rFonts w:ascii="Times New Roman" w:hAnsi="Times New Roman"/>
          <w:sz w:val="24"/>
          <w:szCs w:val="24"/>
          <w:lang w:eastAsia="lt-LT"/>
        </w:rPr>
        <w:t>Apie tyrimą:</w:t>
      </w:r>
    </w:p>
    <w:p w:rsidR="00C66C7D" w:rsidRPr="006740E5" w:rsidRDefault="00C66C7D" w:rsidP="0022425B">
      <w:pPr>
        <w:tabs>
          <w:tab w:val="left" w:pos="-6379"/>
        </w:tabs>
        <w:spacing w:after="0" w:line="240" w:lineRule="auto"/>
        <w:ind w:firstLine="567"/>
        <w:jc w:val="both"/>
        <w:rPr>
          <w:rFonts w:ascii="Times New Roman" w:hAnsi="Times New Roman"/>
          <w:sz w:val="24"/>
          <w:szCs w:val="24"/>
          <w:lang w:eastAsia="lt-LT"/>
        </w:rPr>
      </w:pPr>
      <w:r w:rsidRPr="006740E5">
        <w:rPr>
          <w:rFonts w:ascii="Times New Roman" w:hAnsi="Times New Roman"/>
          <w:i/>
          <w:sz w:val="24"/>
          <w:szCs w:val="24"/>
          <w:lang w:eastAsia="lt-LT"/>
        </w:rPr>
        <w:t>Valstybinė įmonė AB ,,Lietuvos paštas’’ užima didelę dalį pašto ir pasiuntinių paslaugų rinkos. Pagal tai kokią dalį rinkos užimą, šios įmonės pelningumas nėra adekvatus. Šiuo tyrimu siekiama išanalizuoti įmonės AB ,,Lietuvos paštas’’ privatizavimo galimybes. Tuo tikslu apklausiami potencialūs įmonės akcijų pirkėjai</w:t>
      </w:r>
      <w:r w:rsidRPr="006740E5">
        <w:rPr>
          <w:rFonts w:ascii="Times New Roman" w:hAnsi="Times New Roman"/>
          <w:sz w:val="24"/>
          <w:szCs w:val="24"/>
          <w:lang w:eastAsia="lt-LT"/>
        </w:rPr>
        <w:t>.</w:t>
      </w:r>
    </w:p>
    <w:p w:rsidR="00C66C7D" w:rsidRPr="006740E5" w:rsidRDefault="00C66C7D" w:rsidP="0022425B">
      <w:pPr>
        <w:tabs>
          <w:tab w:val="left" w:pos="-6379"/>
        </w:tabs>
        <w:spacing w:after="0" w:line="240" w:lineRule="auto"/>
        <w:ind w:firstLine="567"/>
        <w:jc w:val="both"/>
        <w:rPr>
          <w:rFonts w:ascii="Times New Roman" w:hAnsi="Times New Roman"/>
          <w:sz w:val="24"/>
          <w:szCs w:val="24"/>
          <w:lang w:eastAsia="lt-LT"/>
        </w:rPr>
      </w:pPr>
    </w:p>
    <w:p w:rsidR="00C66C7D" w:rsidRPr="006740E5" w:rsidRDefault="00C66C7D" w:rsidP="0022425B">
      <w:pPr>
        <w:tabs>
          <w:tab w:val="left" w:pos="-6379"/>
        </w:tabs>
        <w:spacing w:after="0" w:line="240" w:lineRule="auto"/>
        <w:ind w:firstLine="567"/>
        <w:rPr>
          <w:rFonts w:ascii="Times New Roman" w:hAnsi="Times New Roman"/>
          <w:sz w:val="24"/>
          <w:szCs w:val="24"/>
          <w:lang w:eastAsia="lt-LT"/>
        </w:rPr>
      </w:pPr>
      <w:r w:rsidRPr="006740E5">
        <w:rPr>
          <w:rFonts w:ascii="Times New Roman" w:hAnsi="Times New Roman"/>
          <w:sz w:val="24"/>
          <w:szCs w:val="24"/>
          <w:lang w:eastAsia="lt-LT"/>
        </w:rPr>
        <w:t xml:space="preserve"> Į klausimus pasirinkite </w:t>
      </w:r>
      <w:r w:rsidRPr="006740E5">
        <w:rPr>
          <w:rFonts w:ascii="Times New Roman" w:hAnsi="Times New Roman"/>
          <w:sz w:val="24"/>
          <w:szCs w:val="24"/>
          <w:u w:val="single"/>
          <w:lang w:eastAsia="lt-LT"/>
        </w:rPr>
        <w:t>vieną tinkamiausią atsakymą</w:t>
      </w:r>
      <w:r w:rsidRPr="006740E5">
        <w:rPr>
          <w:rFonts w:ascii="Times New Roman" w:hAnsi="Times New Roman"/>
          <w:sz w:val="24"/>
          <w:szCs w:val="24"/>
          <w:lang w:eastAsia="lt-LT"/>
        </w:rPr>
        <w:t>. Jei galimi keli – tai nurodyta šalia klausimo.</w:t>
      </w:r>
    </w:p>
    <w:p w:rsidR="00C66C7D" w:rsidRPr="006740E5" w:rsidRDefault="00C66C7D" w:rsidP="0022425B">
      <w:pPr>
        <w:tabs>
          <w:tab w:val="left" w:pos="-6379"/>
        </w:tabs>
        <w:spacing w:before="100" w:beforeAutospacing="1" w:after="100" w:afterAutospacing="1" w:line="240" w:lineRule="auto"/>
        <w:ind w:firstLine="567"/>
        <w:rPr>
          <w:rFonts w:ascii="Times New Roman" w:hAnsi="Times New Roman"/>
          <w:sz w:val="24"/>
          <w:szCs w:val="24"/>
          <w:lang w:eastAsia="lt-LT"/>
        </w:rPr>
      </w:pPr>
      <w:r w:rsidRPr="006740E5">
        <w:rPr>
          <w:rFonts w:ascii="Times New Roman" w:hAnsi="Times New Roman"/>
          <w:b/>
          <w:bCs/>
          <w:sz w:val="24"/>
          <w:szCs w:val="24"/>
          <w:lang w:eastAsia="lt-LT"/>
        </w:rPr>
        <w:t>Apklausos metu gauta informacija bus apdorojama anonimiškai ir analizuojami TIK apibendrinti duomenys.</w:t>
      </w: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Jūsų įmonę domintų AB Lietuvos pašto akcijų įsigijimas privatizavimo atveju?</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bet tik tuo atveju, jei būtų atlikti kosmetiniai patobulinimai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bet tik tuo atveju, jei būtų atliktos esminės permainos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w:t>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Kokias Jūsų manymu paviršutiniškas permainas reikėtų atlikti įmonėje AB ,,Lietuvos paštas’’?</w:t>
      </w:r>
    </w:p>
    <w:p w:rsidR="00C66C7D" w:rsidRPr="006740E5" w:rsidRDefault="00C66C7D" w:rsidP="0022425B">
      <w:pPr>
        <w:tabs>
          <w:tab w:val="left" w:pos="-6379"/>
          <w:tab w:val="left" w:pos="284"/>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Atnaujinti darbuotojų motyvacijos sistemą</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Padidinti reklamos mastus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Atnaujinti interneto svetainę</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Kokias Jūsų manymu esmines permainas reikėtų atlikti įmonėje AB ,,Lietuvos paštas’’?</w:t>
      </w:r>
    </w:p>
    <w:p w:rsidR="00C66C7D" w:rsidRPr="006740E5" w:rsidRDefault="00C66C7D" w:rsidP="0022425B">
      <w:pPr>
        <w:tabs>
          <w:tab w:val="left" w:pos="-6379"/>
          <w:tab w:val="left" w:pos="284"/>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Darbo organizavimą</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Paslaugų organizavimą</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Rinkodaros sistemą</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s>
        <w:spacing w:after="0" w:line="240" w:lineRule="auto"/>
        <w:ind w:firstLine="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padidėtų įmonės AB ,,Lietuvos paštas’’ patrauklumas potencialiems akcijų pirkėjams, jei būtų įdiegtas elektroninis paslaugų organizavimas?</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lastRenderedPageBreak/>
        <w:drawing>
          <wp:inline distT="0" distB="0" distL="0" distR="0">
            <wp:extent cx="247650" cy="219075"/>
            <wp:effectExtent l="1905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ženkliai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bet nežymiai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Nepadarytų įtakos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 netgi priešingai, prisidėtų prie didėjančio įmonės nuostolingumo</w:t>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padidėtų įmonės AB ,,Lietuvos paštas’’ patrauklumas potencialiems akcijų pirkėjams, jei būtų įdiegtas elektroninis paslaugų teikimas?</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ženkliai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bet nežymiai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Nepadarytų įtakos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 netgi priešingai, prisidėtų prie didėjančio įmonės nuostolingumo</w:t>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būtina išlaikyti plačią paslaugų pasiūlą įmonėje AB ,,Lietuvos paštas’’?</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Taip, tai sukuria saugumo mechanizmą (vienų paslaugų nepopuliarumo atveju kompensuojama sėkmingai plėtojant kitas paslaugas)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Ne, tai žalinga įmonei, nes eikvoja daugiau administracinių ir kitų išteklių nei sukuria ekonominės naudos</w:t>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Kurias paslaugas sėkmingai išplėtojus, Jūsų įmonę labiausiai domintų AB Lietuvos pašto akcijų įsigijimas?</w:t>
      </w:r>
    </w:p>
    <w:p w:rsidR="00C66C7D" w:rsidRPr="006740E5" w:rsidRDefault="00C66C7D" w:rsidP="0022425B">
      <w:pPr>
        <w:tabs>
          <w:tab w:val="left" w:pos="-6379"/>
          <w:tab w:val="left" w:pos="284"/>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Pašto korespondencijos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Pašto siuntų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E. paslaugų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Pasiuntinių (kurjerių) paslaugų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Pašto perlaidų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Prenumeratos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Jūsų įmonės registravimo vieta:</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028825" cy="219075"/>
            <wp:effectExtent l="19050" t="0" r="952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4"/>
                    <a:srcRect/>
                    <a:stretch>
                      <a:fillRect/>
                    </a:stretch>
                  </pic:blipFill>
                  <pic:spPr bwMode="auto">
                    <a:xfrm>
                      <a:off x="0" y="0"/>
                      <a:ext cx="2028825" cy="219075"/>
                    </a:xfrm>
                    <a:prstGeom prst="rect">
                      <a:avLst/>
                    </a:prstGeom>
                    <a:noFill/>
                    <a:ln w="9525">
                      <a:noFill/>
                      <a:miter lim="800000"/>
                      <a:headEnd/>
                      <a:tailEnd/>
                    </a:ln>
                  </pic:spPr>
                </pic:pic>
              </a:graphicData>
            </a:graphic>
          </wp:inline>
        </w:drawing>
      </w:r>
    </w:p>
    <w:p w:rsidR="00C66C7D" w:rsidRPr="006740E5" w:rsidRDefault="00C66C7D" w:rsidP="0022425B">
      <w:pPr>
        <w:pStyle w:val="ListParagraph"/>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Jūsų įmonė įkurta:</w:t>
      </w:r>
    </w:p>
    <w:p w:rsidR="00C66C7D" w:rsidRPr="006740E5" w:rsidRDefault="00FB614B" w:rsidP="0022425B">
      <w:pPr>
        <w:tabs>
          <w:tab w:val="left" w:pos="-6379"/>
          <w:tab w:val="left" w:pos="284"/>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Lietuviško kapitalo pagrindu</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Užsienio kapitalo pagrindu</w:t>
      </w:r>
    </w:p>
    <w:p w:rsidR="00C66C7D" w:rsidRPr="006740E5" w:rsidRDefault="00C66C7D" w:rsidP="0022425B">
      <w:pPr>
        <w:tabs>
          <w:tab w:val="left" w:pos="-6379"/>
          <w:tab w:val="left" w:pos="284"/>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Įmonė veikia kaip:</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Savarankiška organizacija</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Dukterinė įmonė</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Filialas (padalinys)</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Kiek laiko Jūsų įmonė vykdo veiklą?</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lastRenderedPageBreak/>
        <w:drawing>
          <wp:inline distT="0" distB="0" distL="0" distR="0">
            <wp:extent cx="247650" cy="219075"/>
            <wp:effectExtent l="1905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Iki 1−erių metų </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Nuo 1−erių iki 5−erių metų </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Daugiau nei 5−erius metus</w:t>
      </w:r>
    </w:p>
    <w:p w:rsidR="00C66C7D" w:rsidRPr="006740E5" w:rsidRDefault="00C66C7D" w:rsidP="0022425B">
      <w:pPr>
        <w:tabs>
          <w:tab w:val="left" w:pos="-6379"/>
          <w:tab w:val="left" w:pos="284"/>
          <w:tab w:val="left" w:pos="426"/>
        </w:tabs>
        <w:spacing w:after="0" w:line="240" w:lineRule="auto"/>
        <w:ind w:firstLine="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Paslaugas Jūsų įmonė teikia:</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Tik Lietuvoje</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Tik Europos Sąjungoje</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Visame pasaulyje</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Kokioje aplinkoje organizuojate įmonės veiklą (bendraujate su klientais, tiekėjais, partneriais)?</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Nuotoliniu būdu (el. paštu, telefonu ar kitomis elektroninėmis priemonėmis)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Tradicinėje aplinkoje (visus su įmonės veikla susijusius klausimus tvarkome akis į akį mūsų biure, klientų aptarnavimo padalinyje, per partnerius)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Mišrioje aplinkoje (turime biurą, tačiau kai kuriuos klausimus sprendžiame nuotoliniu būdu)</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 xml:space="preserve">Kodėl pasirinkote tokią veiklos organizavimo formą? </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Finansiškai patraukliausia</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Patogiausia įmonės veiklos organizavimo forma</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Priimtiniausia vartotojui</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Priimtiniausia tiekėjams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Priimtiniausia partneriams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Konkurencingiausia</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 xml:space="preserve">Kokias paslaugas teikiate klientams? </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Vidaus pašto korespondencijos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Tarptautinio pašto korespondencijos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Reklaminio pašto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Siuntų pristatymo ir įteikimo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Pasiuntinių pašto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ketinate artimiausiu metu savo klientams pradėti teikti naujas paslaugas?</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Taip </w:t>
      </w:r>
      <w:r w:rsidR="00C66C7D" w:rsidRPr="006740E5">
        <w:rPr>
          <w:rFonts w:ascii="Times New Roman" w:hAnsi="Times New Roman"/>
          <w:sz w:val="20"/>
          <w:szCs w:val="20"/>
          <w:lang w:eastAsia="lt-LT"/>
        </w:rPr>
        <w:t>(pereiti prie 18 klausimo)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Ne </w:t>
      </w:r>
      <w:r w:rsidR="00C66C7D" w:rsidRPr="006740E5">
        <w:rPr>
          <w:rFonts w:ascii="Times New Roman" w:hAnsi="Times New Roman"/>
          <w:sz w:val="20"/>
          <w:szCs w:val="20"/>
          <w:lang w:eastAsia="lt-LT"/>
        </w:rPr>
        <w:t>(pereiti prie 19 klausimo)</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Kokias paslaugas artimiausiu metu ketinate pradėti teikti savo klientams?</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lastRenderedPageBreak/>
        <w:drawing>
          <wp:inline distT="0" distB="0" distL="0" distR="0">
            <wp:extent cx="2028825" cy="219075"/>
            <wp:effectExtent l="19050" t="0" r="952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4"/>
                    <a:srcRect/>
                    <a:stretch>
                      <a:fillRect/>
                    </a:stretch>
                  </pic:blipFill>
                  <pic:spPr bwMode="auto">
                    <a:xfrm>
                      <a:off x="0" y="0"/>
                      <a:ext cx="20288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Kokias paslaugas teikiate klientams elektroniniu būdu?</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Elektroninių leidinių prenumerata</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Elektroninio pašto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Įmokų ir mokesčių priėmimas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Siuntų draudimo paslaugas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Pašto korespondencijos/siuntų judėjimo sekimas internetu</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Kiek laiko jau teikiate elektronines paslaugas?</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Iki 1−erių metų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Nuo 1−erių iki 2−jų metų</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Daugiau nei 2−vejus metus</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Ar ketinate artimiausiu metu savo klientams pradėti teikti naujas paslaugas elektroniniu būdu?</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0"/>
          <w:szCs w:val="20"/>
          <w:lang w:eastAsia="lt-LT"/>
        </w:rPr>
      </w:pPr>
      <w:r w:rsidRPr="006740E5">
        <w:rPr>
          <w:rFonts w:ascii="Times New Roman" w:hAnsi="Times New Roman"/>
          <w:sz w:val="24"/>
          <w:szCs w:val="24"/>
          <w:lang w:eastAsia="lt-LT"/>
        </w:rPr>
        <w:drawing>
          <wp:inline distT="0" distB="0" distL="0" distR="0">
            <wp:extent cx="247650" cy="219075"/>
            <wp:effectExtent l="1905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Taip </w:t>
      </w:r>
      <w:r w:rsidR="00C66C7D" w:rsidRPr="006740E5">
        <w:rPr>
          <w:rFonts w:ascii="Times New Roman" w:hAnsi="Times New Roman"/>
          <w:sz w:val="20"/>
          <w:szCs w:val="20"/>
          <w:lang w:eastAsia="lt-LT"/>
        </w:rPr>
        <w:t>(pereiti prie 22 klausimo)</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 xml:space="preserve">Ne </w:t>
      </w:r>
      <w:r w:rsidR="00C66C7D" w:rsidRPr="006740E5">
        <w:rPr>
          <w:rFonts w:ascii="Times New Roman" w:hAnsi="Times New Roman"/>
          <w:sz w:val="20"/>
          <w:szCs w:val="20"/>
          <w:lang w:eastAsia="lt-LT"/>
        </w:rPr>
        <w:t>(pereiti prie 23 klausimo)</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Kokias elektronines paslaugas artimiausiu metu ketinate pradėti teikti savo klientams?</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028825" cy="219075"/>
            <wp:effectExtent l="19050" t="0" r="952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4"/>
                    <a:srcRect/>
                    <a:stretch>
                      <a:fillRect/>
                    </a:stretch>
                  </pic:blipFill>
                  <pic:spPr bwMode="auto">
                    <a:xfrm>
                      <a:off x="0" y="0"/>
                      <a:ext cx="20288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Kuri vartotojų grupė Lietuvos pašto ir pasiuntinių rinkoje yra svarbesnė?</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Fiziniai asmenys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Juridiniai asmenys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31"/>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Abi grupės lygiavertės</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4"/>
          <w:szCs w:val="24"/>
          <w:lang w:eastAsia="lt-LT"/>
        </w:rPr>
      </w:pPr>
    </w:p>
    <w:p w:rsidR="00C66C7D" w:rsidRPr="006740E5" w:rsidRDefault="00C66C7D" w:rsidP="00CC6D8E">
      <w:pPr>
        <w:pStyle w:val="ListParagraph"/>
        <w:numPr>
          <w:ilvl w:val="0"/>
          <w:numId w:val="2"/>
        </w:numPr>
        <w:tabs>
          <w:tab w:val="left" w:pos="-6379"/>
          <w:tab w:val="left" w:pos="284"/>
          <w:tab w:val="left" w:pos="426"/>
        </w:tabs>
        <w:spacing w:after="0" w:line="240" w:lineRule="auto"/>
        <w:ind w:left="567" w:firstLine="0"/>
        <w:rPr>
          <w:rFonts w:ascii="Times New Roman" w:hAnsi="Times New Roman"/>
          <w:sz w:val="24"/>
          <w:szCs w:val="24"/>
          <w:lang w:eastAsia="lt-LT"/>
        </w:rPr>
      </w:pPr>
      <w:r w:rsidRPr="006740E5">
        <w:rPr>
          <w:rFonts w:ascii="Times New Roman" w:hAnsi="Times New Roman"/>
          <w:sz w:val="24"/>
          <w:szCs w:val="24"/>
          <w:lang w:eastAsia="lt-LT"/>
        </w:rPr>
        <w:t xml:space="preserve">Kokius atsiskaitymo būdus naudojate? </w:t>
      </w:r>
    </w:p>
    <w:p w:rsidR="00C66C7D" w:rsidRPr="006740E5" w:rsidRDefault="00C66C7D" w:rsidP="0022425B">
      <w:pPr>
        <w:tabs>
          <w:tab w:val="left" w:pos="-6379"/>
          <w:tab w:val="left" w:pos="284"/>
          <w:tab w:val="left" w:pos="426"/>
        </w:tabs>
        <w:spacing w:after="0" w:line="240" w:lineRule="auto"/>
        <w:ind w:left="567"/>
        <w:rPr>
          <w:rFonts w:ascii="Times New Roman" w:hAnsi="Times New Roman"/>
          <w:sz w:val="20"/>
          <w:szCs w:val="20"/>
          <w:lang w:eastAsia="lt-LT"/>
        </w:rPr>
      </w:pPr>
      <w:r w:rsidRPr="006740E5">
        <w:rPr>
          <w:rFonts w:ascii="Times New Roman" w:hAnsi="Times New Roman"/>
          <w:sz w:val="20"/>
          <w:szCs w:val="20"/>
          <w:lang w:eastAsia="lt-LT"/>
        </w:rPr>
        <w:t>(galimi keli atsakymo variantai)</w:t>
      </w:r>
    </w:p>
    <w:p w:rsidR="00C66C7D" w:rsidRPr="006740E5" w:rsidRDefault="00FB614B" w:rsidP="0022425B">
      <w:pPr>
        <w:tabs>
          <w:tab w:val="left" w:pos="-6379"/>
          <w:tab w:val="left" w:pos="284"/>
          <w:tab w:val="left" w:pos="426"/>
        </w:tabs>
        <w:spacing w:after="0" w:line="240" w:lineRule="auto"/>
        <w:ind w:left="567"/>
        <w:rPr>
          <w:rFonts w:ascii="Times New Roman" w:hAnsi="Times New Roman"/>
          <w:sz w:val="24"/>
          <w:szCs w:val="24"/>
          <w:lang w:eastAsia="lt-LT"/>
        </w:rPr>
      </w:pPr>
      <w:r w:rsidRPr="006740E5">
        <w:rPr>
          <w:rFonts w:ascii="Times New Roman" w:hAnsi="Times New Roman"/>
          <w:sz w:val="24"/>
          <w:szCs w:val="24"/>
          <w:lang w:eastAsia="lt-LT"/>
        </w:rPr>
        <w:drawing>
          <wp:inline distT="0" distB="0" distL="0" distR="0">
            <wp:extent cx="247650" cy="219075"/>
            <wp:effectExtent l="1905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Grynais</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Bankiniu pavedimu</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SMS žinute</w:t>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br/>
      </w:r>
      <w:r w:rsidRPr="006740E5">
        <w:rPr>
          <w:rFonts w:ascii="Times New Roman" w:hAnsi="Times New Roman"/>
          <w:sz w:val="24"/>
          <w:szCs w:val="24"/>
          <w:lang w:eastAsia="lt-LT"/>
        </w:rPr>
        <w:drawing>
          <wp:inline distT="0" distB="0" distL="0" distR="0">
            <wp:extent cx="247650" cy="219075"/>
            <wp:effectExtent l="1905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32"/>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00C66C7D" w:rsidRPr="006740E5">
        <w:rPr>
          <w:rFonts w:ascii="Times New Roman" w:hAnsi="Times New Roman"/>
          <w:sz w:val="24"/>
          <w:szCs w:val="24"/>
          <w:lang w:eastAsia="lt-LT"/>
        </w:rPr>
        <w:t>Kita</w:t>
      </w:r>
      <w:r w:rsidRPr="006740E5">
        <w:rPr>
          <w:rFonts w:ascii="Times New Roman" w:hAnsi="Times New Roman"/>
          <w:sz w:val="24"/>
          <w:szCs w:val="24"/>
          <w:lang w:eastAsia="lt-LT"/>
        </w:rPr>
        <w:drawing>
          <wp:inline distT="0" distB="0" distL="0" distR="0">
            <wp:extent cx="771525" cy="219075"/>
            <wp:effectExtent l="19050" t="0" r="952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3"/>
                    <a:srcRect/>
                    <a:stretch>
                      <a:fillRect/>
                    </a:stretch>
                  </pic:blipFill>
                  <pic:spPr bwMode="auto">
                    <a:xfrm>
                      <a:off x="0" y="0"/>
                      <a:ext cx="771525" cy="219075"/>
                    </a:xfrm>
                    <a:prstGeom prst="rect">
                      <a:avLst/>
                    </a:prstGeom>
                    <a:noFill/>
                    <a:ln w="9525">
                      <a:noFill/>
                      <a:miter lim="800000"/>
                      <a:headEnd/>
                      <a:tailEnd/>
                    </a:ln>
                  </pic:spPr>
                </pic:pic>
              </a:graphicData>
            </a:graphic>
          </wp:inline>
        </w:drawing>
      </w:r>
    </w:p>
    <w:p w:rsidR="00C66C7D" w:rsidRPr="006740E5" w:rsidRDefault="00C66C7D" w:rsidP="0022425B">
      <w:pPr>
        <w:tabs>
          <w:tab w:val="left" w:pos="-6379"/>
        </w:tabs>
        <w:spacing w:after="0" w:line="360" w:lineRule="auto"/>
        <w:ind w:firstLine="567"/>
        <w:jc w:val="center"/>
        <w:rPr>
          <w:rFonts w:ascii="Times New Roman" w:hAnsi="Times New Roman"/>
          <w:iCs/>
          <w:sz w:val="24"/>
          <w:szCs w:val="24"/>
        </w:rPr>
      </w:pPr>
    </w:p>
    <w:p w:rsidR="00C66C7D" w:rsidRPr="006740E5" w:rsidRDefault="00C66C7D" w:rsidP="0022425B">
      <w:pPr>
        <w:tabs>
          <w:tab w:val="left" w:pos="-6379"/>
        </w:tabs>
        <w:ind w:firstLine="567"/>
        <w:jc w:val="center"/>
        <w:rPr>
          <w:rFonts w:ascii="Times New Roman" w:hAnsi="Times New Roman"/>
          <w:sz w:val="24"/>
          <w:szCs w:val="24"/>
        </w:rPr>
      </w:pPr>
      <w:r w:rsidRPr="006740E5">
        <w:rPr>
          <w:rFonts w:ascii="Times New Roman" w:hAnsi="Times New Roman"/>
          <w:sz w:val="24"/>
          <w:szCs w:val="24"/>
        </w:rPr>
        <w:t>Nuoširdžiai dėkoju už Jūsų atsakymus!</w:t>
      </w:r>
    </w:p>
    <w:p w:rsidR="00C66C7D" w:rsidRPr="006740E5" w:rsidRDefault="00C66C7D" w:rsidP="0022425B">
      <w:pPr>
        <w:tabs>
          <w:tab w:val="left" w:pos="-6379"/>
        </w:tabs>
        <w:spacing w:after="0" w:line="360" w:lineRule="auto"/>
        <w:ind w:firstLine="567"/>
        <w:jc w:val="center"/>
        <w:rPr>
          <w:rFonts w:ascii="Times New Roman" w:hAnsi="Times New Roman"/>
          <w:iCs/>
          <w:sz w:val="24"/>
          <w:szCs w:val="24"/>
        </w:rPr>
      </w:pPr>
    </w:p>
    <w:p w:rsidR="00C66C7D" w:rsidRPr="006740E5" w:rsidRDefault="00C66C7D" w:rsidP="007A185D">
      <w:pPr>
        <w:tabs>
          <w:tab w:val="left" w:pos="-6379"/>
        </w:tabs>
        <w:rPr>
          <w:rFonts w:ascii="Times New Roman" w:hAnsi="Times New Roman"/>
          <w:iCs/>
          <w:sz w:val="24"/>
          <w:szCs w:val="24"/>
        </w:rPr>
      </w:pPr>
    </w:p>
    <w:sectPr w:rsidR="00C66C7D" w:rsidRPr="006740E5" w:rsidSect="00E475ED">
      <w:headerReference w:type="default" r:id="rId35"/>
      <w:pgSz w:w="11906" w:h="16838"/>
      <w:pgMar w:top="1134" w:right="567" w:bottom="1134" w:left="1418" w:header="567" w:footer="567" w:gutter="0"/>
      <w:pgNumType w:start="4"/>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5D8" w:rsidRDefault="006755D8" w:rsidP="00E050F0">
      <w:pPr>
        <w:spacing w:after="0" w:line="240" w:lineRule="auto"/>
      </w:pPr>
      <w:r>
        <w:separator/>
      </w:r>
    </w:p>
  </w:endnote>
  <w:endnote w:type="continuationSeparator" w:id="0">
    <w:p w:rsidR="006755D8" w:rsidRDefault="006755D8" w:rsidP="00E050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EF" w:usb1="C0007841" w:usb2="00000009" w:usb3="00000000" w:csb0="000001FF"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A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TimesNewRomanPSMT Baltic">
    <w:altName w:val="Times New Roman"/>
    <w:panose1 w:val="00000000000000000000"/>
    <w:charset w:val="BA"/>
    <w:family w:val="auto"/>
    <w:notTrueType/>
    <w:pitch w:val="default"/>
    <w:sig w:usb0="00000005" w:usb1="00000000" w:usb2="00000000" w:usb3="00000000" w:csb0="00000080" w:csb1="00000000"/>
  </w:font>
  <w:font w:name="TimesNewRomanPSMT">
    <w:altName w:val="Times New Roman"/>
    <w:panose1 w:val="00000000000000000000"/>
    <w:charset w:val="EE"/>
    <w:family w:val="auto"/>
    <w:notTrueType/>
    <w:pitch w:val="default"/>
    <w:sig w:usb0="00000007" w:usb1="00000000" w:usb2="00000000" w:usb3="00000000" w:csb0="00000083"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5D8" w:rsidRDefault="006755D8" w:rsidP="00E050F0">
      <w:pPr>
        <w:spacing w:after="0" w:line="240" w:lineRule="auto"/>
      </w:pPr>
      <w:r>
        <w:separator/>
      </w:r>
    </w:p>
  </w:footnote>
  <w:footnote w:type="continuationSeparator" w:id="0">
    <w:p w:rsidR="006755D8" w:rsidRDefault="006755D8" w:rsidP="00E050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B1C" w:rsidRDefault="00377B1C">
    <w:pPr>
      <w:pStyle w:val="Header"/>
      <w:jc w:val="right"/>
    </w:pPr>
  </w:p>
  <w:p w:rsidR="00377B1C" w:rsidRPr="00E475ED" w:rsidRDefault="00377B1C" w:rsidP="00E475E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B1C" w:rsidRDefault="00377B1C">
    <w:pPr>
      <w:pStyle w:val="Header"/>
      <w:jc w:val="right"/>
    </w:pPr>
    <w:fldSimple w:instr=" PAGE   \* MERGEFORMAT ">
      <w:r w:rsidR="0004279E">
        <w:rPr>
          <w:noProof/>
        </w:rPr>
        <w:t>15</w:t>
      </w:r>
    </w:fldSimple>
  </w:p>
  <w:p w:rsidR="00377B1C" w:rsidRPr="00E475ED" w:rsidRDefault="00377B1C" w:rsidP="00E475E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F20DE"/>
    <w:multiLevelType w:val="hybridMultilevel"/>
    <w:tmpl w:val="C5E69282"/>
    <w:lvl w:ilvl="0" w:tplc="EAAECCF2">
      <w:start w:val="1"/>
      <w:numFmt w:val="decimal"/>
      <w:lvlText w:val="%1."/>
      <w:lvlJc w:val="left"/>
      <w:pPr>
        <w:ind w:left="1440" w:hanging="360"/>
      </w:pPr>
      <w:rPr>
        <w:rFonts w:cs="Times New Roman"/>
        <w:i w:val="0"/>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1">
    <w:nsid w:val="08DE6884"/>
    <w:multiLevelType w:val="hybridMultilevel"/>
    <w:tmpl w:val="9920F7D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A06419F"/>
    <w:multiLevelType w:val="hybridMultilevel"/>
    <w:tmpl w:val="6E7AE10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
    <w:nsid w:val="10390585"/>
    <w:multiLevelType w:val="multilevel"/>
    <w:tmpl w:val="E2D83562"/>
    <w:lvl w:ilvl="0">
      <w:start w:val="1"/>
      <w:numFmt w:val="decimal"/>
      <w:lvlText w:val="%1."/>
      <w:lvlJc w:val="left"/>
      <w:pPr>
        <w:ind w:left="1080" w:hanging="360"/>
      </w:pPr>
      <w:rPr>
        <w:rFonts w:cs="Times New Roman" w:hint="default"/>
      </w:rPr>
    </w:lvl>
    <w:lvl w:ilvl="1">
      <w:start w:val="2"/>
      <w:numFmt w:val="decimal"/>
      <w:isLgl/>
      <w:lvlText w:val="%1.%2"/>
      <w:lvlJc w:val="left"/>
      <w:pPr>
        <w:ind w:left="1170" w:hanging="45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880" w:hanging="2160"/>
      </w:pPr>
      <w:rPr>
        <w:rFonts w:cs="Times New Roman" w:hint="default"/>
      </w:rPr>
    </w:lvl>
  </w:abstractNum>
  <w:abstractNum w:abstractNumId="4">
    <w:nsid w:val="15F04ED7"/>
    <w:multiLevelType w:val="hybridMultilevel"/>
    <w:tmpl w:val="548ACBCE"/>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
    <w:nsid w:val="1F9C4A8D"/>
    <w:multiLevelType w:val="hybridMultilevel"/>
    <w:tmpl w:val="96082582"/>
    <w:lvl w:ilvl="0" w:tplc="684EE332">
      <w:start w:val="1"/>
      <w:numFmt w:val="lowerLetter"/>
      <w:lvlText w:val="%1)"/>
      <w:lvlJc w:val="left"/>
      <w:pPr>
        <w:ind w:left="1452" w:hanging="885"/>
      </w:pPr>
      <w:rPr>
        <w:rFonts w:cs="Times New Roman" w:hint="default"/>
      </w:rPr>
    </w:lvl>
    <w:lvl w:ilvl="1" w:tplc="04270019">
      <w:start w:val="1"/>
      <w:numFmt w:val="lowerLetter"/>
      <w:lvlText w:val="%2."/>
      <w:lvlJc w:val="left"/>
      <w:pPr>
        <w:ind w:left="1647" w:hanging="360"/>
      </w:pPr>
      <w:rPr>
        <w:rFonts w:cs="Times New Roman"/>
      </w:rPr>
    </w:lvl>
    <w:lvl w:ilvl="2" w:tplc="0427001B" w:tentative="1">
      <w:start w:val="1"/>
      <w:numFmt w:val="lowerRoman"/>
      <w:lvlText w:val="%3."/>
      <w:lvlJc w:val="right"/>
      <w:pPr>
        <w:ind w:left="2367" w:hanging="180"/>
      </w:pPr>
      <w:rPr>
        <w:rFonts w:cs="Times New Roman"/>
      </w:rPr>
    </w:lvl>
    <w:lvl w:ilvl="3" w:tplc="0427000F" w:tentative="1">
      <w:start w:val="1"/>
      <w:numFmt w:val="decimal"/>
      <w:lvlText w:val="%4."/>
      <w:lvlJc w:val="left"/>
      <w:pPr>
        <w:ind w:left="3087" w:hanging="360"/>
      </w:pPr>
      <w:rPr>
        <w:rFonts w:cs="Times New Roman"/>
      </w:rPr>
    </w:lvl>
    <w:lvl w:ilvl="4" w:tplc="04270019" w:tentative="1">
      <w:start w:val="1"/>
      <w:numFmt w:val="lowerLetter"/>
      <w:lvlText w:val="%5."/>
      <w:lvlJc w:val="left"/>
      <w:pPr>
        <w:ind w:left="3807" w:hanging="360"/>
      </w:pPr>
      <w:rPr>
        <w:rFonts w:cs="Times New Roman"/>
      </w:rPr>
    </w:lvl>
    <w:lvl w:ilvl="5" w:tplc="0427001B" w:tentative="1">
      <w:start w:val="1"/>
      <w:numFmt w:val="lowerRoman"/>
      <w:lvlText w:val="%6."/>
      <w:lvlJc w:val="right"/>
      <w:pPr>
        <w:ind w:left="4527" w:hanging="180"/>
      </w:pPr>
      <w:rPr>
        <w:rFonts w:cs="Times New Roman"/>
      </w:rPr>
    </w:lvl>
    <w:lvl w:ilvl="6" w:tplc="0427000F" w:tentative="1">
      <w:start w:val="1"/>
      <w:numFmt w:val="decimal"/>
      <w:lvlText w:val="%7."/>
      <w:lvlJc w:val="left"/>
      <w:pPr>
        <w:ind w:left="5247" w:hanging="360"/>
      </w:pPr>
      <w:rPr>
        <w:rFonts w:cs="Times New Roman"/>
      </w:rPr>
    </w:lvl>
    <w:lvl w:ilvl="7" w:tplc="04270019" w:tentative="1">
      <w:start w:val="1"/>
      <w:numFmt w:val="lowerLetter"/>
      <w:lvlText w:val="%8."/>
      <w:lvlJc w:val="left"/>
      <w:pPr>
        <w:ind w:left="5967" w:hanging="360"/>
      </w:pPr>
      <w:rPr>
        <w:rFonts w:cs="Times New Roman"/>
      </w:rPr>
    </w:lvl>
    <w:lvl w:ilvl="8" w:tplc="0427001B" w:tentative="1">
      <w:start w:val="1"/>
      <w:numFmt w:val="lowerRoman"/>
      <w:lvlText w:val="%9."/>
      <w:lvlJc w:val="right"/>
      <w:pPr>
        <w:ind w:left="6687" w:hanging="180"/>
      </w:pPr>
      <w:rPr>
        <w:rFonts w:cs="Times New Roman"/>
      </w:rPr>
    </w:lvl>
  </w:abstractNum>
  <w:abstractNum w:abstractNumId="6">
    <w:nsid w:val="3E0C1DA7"/>
    <w:multiLevelType w:val="multilevel"/>
    <w:tmpl w:val="A00A2D60"/>
    <w:lvl w:ilvl="0">
      <w:start w:val="2"/>
      <w:numFmt w:val="decimal"/>
      <w:lvlText w:val="%1."/>
      <w:lvlJc w:val="left"/>
      <w:pPr>
        <w:ind w:left="2577" w:hanging="450"/>
      </w:pPr>
      <w:rPr>
        <w:rFonts w:cs="Times New Roman" w:hint="default"/>
      </w:rPr>
    </w:lvl>
    <w:lvl w:ilvl="1">
      <w:start w:val="1"/>
      <w:numFmt w:val="decimal"/>
      <w:lvlText w:val="%1.%2."/>
      <w:lvlJc w:val="left"/>
      <w:pPr>
        <w:ind w:left="1815" w:hanging="720"/>
      </w:pPr>
      <w:rPr>
        <w:rFonts w:cs="Times New Roman" w:hint="default"/>
      </w:rPr>
    </w:lvl>
    <w:lvl w:ilvl="2">
      <w:start w:val="1"/>
      <w:numFmt w:val="decimal"/>
      <w:lvlText w:val="%1.%2.%3."/>
      <w:lvlJc w:val="left"/>
      <w:pPr>
        <w:ind w:left="2910" w:hanging="720"/>
      </w:pPr>
      <w:rPr>
        <w:rFonts w:cs="Times New Roman" w:hint="default"/>
      </w:rPr>
    </w:lvl>
    <w:lvl w:ilvl="3">
      <w:start w:val="1"/>
      <w:numFmt w:val="decimal"/>
      <w:lvlText w:val="%1.%2.%3.%4."/>
      <w:lvlJc w:val="left"/>
      <w:pPr>
        <w:ind w:left="4365" w:hanging="1080"/>
      </w:pPr>
      <w:rPr>
        <w:rFonts w:cs="Times New Roman" w:hint="default"/>
      </w:rPr>
    </w:lvl>
    <w:lvl w:ilvl="4">
      <w:start w:val="1"/>
      <w:numFmt w:val="decimal"/>
      <w:lvlText w:val="%1.%2.%3.%4.%5."/>
      <w:lvlJc w:val="left"/>
      <w:pPr>
        <w:ind w:left="5460" w:hanging="1080"/>
      </w:pPr>
      <w:rPr>
        <w:rFonts w:cs="Times New Roman" w:hint="default"/>
      </w:rPr>
    </w:lvl>
    <w:lvl w:ilvl="5">
      <w:start w:val="1"/>
      <w:numFmt w:val="decimal"/>
      <w:lvlText w:val="%1.%2.%3.%4.%5.%6."/>
      <w:lvlJc w:val="left"/>
      <w:pPr>
        <w:ind w:left="6915" w:hanging="1440"/>
      </w:pPr>
      <w:rPr>
        <w:rFonts w:cs="Times New Roman" w:hint="default"/>
      </w:rPr>
    </w:lvl>
    <w:lvl w:ilvl="6">
      <w:start w:val="1"/>
      <w:numFmt w:val="decimal"/>
      <w:lvlText w:val="%1.%2.%3.%4.%5.%6.%7."/>
      <w:lvlJc w:val="left"/>
      <w:pPr>
        <w:ind w:left="8370" w:hanging="1800"/>
      </w:pPr>
      <w:rPr>
        <w:rFonts w:cs="Times New Roman" w:hint="default"/>
      </w:rPr>
    </w:lvl>
    <w:lvl w:ilvl="7">
      <w:start w:val="1"/>
      <w:numFmt w:val="decimal"/>
      <w:lvlText w:val="%1.%2.%3.%4.%5.%6.%7.%8."/>
      <w:lvlJc w:val="left"/>
      <w:pPr>
        <w:ind w:left="9465" w:hanging="1800"/>
      </w:pPr>
      <w:rPr>
        <w:rFonts w:cs="Times New Roman" w:hint="default"/>
      </w:rPr>
    </w:lvl>
    <w:lvl w:ilvl="8">
      <w:start w:val="1"/>
      <w:numFmt w:val="decimal"/>
      <w:lvlText w:val="%1.%2.%3.%4.%5.%6.%7.%8.%9."/>
      <w:lvlJc w:val="left"/>
      <w:pPr>
        <w:ind w:left="10920" w:hanging="2160"/>
      </w:pPr>
      <w:rPr>
        <w:rFonts w:cs="Times New Roman" w:hint="default"/>
      </w:rPr>
    </w:lvl>
  </w:abstractNum>
  <w:abstractNum w:abstractNumId="7">
    <w:nsid w:val="407762EE"/>
    <w:multiLevelType w:val="hybridMultilevel"/>
    <w:tmpl w:val="0EF4246E"/>
    <w:lvl w:ilvl="0" w:tplc="684EE332">
      <w:start w:val="1"/>
      <w:numFmt w:val="lowerLetter"/>
      <w:lvlText w:val="%1)"/>
      <w:lvlJc w:val="left"/>
      <w:pPr>
        <w:ind w:left="1452" w:hanging="885"/>
      </w:pPr>
      <w:rPr>
        <w:rFonts w:cs="Times New Roman" w:hint="default"/>
      </w:rPr>
    </w:lvl>
    <w:lvl w:ilvl="1" w:tplc="04270019">
      <w:start w:val="1"/>
      <w:numFmt w:val="lowerLetter"/>
      <w:lvlText w:val="%2."/>
      <w:lvlJc w:val="left"/>
      <w:pPr>
        <w:ind w:left="1647" w:hanging="360"/>
      </w:pPr>
      <w:rPr>
        <w:rFonts w:cs="Times New Roman"/>
      </w:rPr>
    </w:lvl>
    <w:lvl w:ilvl="2" w:tplc="0427001B" w:tentative="1">
      <w:start w:val="1"/>
      <w:numFmt w:val="lowerRoman"/>
      <w:lvlText w:val="%3."/>
      <w:lvlJc w:val="right"/>
      <w:pPr>
        <w:ind w:left="2367" w:hanging="180"/>
      </w:pPr>
      <w:rPr>
        <w:rFonts w:cs="Times New Roman"/>
      </w:rPr>
    </w:lvl>
    <w:lvl w:ilvl="3" w:tplc="0427000F" w:tentative="1">
      <w:start w:val="1"/>
      <w:numFmt w:val="decimal"/>
      <w:lvlText w:val="%4."/>
      <w:lvlJc w:val="left"/>
      <w:pPr>
        <w:ind w:left="3087" w:hanging="360"/>
      </w:pPr>
      <w:rPr>
        <w:rFonts w:cs="Times New Roman"/>
      </w:rPr>
    </w:lvl>
    <w:lvl w:ilvl="4" w:tplc="04270019" w:tentative="1">
      <w:start w:val="1"/>
      <w:numFmt w:val="lowerLetter"/>
      <w:lvlText w:val="%5."/>
      <w:lvlJc w:val="left"/>
      <w:pPr>
        <w:ind w:left="3807" w:hanging="360"/>
      </w:pPr>
      <w:rPr>
        <w:rFonts w:cs="Times New Roman"/>
      </w:rPr>
    </w:lvl>
    <w:lvl w:ilvl="5" w:tplc="0427001B" w:tentative="1">
      <w:start w:val="1"/>
      <w:numFmt w:val="lowerRoman"/>
      <w:lvlText w:val="%6."/>
      <w:lvlJc w:val="right"/>
      <w:pPr>
        <w:ind w:left="4527" w:hanging="180"/>
      </w:pPr>
      <w:rPr>
        <w:rFonts w:cs="Times New Roman"/>
      </w:rPr>
    </w:lvl>
    <w:lvl w:ilvl="6" w:tplc="0427000F" w:tentative="1">
      <w:start w:val="1"/>
      <w:numFmt w:val="decimal"/>
      <w:lvlText w:val="%7."/>
      <w:lvlJc w:val="left"/>
      <w:pPr>
        <w:ind w:left="5247" w:hanging="360"/>
      </w:pPr>
      <w:rPr>
        <w:rFonts w:cs="Times New Roman"/>
      </w:rPr>
    </w:lvl>
    <w:lvl w:ilvl="7" w:tplc="04270019" w:tentative="1">
      <w:start w:val="1"/>
      <w:numFmt w:val="lowerLetter"/>
      <w:lvlText w:val="%8."/>
      <w:lvlJc w:val="left"/>
      <w:pPr>
        <w:ind w:left="5967" w:hanging="360"/>
      </w:pPr>
      <w:rPr>
        <w:rFonts w:cs="Times New Roman"/>
      </w:rPr>
    </w:lvl>
    <w:lvl w:ilvl="8" w:tplc="0427001B" w:tentative="1">
      <w:start w:val="1"/>
      <w:numFmt w:val="lowerRoman"/>
      <w:lvlText w:val="%9."/>
      <w:lvlJc w:val="right"/>
      <w:pPr>
        <w:ind w:left="6687" w:hanging="180"/>
      </w:pPr>
      <w:rPr>
        <w:rFonts w:cs="Times New Roman"/>
      </w:rPr>
    </w:lvl>
  </w:abstractNum>
  <w:abstractNum w:abstractNumId="8">
    <w:nsid w:val="49DF28B4"/>
    <w:multiLevelType w:val="multilevel"/>
    <w:tmpl w:val="D702F6D0"/>
    <w:lvl w:ilvl="0">
      <w:start w:val="3"/>
      <w:numFmt w:val="decimal"/>
      <w:lvlText w:val="%1."/>
      <w:lvlJc w:val="left"/>
      <w:pPr>
        <w:ind w:left="720" w:hanging="360"/>
      </w:pPr>
      <w:rPr>
        <w:rFonts w:hint="default"/>
        <w:color w:val="auto"/>
      </w:rPr>
    </w:lvl>
    <w:lvl w:ilvl="1">
      <w:start w:val="2"/>
      <w:numFmt w:val="decimal"/>
      <w:isLgl/>
      <w:lvlText w:val="%1.%2."/>
      <w:lvlJc w:val="left"/>
      <w:pPr>
        <w:ind w:left="1455" w:hanging="360"/>
      </w:pPr>
      <w:rPr>
        <w:rFonts w:hint="default"/>
      </w:rPr>
    </w:lvl>
    <w:lvl w:ilvl="2">
      <w:start w:val="1"/>
      <w:numFmt w:val="decimal"/>
      <w:isLgl/>
      <w:lvlText w:val="%1.%2.%3."/>
      <w:lvlJc w:val="left"/>
      <w:pPr>
        <w:ind w:left="2550" w:hanging="720"/>
      </w:pPr>
      <w:rPr>
        <w:rFonts w:hint="default"/>
      </w:rPr>
    </w:lvl>
    <w:lvl w:ilvl="3">
      <w:start w:val="1"/>
      <w:numFmt w:val="decimal"/>
      <w:isLgl/>
      <w:lvlText w:val="%1.%2.%3.%4."/>
      <w:lvlJc w:val="left"/>
      <w:pPr>
        <w:ind w:left="3285" w:hanging="720"/>
      </w:pPr>
      <w:rPr>
        <w:rFonts w:hint="default"/>
      </w:rPr>
    </w:lvl>
    <w:lvl w:ilvl="4">
      <w:start w:val="1"/>
      <w:numFmt w:val="decimal"/>
      <w:isLgl/>
      <w:lvlText w:val="%1.%2.%3.%4.%5."/>
      <w:lvlJc w:val="left"/>
      <w:pPr>
        <w:ind w:left="4380" w:hanging="1080"/>
      </w:pPr>
      <w:rPr>
        <w:rFonts w:hint="default"/>
      </w:rPr>
    </w:lvl>
    <w:lvl w:ilvl="5">
      <w:start w:val="1"/>
      <w:numFmt w:val="decimal"/>
      <w:isLgl/>
      <w:lvlText w:val="%1.%2.%3.%4.%5.%6."/>
      <w:lvlJc w:val="left"/>
      <w:pPr>
        <w:ind w:left="5115" w:hanging="1080"/>
      </w:pPr>
      <w:rPr>
        <w:rFonts w:hint="default"/>
      </w:rPr>
    </w:lvl>
    <w:lvl w:ilvl="6">
      <w:start w:val="1"/>
      <w:numFmt w:val="decimal"/>
      <w:isLgl/>
      <w:lvlText w:val="%1.%2.%3.%4.%5.%6.%7."/>
      <w:lvlJc w:val="left"/>
      <w:pPr>
        <w:ind w:left="6210" w:hanging="1440"/>
      </w:pPr>
      <w:rPr>
        <w:rFonts w:hint="default"/>
      </w:rPr>
    </w:lvl>
    <w:lvl w:ilvl="7">
      <w:start w:val="1"/>
      <w:numFmt w:val="decimal"/>
      <w:isLgl/>
      <w:lvlText w:val="%1.%2.%3.%4.%5.%6.%7.%8."/>
      <w:lvlJc w:val="left"/>
      <w:pPr>
        <w:ind w:left="6945" w:hanging="1440"/>
      </w:pPr>
      <w:rPr>
        <w:rFonts w:hint="default"/>
      </w:rPr>
    </w:lvl>
    <w:lvl w:ilvl="8">
      <w:start w:val="1"/>
      <w:numFmt w:val="decimal"/>
      <w:isLgl/>
      <w:lvlText w:val="%1.%2.%3.%4.%5.%6.%7.%8.%9."/>
      <w:lvlJc w:val="left"/>
      <w:pPr>
        <w:ind w:left="8040" w:hanging="1800"/>
      </w:pPr>
      <w:rPr>
        <w:rFonts w:hint="default"/>
      </w:rPr>
    </w:lvl>
  </w:abstractNum>
  <w:abstractNum w:abstractNumId="9">
    <w:nsid w:val="58950E6B"/>
    <w:multiLevelType w:val="multilevel"/>
    <w:tmpl w:val="96082582"/>
    <w:lvl w:ilvl="0">
      <w:start w:val="1"/>
      <w:numFmt w:val="lowerLetter"/>
      <w:lvlText w:val="%1)"/>
      <w:lvlJc w:val="left"/>
      <w:pPr>
        <w:ind w:left="1452" w:hanging="885"/>
      </w:pPr>
      <w:rPr>
        <w:rFonts w:cs="Times New Roman" w:hint="default"/>
      </w:rPr>
    </w:lvl>
    <w:lvl w:ilvl="1">
      <w:start w:val="1"/>
      <w:numFmt w:val="lowerLetter"/>
      <w:lvlText w:val="%2."/>
      <w:lvlJc w:val="left"/>
      <w:pPr>
        <w:ind w:left="1647" w:hanging="360"/>
      </w:pPr>
      <w:rPr>
        <w:rFonts w:cs="Times New Roman"/>
      </w:rPr>
    </w:lvl>
    <w:lvl w:ilvl="2">
      <w:start w:val="1"/>
      <w:numFmt w:val="lowerRoman"/>
      <w:lvlText w:val="%3."/>
      <w:lvlJc w:val="right"/>
      <w:pPr>
        <w:ind w:left="2367" w:hanging="180"/>
      </w:pPr>
      <w:rPr>
        <w:rFonts w:cs="Times New Roman"/>
      </w:rPr>
    </w:lvl>
    <w:lvl w:ilvl="3">
      <w:start w:val="1"/>
      <w:numFmt w:val="decimal"/>
      <w:lvlText w:val="%4."/>
      <w:lvlJc w:val="left"/>
      <w:pPr>
        <w:ind w:left="3087" w:hanging="360"/>
      </w:pPr>
      <w:rPr>
        <w:rFonts w:cs="Times New Roman"/>
      </w:rPr>
    </w:lvl>
    <w:lvl w:ilvl="4">
      <w:start w:val="1"/>
      <w:numFmt w:val="lowerLetter"/>
      <w:lvlText w:val="%5."/>
      <w:lvlJc w:val="left"/>
      <w:pPr>
        <w:ind w:left="3807" w:hanging="360"/>
      </w:pPr>
      <w:rPr>
        <w:rFonts w:cs="Times New Roman"/>
      </w:rPr>
    </w:lvl>
    <w:lvl w:ilvl="5">
      <w:start w:val="1"/>
      <w:numFmt w:val="lowerRoman"/>
      <w:lvlText w:val="%6."/>
      <w:lvlJc w:val="right"/>
      <w:pPr>
        <w:ind w:left="4527" w:hanging="180"/>
      </w:pPr>
      <w:rPr>
        <w:rFonts w:cs="Times New Roman"/>
      </w:rPr>
    </w:lvl>
    <w:lvl w:ilvl="6">
      <w:start w:val="1"/>
      <w:numFmt w:val="decimal"/>
      <w:lvlText w:val="%7."/>
      <w:lvlJc w:val="left"/>
      <w:pPr>
        <w:ind w:left="5247" w:hanging="360"/>
      </w:pPr>
      <w:rPr>
        <w:rFonts w:cs="Times New Roman"/>
      </w:rPr>
    </w:lvl>
    <w:lvl w:ilvl="7">
      <w:start w:val="1"/>
      <w:numFmt w:val="lowerLetter"/>
      <w:lvlText w:val="%8."/>
      <w:lvlJc w:val="left"/>
      <w:pPr>
        <w:ind w:left="5967" w:hanging="360"/>
      </w:pPr>
      <w:rPr>
        <w:rFonts w:cs="Times New Roman"/>
      </w:rPr>
    </w:lvl>
    <w:lvl w:ilvl="8">
      <w:start w:val="1"/>
      <w:numFmt w:val="lowerRoman"/>
      <w:lvlText w:val="%9."/>
      <w:lvlJc w:val="right"/>
      <w:pPr>
        <w:ind w:left="6687" w:hanging="180"/>
      </w:pPr>
      <w:rPr>
        <w:rFonts w:cs="Times New Roman"/>
      </w:rPr>
    </w:lvl>
  </w:abstractNum>
  <w:abstractNum w:abstractNumId="10">
    <w:nsid w:val="696A5D54"/>
    <w:multiLevelType w:val="hybridMultilevel"/>
    <w:tmpl w:val="F3FC8DF0"/>
    <w:lvl w:ilvl="0" w:tplc="F8BCFE0E">
      <w:start w:val="1"/>
      <w:numFmt w:val="decimal"/>
      <w:lvlText w:val="%1."/>
      <w:lvlJc w:val="left"/>
      <w:pPr>
        <w:tabs>
          <w:tab w:val="num" w:pos="927"/>
        </w:tabs>
        <w:ind w:left="927"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1">
    <w:nsid w:val="783B3471"/>
    <w:multiLevelType w:val="multilevel"/>
    <w:tmpl w:val="4224AA9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7D90442B"/>
    <w:multiLevelType w:val="hybridMultilevel"/>
    <w:tmpl w:val="E8BC0870"/>
    <w:lvl w:ilvl="0" w:tplc="A0E02F34">
      <w:start w:val="1"/>
      <w:numFmt w:val="decimal"/>
      <w:lvlText w:val="%1."/>
      <w:lvlJc w:val="left"/>
      <w:pPr>
        <w:ind w:left="108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num w:numId="1">
    <w:abstractNumId w:val="0"/>
  </w:num>
  <w:num w:numId="2">
    <w:abstractNumId w:val="4"/>
  </w:num>
  <w:num w:numId="3">
    <w:abstractNumId w:val="3"/>
  </w:num>
  <w:num w:numId="4">
    <w:abstractNumId w:val="6"/>
  </w:num>
  <w:num w:numId="5">
    <w:abstractNumId w:val="5"/>
  </w:num>
  <w:num w:numId="6">
    <w:abstractNumId w:val="11"/>
  </w:num>
  <w:num w:numId="7">
    <w:abstractNumId w:val="12"/>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
  </w:num>
  <w:num w:numId="11">
    <w:abstractNumId w:val="1"/>
  </w:num>
  <w:num w:numId="12">
    <w:abstractNumId w:val="9"/>
  </w:num>
  <w:num w:numId="13">
    <w:abstractNumId w:val="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SpellingErrors/>
  <w:proofState w:grammar="clean"/>
  <w:defaultTabStop w:val="284"/>
  <w:hyphenationZone w:val="396"/>
  <w:drawingGridHorizontalSpacing w:val="110"/>
  <w:displayHorizontalDrawingGridEvery w:val="2"/>
  <w:characterSpacingControl w:val="doNotCompress"/>
  <w:hdrShapeDefaults>
    <o:shapedefaults v:ext="edit" spidmax="67586"/>
  </w:hdrShapeDefaults>
  <w:footnotePr>
    <w:footnote w:id="-1"/>
    <w:footnote w:id="0"/>
  </w:footnotePr>
  <w:endnotePr>
    <w:endnote w:id="-1"/>
    <w:endnote w:id="0"/>
  </w:endnotePr>
  <w:compat/>
  <w:rsids>
    <w:rsidRoot w:val="000517F5"/>
    <w:rsid w:val="0000019F"/>
    <w:rsid w:val="00002F88"/>
    <w:rsid w:val="000053B6"/>
    <w:rsid w:val="00006BA7"/>
    <w:rsid w:val="0001075D"/>
    <w:rsid w:val="00011526"/>
    <w:rsid w:val="00011E86"/>
    <w:rsid w:val="00011F7F"/>
    <w:rsid w:val="00013F59"/>
    <w:rsid w:val="00015FF8"/>
    <w:rsid w:val="00020375"/>
    <w:rsid w:val="00020412"/>
    <w:rsid w:val="00020B00"/>
    <w:rsid w:val="000211A6"/>
    <w:rsid w:val="00023DC1"/>
    <w:rsid w:val="0002687E"/>
    <w:rsid w:val="0002733D"/>
    <w:rsid w:val="000279BF"/>
    <w:rsid w:val="000334E6"/>
    <w:rsid w:val="00034DEC"/>
    <w:rsid w:val="00035F80"/>
    <w:rsid w:val="000364F3"/>
    <w:rsid w:val="0003691F"/>
    <w:rsid w:val="00036CFB"/>
    <w:rsid w:val="00037A16"/>
    <w:rsid w:val="00040268"/>
    <w:rsid w:val="00040F6E"/>
    <w:rsid w:val="0004279E"/>
    <w:rsid w:val="00043692"/>
    <w:rsid w:val="00046441"/>
    <w:rsid w:val="000517F5"/>
    <w:rsid w:val="000519E7"/>
    <w:rsid w:val="00055709"/>
    <w:rsid w:val="000572B1"/>
    <w:rsid w:val="00064F32"/>
    <w:rsid w:val="00065C6D"/>
    <w:rsid w:val="00065E27"/>
    <w:rsid w:val="000676FC"/>
    <w:rsid w:val="00071398"/>
    <w:rsid w:val="00071F77"/>
    <w:rsid w:val="0007271F"/>
    <w:rsid w:val="00073560"/>
    <w:rsid w:val="00073750"/>
    <w:rsid w:val="000767DD"/>
    <w:rsid w:val="00076CBB"/>
    <w:rsid w:val="00080D27"/>
    <w:rsid w:val="000817C6"/>
    <w:rsid w:val="000836E6"/>
    <w:rsid w:val="000844B1"/>
    <w:rsid w:val="000916D7"/>
    <w:rsid w:val="00091B28"/>
    <w:rsid w:val="00095229"/>
    <w:rsid w:val="000958B3"/>
    <w:rsid w:val="000A060F"/>
    <w:rsid w:val="000A1D50"/>
    <w:rsid w:val="000A2087"/>
    <w:rsid w:val="000A31BD"/>
    <w:rsid w:val="000A4533"/>
    <w:rsid w:val="000A4D79"/>
    <w:rsid w:val="000A4D81"/>
    <w:rsid w:val="000A56E6"/>
    <w:rsid w:val="000A5E75"/>
    <w:rsid w:val="000A6F86"/>
    <w:rsid w:val="000A6FBE"/>
    <w:rsid w:val="000A748E"/>
    <w:rsid w:val="000A7613"/>
    <w:rsid w:val="000A7FE3"/>
    <w:rsid w:val="000B0877"/>
    <w:rsid w:val="000B1174"/>
    <w:rsid w:val="000B20F8"/>
    <w:rsid w:val="000B3511"/>
    <w:rsid w:val="000B55F5"/>
    <w:rsid w:val="000B6BC9"/>
    <w:rsid w:val="000B6C0D"/>
    <w:rsid w:val="000B7747"/>
    <w:rsid w:val="000B7E56"/>
    <w:rsid w:val="000C1163"/>
    <w:rsid w:val="000C2C16"/>
    <w:rsid w:val="000C6DF9"/>
    <w:rsid w:val="000C73FD"/>
    <w:rsid w:val="000D0492"/>
    <w:rsid w:val="000D049F"/>
    <w:rsid w:val="000D157B"/>
    <w:rsid w:val="000D3546"/>
    <w:rsid w:val="000D5CF4"/>
    <w:rsid w:val="000E0158"/>
    <w:rsid w:val="000E16B7"/>
    <w:rsid w:val="000E2B3F"/>
    <w:rsid w:val="000E2B81"/>
    <w:rsid w:val="000E2F5C"/>
    <w:rsid w:val="000E3E7A"/>
    <w:rsid w:val="000E464B"/>
    <w:rsid w:val="000F0061"/>
    <w:rsid w:val="000F1665"/>
    <w:rsid w:val="000F36CD"/>
    <w:rsid w:val="000F4C11"/>
    <w:rsid w:val="000F633E"/>
    <w:rsid w:val="00100330"/>
    <w:rsid w:val="001021F2"/>
    <w:rsid w:val="00103664"/>
    <w:rsid w:val="00103AC7"/>
    <w:rsid w:val="0010466C"/>
    <w:rsid w:val="00104689"/>
    <w:rsid w:val="00105565"/>
    <w:rsid w:val="001057C2"/>
    <w:rsid w:val="00106134"/>
    <w:rsid w:val="0011195F"/>
    <w:rsid w:val="00113F9C"/>
    <w:rsid w:val="001144AC"/>
    <w:rsid w:val="00114589"/>
    <w:rsid w:val="00114853"/>
    <w:rsid w:val="001153AA"/>
    <w:rsid w:val="001163EF"/>
    <w:rsid w:val="00116951"/>
    <w:rsid w:val="00117016"/>
    <w:rsid w:val="00120C49"/>
    <w:rsid w:val="00122F4E"/>
    <w:rsid w:val="00123582"/>
    <w:rsid w:val="00125CD8"/>
    <w:rsid w:val="001304F6"/>
    <w:rsid w:val="00131435"/>
    <w:rsid w:val="001321EA"/>
    <w:rsid w:val="001325F8"/>
    <w:rsid w:val="00132819"/>
    <w:rsid w:val="001330C5"/>
    <w:rsid w:val="00133220"/>
    <w:rsid w:val="00133B4D"/>
    <w:rsid w:val="001378FA"/>
    <w:rsid w:val="00140464"/>
    <w:rsid w:val="00140FF9"/>
    <w:rsid w:val="001411D4"/>
    <w:rsid w:val="0014212E"/>
    <w:rsid w:val="00142326"/>
    <w:rsid w:val="00143328"/>
    <w:rsid w:val="00145770"/>
    <w:rsid w:val="0014790C"/>
    <w:rsid w:val="00150593"/>
    <w:rsid w:val="00153813"/>
    <w:rsid w:val="001539AF"/>
    <w:rsid w:val="001565BE"/>
    <w:rsid w:val="00156EDD"/>
    <w:rsid w:val="001576A2"/>
    <w:rsid w:val="00163B27"/>
    <w:rsid w:val="001646A9"/>
    <w:rsid w:val="001655EB"/>
    <w:rsid w:val="00165679"/>
    <w:rsid w:val="00167E41"/>
    <w:rsid w:val="001701DE"/>
    <w:rsid w:val="00170B8F"/>
    <w:rsid w:val="00171DCB"/>
    <w:rsid w:val="00173AB9"/>
    <w:rsid w:val="001762A4"/>
    <w:rsid w:val="00177B69"/>
    <w:rsid w:val="00181F0E"/>
    <w:rsid w:val="001822F9"/>
    <w:rsid w:val="00182F30"/>
    <w:rsid w:val="00183007"/>
    <w:rsid w:val="00184D2E"/>
    <w:rsid w:val="001854A3"/>
    <w:rsid w:val="00190FFC"/>
    <w:rsid w:val="00191F14"/>
    <w:rsid w:val="001936F4"/>
    <w:rsid w:val="00195B2E"/>
    <w:rsid w:val="00196348"/>
    <w:rsid w:val="001A02E5"/>
    <w:rsid w:val="001A0D06"/>
    <w:rsid w:val="001A14AF"/>
    <w:rsid w:val="001A3AB5"/>
    <w:rsid w:val="001A4E86"/>
    <w:rsid w:val="001A5F67"/>
    <w:rsid w:val="001A6A06"/>
    <w:rsid w:val="001B06E5"/>
    <w:rsid w:val="001B088C"/>
    <w:rsid w:val="001B155E"/>
    <w:rsid w:val="001B1D09"/>
    <w:rsid w:val="001B273B"/>
    <w:rsid w:val="001B31A5"/>
    <w:rsid w:val="001B401A"/>
    <w:rsid w:val="001B4E93"/>
    <w:rsid w:val="001B5617"/>
    <w:rsid w:val="001B5D1D"/>
    <w:rsid w:val="001B7D55"/>
    <w:rsid w:val="001C0667"/>
    <w:rsid w:val="001C138E"/>
    <w:rsid w:val="001C1AF1"/>
    <w:rsid w:val="001C22BC"/>
    <w:rsid w:val="001C2535"/>
    <w:rsid w:val="001C2C4D"/>
    <w:rsid w:val="001C3A6A"/>
    <w:rsid w:val="001C3EF5"/>
    <w:rsid w:val="001C52CE"/>
    <w:rsid w:val="001D0A56"/>
    <w:rsid w:val="001D0A63"/>
    <w:rsid w:val="001D0E5D"/>
    <w:rsid w:val="001D11FD"/>
    <w:rsid w:val="001E1DF0"/>
    <w:rsid w:val="001E203F"/>
    <w:rsid w:val="001E29D8"/>
    <w:rsid w:val="001E3941"/>
    <w:rsid w:val="001E3A1B"/>
    <w:rsid w:val="001E727B"/>
    <w:rsid w:val="001F139A"/>
    <w:rsid w:val="001F2148"/>
    <w:rsid w:val="001F3246"/>
    <w:rsid w:val="001F3860"/>
    <w:rsid w:val="001F551E"/>
    <w:rsid w:val="00200E26"/>
    <w:rsid w:val="00201704"/>
    <w:rsid w:val="0020202B"/>
    <w:rsid w:val="00202C7C"/>
    <w:rsid w:val="00204053"/>
    <w:rsid w:val="00204A5D"/>
    <w:rsid w:val="00204D60"/>
    <w:rsid w:val="002062BF"/>
    <w:rsid w:val="0020658B"/>
    <w:rsid w:val="002100D1"/>
    <w:rsid w:val="0021130E"/>
    <w:rsid w:val="0021188D"/>
    <w:rsid w:val="00211EB3"/>
    <w:rsid w:val="00213987"/>
    <w:rsid w:val="00216867"/>
    <w:rsid w:val="002173F0"/>
    <w:rsid w:val="00220D60"/>
    <w:rsid w:val="00221087"/>
    <w:rsid w:val="00221CAD"/>
    <w:rsid w:val="00222231"/>
    <w:rsid w:val="002234E3"/>
    <w:rsid w:val="0022425B"/>
    <w:rsid w:val="002248DE"/>
    <w:rsid w:val="00226819"/>
    <w:rsid w:val="00226EB0"/>
    <w:rsid w:val="00231B31"/>
    <w:rsid w:val="002331FC"/>
    <w:rsid w:val="00236D7F"/>
    <w:rsid w:val="00237051"/>
    <w:rsid w:val="0023768F"/>
    <w:rsid w:val="00237C79"/>
    <w:rsid w:val="00237EF4"/>
    <w:rsid w:val="00241903"/>
    <w:rsid w:val="00247E48"/>
    <w:rsid w:val="0025138C"/>
    <w:rsid w:val="00251ECA"/>
    <w:rsid w:val="002561FB"/>
    <w:rsid w:val="002572F6"/>
    <w:rsid w:val="00260F3A"/>
    <w:rsid w:val="002633C1"/>
    <w:rsid w:val="00265507"/>
    <w:rsid w:val="0027038C"/>
    <w:rsid w:val="002716E9"/>
    <w:rsid w:val="002717C5"/>
    <w:rsid w:val="00273491"/>
    <w:rsid w:val="00276654"/>
    <w:rsid w:val="002769B8"/>
    <w:rsid w:val="00281009"/>
    <w:rsid w:val="00282492"/>
    <w:rsid w:val="002840F6"/>
    <w:rsid w:val="002847A5"/>
    <w:rsid w:val="002867D3"/>
    <w:rsid w:val="0029067A"/>
    <w:rsid w:val="00290A1D"/>
    <w:rsid w:val="00290C32"/>
    <w:rsid w:val="00291601"/>
    <w:rsid w:val="00292C6C"/>
    <w:rsid w:val="0029301D"/>
    <w:rsid w:val="002966B0"/>
    <w:rsid w:val="00297AFE"/>
    <w:rsid w:val="002A05BA"/>
    <w:rsid w:val="002A11E1"/>
    <w:rsid w:val="002A21BD"/>
    <w:rsid w:val="002A4D3F"/>
    <w:rsid w:val="002B1687"/>
    <w:rsid w:val="002B21E6"/>
    <w:rsid w:val="002B3454"/>
    <w:rsid w:val="002B3997"/>
    <w:rsid w:val="002B442B"/>
    <w:rsid w:val="002B5EAF"/>
    <w:rsid w:val="002C29C2"/>
    <w:rsid w:val="002C37AA"/>
    <w:rsid w:val="002C6ECE"/>
    <w:rsid w:val="002D26C7"/>
    <w:rsid w:val="002D2DE2"/>
    <w:rsid w:val="002D43CF"/>
    <w:rsid w:val="002D7F8A"/>
    <w:rsid w:val="002E18F3"/>
    <w:rsid w:val="002E2180"/>
    <w:rsid w:val="002E2D7F"/>
    <w:rsid w:val="002E3453"/>
    <w:rsid w:val="002E404B"/>
    <w:rsid w:val="002E42B8"/>
    <w:rsid w:val="002E4A2B"/>
    <w:rsid w:val="002E51A5"/>
    <w:rsid w:val="002E579D"/>
    <w:rsid w:val="002E628F"/>
    <w:rsid w:val="002E6899"/>
    <w:rsid w:val="002E7394"/>
    <w:rsid w:val="002F19AC"/>
    <w:rsid w:val="002F2189"/>
    <w:rsid w:val="002F3380"/>
    <w:rsid w:val="002F3FAC"/>
    <w:rsid w:val="002F5CFD"/>
    <w:rsid w:val="002F789F"/>
    <w:rsid w:val="002F794D"/>
    <w:rsid w:val="0030246E"/>
    <w:rsid w:val="00302ED9"/>
    <w:rsid w:val="00303213"/>
    <w:rsid w:val="003035BE"/>
    <w:rsid w:val="0031146F"/>
    <w:rsid w:val="0031169D"/>
    <w:rsid w:val="00312396"/>
    <w:rsid w:val="003127EE"/>
    <w:rsid w:val="00312905"/>
    <w:rsid w:val="00312F86"/>
    <w:rsid w:val="00313633"/>
    <w:rsid w:val="003136CC"/>
    <w:rsid w:val="00316B6D"/>
    <w:rsid w:val="00316D38"/>
    <w:rsid w:val="0031775A"/>
    <w:rsid w:val="0032030B"/>
    <w:rsid w:val="0032101B"/>
    <w:rsid w:val="00321BFE"/>
    <w:rsid w:val="003227A9"/>
    <w:rsid w:val="00326B1B"/>
    <w:rsid w:val="0033174C"/>
    <w:rsid w:val="00332520"/>
    <w:rsid w:val="00333AED"/>
    <w:rsid w:val="00333F88"/>
    <w:rsid w:val="00334B2C"/>
    <w:rsid w:val="00334F34"/>
    <w:rsid w:val="003410B2"/>
    <w:rsid w:val="00342498"/>
    <w:rsid w:val="00343350"/>
    <w:rsid w:val="00343D60"/>
    <w:rsid w:val="00345824"/>
    <w:rsid w:val="00347517"/>
    <w:rsid w:val="00347E5F"/>
    <w:rsid w:val="00347FD8"/>
    <w:rsid w:val="00352D64"/>
    <w:rsid w:val="0035400D"/>
    <w:rsid w:val="00354025"/>
    <w:rsid w:val="00354468"/>
    <w:rsid w:val="00354EC0"/>
    <w:rsid w:val="0035547E"/>
    <w:rsid w:val="003557CC"/>
    <w:rsid w:val="003574A7"/>
    <w:rsid w:val="00357BAB"/>
    <w:rsid w:val="003616C2"/>
    <w:rsid w:val="00362B17"/>
    <w:rsid w:val="003638D2"/>
    <w:rsid w:val="0036453F"/>
    <w:rsid w:val="00365A5C"/>
    <w:rsid w:val="0037032E"/>
    <w:rsid w:val="00370453"/>
    <w:rsid w:val="0037166D"/>
    <w:rsid w:val="00371816"/>
    <w:rsid w:val="00377B1C"/>
    <w:rsid w:val="003808CC"/>
    <w:rsid w:val="00380B36"/>
    <w:rsid w:val="0038301F"/>
    <w:rsid w:val="0038400E"/>
    <w:rsid w:val="00386265"/>
    <w:rsid w:val="00390267"/>
    <w:rsid w:val="00390562"/>
    <w:rsid w:val="003912FD"/>
    <w:rsid w:val="0039320D"/>
    <w:rsid w:val="0039481A"/>
    <w:rsid w:val="003979E6"/>
    <w:rsid w:val="003A07D8"/>
    <w:rsid w:val="003A3E00"/>
    <w:rsid w:val="003A41D8"/>
    <w:rsid w:val="003A5B96"/>
    <w:rsid w:val="003A6E08"/>
    <w:rsid w:val="003B1B59"/>
    <w:rsid w:val="003B2854"/>
    <w:rsid w:val="003B355C"/>
    <w:rsid w:val="003B54AD"/>
    <w:rsid w:val="003B587A"/>
    <w:rsid w:val="003B6421"/>
    <w:rsid w:val="003B70AB"/>
    <w:rsid w:val="003B7182"/>
    <w:rsid w:val="003B7DE4"/>
    <w:rsid w:val="003C046B"/>
    <w:rsid w:val="003C644C"/>
    <w:rsid w:val="003D07A4"/>
    <w:rsid w:val="003D1427"/>
    <w:rsid w:val="003D31F5"/>
    <w:rsid w:val="003D4191"/>
    <w:rsid w:val="003E2625"/>
    <w:rsid w:val="003E39CE"/>
    <w:rsid w:val="003E50BD"/>
    <w:rsid w:val="003E6F65"/>
    <w:rsid w:val="003E7EDB"/>
    <w:rsid w:val="003F30D9"/>
    <w:rsid w:val="003F4366"/>
    <w:rsid w:val="003F4AC3"/>
    <w:rsid w:val="003F4B14"/>
    <w:rsid w:val="003F630D"/>
    <w:rsid w:val="003F7283"/>
    <w:rsid w:val="003F7E72"/>
    <w:rsid w:val="00403845"/>
    <w:rsid w:val="004052F3"/>
    <w:rsid w:val="0040535C"/>
    <w:rsid w:val="00407A19"/>
    <w:rsid w:val="0041094C"/>
    <w:rsid w:val="00411140"/>
    <w:rsid w:val="0041177C"/>
    <w:rsid w:val="004146BA"/>
    <w:rsid w:val="00417830"/>
    <w:rsid w:val="00420AF8"/>
    <w:rsid w:val="00425253"/>
    <w:rsid w:val="004264CB"/>
    <w:rsid w:val="0042752A"/>
    <w:rsid w:val="00427EFF"/>
    <w:rsid w:val="00427F93"/>
    <w:rsid w:val="00430D1B"/>
    <w:rsid w:val="00431E9A"/>
    <w:rsid w:val="00432232"/>
    <w:rsid w:val="004334B2"/>
    <w:rsid w:val="00436194"/>
    <w:rsid w:val="004368B5"/>
    <w:rsid w:val="00437359"/>
    <w:rsid w:val="0043764E"/>
    <w:rsid w:val="00442A3B"/>
    <w:rsid w:val="0044588F"/>
    <w:rsid w:val="00447D2E"/>
    <w:rsid w:val="00453847"/>
    <w:rsid w:val="0045394A"/>
    <w:rsid w:val="00457EBF"/>
    <w:rsid w:val="00460A73"/>
    <w:rsid w:val="00462DC5"/>
    <w:rsid w:val="004676E7"/>
    <w:rsid w:val="00470A6A"/>
    <w:rsid w:val="00472314"/>
    <w:rsid w:val="00472D6D"/>
    <w:rsid w:val="004732B2"/>
    <w:rsid w:val="00476AEC"/>
    <w:rsid w:val="00477B0B"/>
    <w:rsid w:val="00483C37"/>
    <w:rsid w:val="00483DCC"/>
    <w:rsid w:val="00484E07"/>
    <w:rsid w:val="00485318"/>
    <w:rsid w:val="00485C62"/>
    <w:rsid w:val="00490475"/>
    <w:rsid w:val="00491053"/>
    <w:rsid w:val="00491940"/>
    <w:rsid w:val="004958D5"/>
    <w:rsid w:val="00495FF0"/>
    <w:rsid w:val="00497322"/>
    <w:rsid w:val="004A1F1C"/>
    <w:rsid w:val="004A77DC"/>
    <w:rsid w:val="004B2B67"/>
    <w:rsid w:val="004B2F09"/>
    <w:rsid w:val="004B39C6"/>
    <w:rsid w:val="004B535D"/>
    <w:rsid w:val="004B5653"/>
    <w:rsid w:val="004B6429"/>
    <w:rsid w:val="004B716C"/>
    <w:rsid w:val="004B7BD7"/>
    <w:rsid w:val="004C0673"/>
    <w:rsid w:val="004C1208"/>
    <w:rsid w:val="004C17BD"/>
    <w:rsid w:val="004C1E38"/>
    <w:rsid w:val="004C2A58"/>
    <w:rsid w:val="004C4920"/>
    <w:rsid w:val="004C53D4"/>
    <w:rsid w:val="004C54B0"/>
    <w:rsid w:val="004C58EF"/>
    <w:rsid w:val="004C62B8"/>
    <w:rsid w:val="004C6757"/>
    <w:rsid w:val="004C71ED"/>
    <w:rsid w:val="004D0690"/>
    <w:rsid w:val="004D0A61"/>
    <w:rsid w:val="004D14FA"/>
    <w:rsid w:val="004D1941"/>
    <w:rsid w:val="004D2CD1"/>
    <w:rsid w:val="004D44CC"/>
    <w:rsid w:val="004D5229"/>
    <w:rsid w:val="004D7EF0"/>
    <w:rsid w:val="004E168C"/>
    <w:rsid w:val="004E185D"/>
    <w:rsid w:val="004E1F9B"/>
    <w:rsid w:val="004E4228"/>
    <w:rsid w:val="004E46F8"/>
    <w:rsid w:val="004E56B6"/>
    <w:rsid w:val="004F1239"/>
    <w:rsid w:val="004F4223"/>
    <w:rsid w:val="004F4814"/>
    <w:rsid w:val="004F62A7"/>
    <w:rsid w:val="004F6CC4"/>
    <w:rsid w:val="004F6F43"/>
    <w:rsid w:val="004F7C4F"/>
    <w:rsid w:val="00500D11"/>
    <w:rsid w:val="005016EA"/>
    <w:rsid w:val="00501BF3"/>
    <w:rsid w:val="00502D18"/>
    <w:rsid w:val="005035CF"/>
    <w:rsid w:val="00505541"/>
    <w:rsid w:val="0050657E"/>
    <w:rsid w:val="00507033"/>
    <w:rsid w:val="00507471"/>
    <w:rsid w:val="0051420F"/>
    <w:rsid w:val="00514D5B"/>
    <w:rsid w:val="00516326"/>
    <w:rsid w:val="00517604"/>
    <w:rsid w:val="0052019C"/>
    <w:rsid w:val="00520F33"/>
    <w:rsid w:val="00521973"/>
    <w:rsid w:val="005241C5"/>
    <w:rsid w:val="00525434"/>
    <w:rsid w:val="00525828"/>
    <w:rsid w:val="00530DC3"/>
    <w:rsid w:val="00532C58"/>
    <w:rsid w:val="00533D32"/>
    <w:rsid w:val="00534F64"/>
    <w:rsid w:val="00535094"/>
    <w:rsid w:val="00536647"/>
    <w:rsid w:val="00536E54"/>
    <w:rsid w:val="00537ADD"/>
    <w:rsid w:val="00537B5F"/>
    <w:rsid w:val="00537B85"/>
    <w:rsid w:val="00544476"/>
    <w:rsid w:val="005470AB"/>
    <w:rsid w:val="00547321"/>
    <w:rsid w:val="005527B4"/>
    <w:rsid w:val="00554578"/>
    <w:rsid w:val="00557D37"/>
    <w:rsid w:val="00561440"/>
    <w:rsid w:val="00561875"/>
    <w:rsid w:val="0056360A"/>
    <w:rsid w:val="00564CB5"/>
    <w:rsid w:val="00570B5B"/>
    <w:rsid w:val="00570D07"/>
    <w:rsid w:val="00572B4E"/>
    <w:rsid w:val="00576BB1"/>
    <w:rsid w:val="00581EC3"/>
    <w:rsid w:val="00582952"/>
    <w:rsid w:val="00583A27"/>
    <w:rsid w:val="00584C61"/>
    <w:rsid w:val="00587284"/>
    <w:rsid w:val="00590005"/>
    <w:rsid w:val="00591F7F"/>
    <w:rsid w:val="005925B5"/>
    <w:rsid w:val="00594255"/>
    <w:rsid w:val="0059498B"/>
    <w:rsid w:val="005955E7"/>
    <w:rsid w:val="00595853"/>
    <w:rsid w:val="00597826"/>
    <w:rsid w:val="005A07B4"/>
    <w:rsid w:val="005A2757"/>
    <w:rsid w:val="005A28B0"/>
    <w:rsid w:val="005A655E"/>
    <w:rsid w:val="005A67AD"/>
    <w:rsid w:val="005B0AAD"/>
    <w:rsid w:val="005B1271"/>
    <w:rsid w:val="005B130F"/>
    <w:rsid w:val="005B172A"/>
    <w:rsid w:val="005B25E5"/>
    <w:rsid w:val="005B4232"/>
    <w:rsid w:val="005B77AE"/>
    <w:rsid w:val="005B7D32"/>
    <w:rsid w:val="005C065A"/>
    <w:rsid w:val="005C0B88"/>
    <w:rsid w:val="005C17D9"/>
    <w:rsid w:val="005C2FC2"/>
    <w:rsid w:val="005C3F65"/>
    <w:rsid w:val="005C4959"/>
    <w:rsid w:val="005D2F24"/>
    <w:rsid w:val="005D3180"/>
    <w:rsid w:val="005D4C3E"/>
    <w:rsid w:val="005D5F53"/>
    <w:rsid w:val="005D718C"/>
    <w:rsid w:val="005D7A30"/>
    <w:rsid w:val="005E2DF6"/>
    <w:rsid w:val="005E421B"/>
    <w:rsid w:val="005E531F"/>
    <w:rsid w:val="005E54B5"/>
    <w:rsid w:val="005F0F20"/>
    <w:rsid w:val="005F194F"/>
    <w:rsid w:val="005F2C08"/>
    <w:rsid w:val="005F3A38"/>
    <w:rsid w:val="005F43F3"/>
    <w:rsid w:val="00600708"/>
    <w:rsid w:val="006039FA"/>
    <w:rsid w:val="00605520"/>
    <w:rsid w:val="00606E14"/>
    <w:rsid w:val="00607014"/>
    <w:rsid w:val="006075B8"/>
    <w:rsid w:val="00616BBF"/>
    <w:rsid w:val="006208D2"/>
    <w:rsid w:val="00621E60"/>
    <w:rsid w:val="00624A3F"/>
    <w:rsid w:val="00627562"/>
    <w:rsid w:val="00627566"/>
    <w:rsid w:val="0063030D"/>
    <w:rsid w:val="00630E33"/>
    <w:rsid w:val="00631568"/>
    <w:rsid w:val="00631893"/>
    <w:rsid w:val="00631E6D"/>
    <w:rsid w:val="0063234A"/>
    <w:rsid w:val="00633636"/>
    <w:rsid w:val="00633E58"/>
    <w:rsid w:val="00634324"/>
    <w:rsid w:val="006374D3"/>
    <w:rsid w:val="006377DD"/>
    <w:rsid w:val="00637EDD"/>
    <w:rsid w:val="0064004E"/>
    <w:rsid w:val="00640E0E"/>
    <w:rsid w:val="00641605"/>
    <w:rsid w:val="00650031"/>
    <w:rsid w:val="00650DD6"/>
    <w:rsid w:val="00651EF1"/>
    <w:rsid w:val="00653B68"/>
    <w:rsid w:val="006551E0"/>
    <w:rsid w:val="00655239"/>
    <w:rsid w:val="00656726"/>
    <w:rsid w:val="006606AC"/>
    <w:rsid w:val="00661337"/>
    <w:rsid w:val="00661E31"/>
    <w:rsid w:val="006631A4"/>
    <w:rsid w:val="00663B2D"/>
    <w:rsid w:val="00664255"/>
    <w:rsid w:val="00664F40"/>
    <w:rsid w:val="00666473"/>
    <w:rsid w:val="00667ED9"/>
    <w:rsid w:val="006740E5"/>
    <w:rsid w:val="0067511C"/>
    <w:rsid w:val="006754EE"/>
    <w:rsid w:val="006755D8"/>
    <w:rsid w:val="006768B8"/>
    <w:rsid w:val="0068096B"/>
    <w:rsid w:val="00680FFF"/>
    <w:rsid w:val="0068136B"/>
    <w:rsid w:val="0068270C"/>
    <w:rsid w:val="00684D81"/>
    <w:rsid w:val="00686056"/>
    <w:rsid w:val="0068755D"/>
    <w:rsid w:val="0069112C"/>
    <w:rsid w:val="00692489"/>
    <w:rsid w:val="00694F5C"/>
    <w:rsid w:val="00695463"/>
    <w:rsid w:val="006975C8"/>
    <w:rsid w:val="006A19FA"/>
    <w:rsid w:val="006A3DFD"/>
    <w:rsid w:val="006A45C2"/>
    <w:rsid w:val="006A49A2"/>
    <w:rsid w:val="006A55F4"/>
    <w:rsid w:val="006A7687"/>
    <w:rsid w:val="006B2E2C"/>
    <w:rsid w:val="006B3448"/>
    <w:rsid w:val="006B599F"/>
    <w:rsid w:val="006B6909"/>
    <w:rsid w:val="006C16A8"/>
    <w:rsid w:val="006C36D3"/>
    <w:rsid w:val="006C38F9"/>
    <w:rsid w:val="006C42B7"/>
    <w:rsid w:val="006D1B24"/>
    <w:rsid w:val="006D20F7"/>
    <w:rsid w:val="006D214F"/>
    <w:rsid w:val="006D284D"/>
    <w:rsid w:val="006D40C4"/>
    <w:rsid w:val="006D436F"/>
    <w:rsid w:val="006D605D"/>
    <w:rsid w:val="006D608B"/>
    <w:rsid w:val="006E0558"/>
    <w:rsid w:val="006E12D7"/>
    <w:rsid w:val="006E2927"/>
    <w:rsid w:val="006E2EB9"/>
    <w:rsid w:val="006E3010"/>
    <w:rsid w:val="006E4110"/>
    <w:rsid w:val="006E58C2"/>
    <w:rsid w:val="006E6C6A"/>
    <w:rsid w:val="006E74F4"/>
    <w:rsid w:val="006E7BE2"/>
    <w:rsid w:val="006F0A3E"/>
    <w:rsid w:val="006F1027"/>
    <w:rsid w:val="006F1924"/>
    <w:rsid w:val="006F1A98"/>
    <w:rsid w:val="006F224D"/>
    <w:rsid w:val="006F3BA3"/>
    <w:rsid w:val="006F4B4E"/>
    <w:rsid w:val="006F4D47"/>
    <w:rsid w:val="006F72F0"/>
    <w:rsid w:val="007007B9"/>
    <w:rsid w:val="00701735"/>
    <w:rsid w:val="0070214A"/>
    <w:rsid w:val="00702495"/>
    <w:rsid w:val="00702C3C"/>
    <w:rsid w:val="00707035"/>
    <w:rsid w:val="0071019E"/>
    <w:rsid w:val="007121DD"/>
    <w:rsid w:val="007129BC"/>
    <w:rsid w:val="007170C7"/>
    <w:rsid w:val="007174F2"/>
    <w:rsid w:val="00717ABA"/>
    <w:rsid w:val="0072209F"/>
    <w:rsid w:val="007238CC"/>
    <w:rsid w:val="0072405C"/>
    <w:rsid w:val="00725103"/>
    <w:rsid w:val="007254B0"/>
    <w:rsid w:val="00726C58"/>
    <w:rsid w:val="00731FB3"/>
    <w:rsid w:val="00734DC4"/>
    <w:rsid w:val="00737270"/>
    <w:rsid w:val="00737468"/>
    <w:rsid w:val="00740CA5"/>
    <w:rsid w:val="00740E1C"/>
    <w:rsid w:val="00743EC8"/>
    <w:rsid w:val="00744865"/>
    <w:rsid w:val="00746B35"/>
    <w:rsid w:val="00750828"/>
    <w:rsid w:val="00750C1D"/>
    <w:rsid w:val="0075122B"/>
    <w:rsid w:val="00752952"/>
    <w:rsid w:val="00755B32"/>
    <w:rsid w:val="00755F24"/>
    <w:rsid w:val="007606B5"/>
    <w:rsid w:val="00762112"/>
    <w:rsid w:val="007629E2"/>
    <w:rsid w:val="00763F35"/>
    <w:rsid w:val="00764062"/>
    <w:rsid w:val="007660DA"/>
    <w:rsid w:val="007706CC"/>
    <w:rsid w:val="0077174D"/>
    <w:rsid w:val="00772B9C"/>
    <w:rsid w:val="00772F2D"/>
    <w:rsid w:val="00775570"/>
    <w:rsid w:val="00776E07"/>
    <w:rsid w:val="00776F8A"/>
    <w:rsid w:val="00777EA8"/>
    <w:rsid w:val="00783294"/>
    <w:rsid w:val="00785110"/>
    <w:rsid w:val="00785452"/>
    <w:rsid w:val="00785659"/>
    <w:rsid w:val="007864CB"/>
    <w:rsid w:val="007868A0"/>
    <w:rsid w:val="00787365"/>
    <w:rsid w:val="0079222B"/>
    <w:rsid w:val="007A030B"/>
    <w:rsid w:val="007A0DA9"/>
    <w:rsid w:val="007A136C"/>
    <w:rsid w:val="007A163E"/>
    <w:rsid w:val="007A185D"/>
    <w:rsid w:val="007A2AE1"/>
    <w:rsid w:val="007A410E"/>
    <w:rsid w:val="007A4FE1"/>
    <w:rsid w:val="007A7368"/>
    <w:rsid w:val="007A7EA3"/>
    <w:rsid w:val="007B008E"/>
    <w:rsid w:val="007B0203"/>
    <w:rsid w:val="007B1A6E"/>
    <w:rsid w:val="007B258A"/>
    <w:rsid w:val="007B2EB4"/>
    <w:rsid w:val="007B41FD"/>
    <w:rsid w:val="007C0CB8"/>
    <w:rsid w:val="007C153F"/>
    <w:rsid w:val="007C2E19"/>
    <w:rsid w:val="007C4356"/>
    <w:rsid w:val="007C77D0"/>
    <w:rsid w:val="007D022D"/>
    <w:rsid w:val="007D07A6"/>
    <w:rsid w:val="007D0E25"/>
    <w:rsid w:val="007D1CBF"/>
    <w:rsid w:val="007D3A19"/>
    <w:rsid w:val="007D4DD9"/>
    <w:rsid w:val="007D60EC"/>
    <w:rsid w:val="007D7287"/>
    <w:rsid w:val="007D7526"/>
    <w:rsid w:val="007E25E9"/>
    <w:rsid w:val="007E3F6B"/>
    <w:rsid w:val="007E4AD4"/>
    <w:rsid w:val="007E618C"/>
    <w:rsid w:val="007E65FA"/>
    <w:rsid w:val="007E7DA1"/>
    <w:rsid w:val="007F05D0"/>
    <w:rsid w:val="007F09E6"/>
    <w:rsid w:val="007F7C8C"/>
    <w:rsid w:val="008020AD"/>
    <w:rsid w:val="008035C6"/>
    <w:rsid w:val="00805380"/>
    <w:rsid w:val="00807387"/>
    <w:rsid w:val="00807A74"/>
    <w:rsid w:val="00807D23"/>
    <w:rsid w:val="008105A4"/>
    <w:rsid w:val="00811259"/>
    <w:rsid w:val="0081142C"/>
    <w:rsid w:val="0081295D"/>
    <w:rsid w:val="008154BB"/>
    <w:rsid w:val="008170BE"/>
    <w:rsid w:val="00817340"/>
    <w:rsid w:val="00817A38"/>
    <w:rsid w:val="008201AC"/>
    <w:rsid w:val="00821ECB"/>
    <w:rsid w:val="008222E8"/>
    <w:rsid w:val="00823334"/>
    <w:rsid w:val="008312AA"/>
    <w:rsid w:val="008315C5"/>
    <w:rsid w:val="00831767"/>
    <w:rsid w:val="008320BA"/>
    <w:rsid w:val="00834831"/>
    <w:rsid w:val="00835F80"/>
    <w:rsid w:val="0083640A"/>
    <w:rsid w:val="00837CA4"/>
    <w:rsid w:val="00840C22"/>
    <w:rsid w:val="00842D51"/>
    <w:rsid w:val="00843497"/>
    <w:rsid w:val="0084486E"/>
    <w:rsid w:val="008465A8"/>
    <w:rsid w:val="00846DB1"/>
    <w:rsid w:val="00847013"/>
    <w:rsid w:val="008473A8"/>
    <w:rsid w:val="00847A73"/>
    <w:rsid w:val="00847C9E"/>
    <w:rsid w:val="00847FA4"/>
    <w:rsid w:val="008535D2"/>
    <w:rsid w:val="00855D50"/>
    <w:rsid w:val="00855EA3"/>
    <w:rsid w:val="00857DC9"/>
    <w:rsid w:val="00861C5F"/>
    <w:rsid w:val="0086258F"/>
    <w:rsid w:val="008626B4"/>
    <w:rsid w:val="008656F2"/>
    <w:rsid w:val="00866ED4"/>
    <w:rsid w:val="0086704A"/>
    <w:rsid w:val="00870685"/>
    <w:rsid w:val="0087069B"/>
    <w:rsid w:val="00870B6B"/>
    <w:rsid w:val="00872AD3"/>
    <w:rsid w:val="00873A25"/>
    <w:rsid w:val="008766EE"/>
    <w:rsid w:val="00880AAC"/>
    <w:rsid w:val="008825DC"/>
    <w:rsid w:val="0088458A"/>
    <w:rsid w:val="00885D4A"/>
    <w:rsid w:val="008925E1"/>
    <w:rsid w:val="00893AD1"/>
    <w:rsid w:val="00896174"/>
    <w:rsid w:val="008965F8"/>
    <w:rsid w:val="00897884"/>
    <w:rsid w:val="008A1E4E"/>
    <w:rsid w:val="008A2E60"/>
    <w:rsid w:val="008A3173"/>
    <w:rsid w:val="008A409B"/>
    <w:rsid w:val="008A49D5"/>
    <w:rsid w:val="008A6110"/>
    <w:rsid w:val="008A7744"/>
    <w:rsid w:val="008B070A"/>
    <w:rsid w:val="008B37E7"/>
    <w:rsid w:val="008B3DB8"/>
    <w:rsid w:val="008B456A"/>
    <w:rsid w:val="008B5884"/>
    <w:rsid w:val="008D0A07"/>
    <w:rsid w:val="008D6CCC"/>
    <w:rsid w:val="008D7545"/>
    <w:rsid w:val="008D7F3F"/>
    <w:rsid w:val="008E0FDF"/>
    <w:rsid w:val="008E1860"/>
    <w:rsid w:val="008E2128"/>
    <w:rsid w:val="008E29E0"/>
    <w:rsid w:val="008E333B"/>
    <w:rsid w:val="008E69E7"/>
    <w:rsid w:val="008F1031"/>
    <w:rsid w:val="008F1E61"/>
    <w:rsid w:val="008F6877"/>
    <w:rsid w:val="00902E77"/>
    <w:rsid w:val="00903129"/>
    <w:rsid w:val="00904AA5"/>
    <w:rsid w:val="0090719E"/>
    <w:rsid w:val="00913C26"/>
    <w:rsid w:val="009165DC"/>
    <w:rsid w:val="00916983"/>
    <w:rsid w:val="00917BD1"/>
    <w:rsid w:val="00922483"/>
    <w:rsid w:val="009229BA"/>
    <w:rsid w:val="00927BF8"/>
    <w:rsid w:val="009326C3"/>
    <w:rsid w:val="00942A41"/>
    <w:rsid w:val="00944FB5"/>
    <w:rsid w:val="00945095"/>
    <w:rsid w:val="00945497"/>
    <w:rsid w:val="009460EB"/>
    <w:rsid w:val="00946133"/>
    <w:rsid w:val="00946A1F"/>
    <w:rsid w:val="0095073F"/>
    <w:rsid w:val="009521D5"/>
    <w:rsid w:val="00954B93"/>
    <w:rsid w:val="00960EFF"/>
    <w:rsid w:val="00960FBB"/>
    <w:rsid w:val="00962495"/>
    <w:rsid w:val="009632F7"/>
    <w:rsid w:val="009642CC"/>
    <w:rsid w:val="00965ACB"/>
    <w:rsid w:val="00965B66"/>
    <w:rsid w:val="0097007F"/>
    <w:rsid w:val="0097178D"/>
    <w:rsid w:val="00974262"/>
    <w:rsid w:val="00976961"/>
    <w:rsid w:val="00984134"/>
    <w:rsid w:val="00985B56"/>
    <w:rsid w:val="009867F4"/>
    <w:rsid w:val="0098688F"/>
    <w:rsid w:val="00987525"/>
    <w:rsid w:val="009913FB"/>
    <w:rsid w:val="00992FE4"/>
    <w:rsid w:val="0099514C"/>
    <w:rsid w:val="0099718C"/>
    <w:rsid w:val="009A1113"/>
    <w:rsid w:val="009A15C5"/>
    <w:rsid w:val="009A5617"/>
    <w:rsid w:val="009A6092"/>
    <w:rsid w:val="009A7CED"/>
    <w:rsid w:val="009B0DE3"/>
    <w:rsid w:val="009B0E68"/>
    <w:rsid w:val="009B4496"/>
    <w:rsid w:val="009B65AD"/>
    <w:rsid w:val="009B77DD"/>
    <w:rsid w:val="009C1841"/>
    <w:rsid w:val="009C2871"/>
    <w:rsid w:val="009C2D9F"/>
    <w:rsid w:val="009C3996"/>
    <w:rsid w:val="009D0B5A"/>
    <w:rsid w:val="009D0C48"/>
    <w:rsid w:val="009D3961"/>
    <w:rsid w:val="009D6DD9"/>
    <w:rsid w:val="009E0974"/>
    <w:rsid w:val="009E2DDF"/>
    <w:rsid w:val="009E392D"/>
    <w:rsid w:val="009E6912"/>
    <w:rsid w:val="009E727A"/>
    <w:rsid w:val="009E7FE3"/>
    <w:rsid w:val="009F18A2"/>
    <w:rsid w:val="009F2D04"/>
    <w:rsid w:val="009F36F4"/>
    <w:rsid w:val="009F47C0"/>
    <w:rsid w:val="009F51DF"/>
    <w:rsid w:val="009F6978"/>
    <w:rsid w:val="00A00719"/>
    <w:rsid w:val="00A02497"/>
    <w:rsid w:val="00A02618"/>
    <w:rsid w:val="00A039F1"/>
    <w:rsid w:val="00A041D2"/>
    <w:rsid w:val="00A05725"/>
    <w:rsid w:val="00A05F9B"/>
    <w:rsid w:val="00A075B1"/>
    <w:rsid w:val="00A079FB"/>
    <w:rsid w:val="00A11565"/>
    <w:rsid w:val="00A12BDE"/>
    <w:rsid w:val="00A1320A"/>
    <w:rsid w:val="00A145A6"/>
    <w:rsid w:val="00A15389"/>
    <w:rsid w:val="00A1562E"/>
    <w:rsid w:val="00A252AC"/>
    <w:rsid w:val="00A257EE"/>
    <w:rsid w:val="00A2696C"/>
    <w:rsid w:val="00A30345"/>
    <w:rsid w:val="00A33005"/>
    <w:rsid w:val="00A33790"/>
    <w:rsid w:val="00A376AE"/>
    <w:rsid w:val="00A40C4C"/>
    <w:rsid w:val="00A45521"/>
    <w:rsid w:val="00A46652"/>
    <w:rsid w:val="00A47625"/>
    <w:rsid w:val="00A5087B"/>
    <w:rsid w:val="00A526A0"/>
    <w:rsid w:val="00A5295E"/>
    <w:rsid w:val="00A52DF3"/>
    <w:rsid w:val="00A577DE"/>
    <w:rsid w:val="00A57EE8"/>
    <w:rsid w:val="00A61186"/>
    <w:rsid w:val="00A62257"/>
    <w:rsid w:val="00A63DF5"/>
    <w:rsid w:val="00A641E3"/>
    <w:rsid w:val="00A662FB"/>
    <w:rsid w:val="00A7272E"/>
    <w:rsid w:val="00A7435D"/>
    <w:rsid w:val="00A75B4E"/>
    <w:rsid w:val="00A776E2"/>
    <w:rsid w:val="00A845A0"/>
    <w:rsid w:val="00A84757"/>
    <w:rsid w:val="00A86524"/>
    <w:rsid w:val="00A87FEA"/>
    <w:rsid w:val="00A90089"/>
    <w:rsid w:val="00A91337"/>
    <w:rsid w:val="00A91F3A"/>
    <w:rsid w:val="00A92A37"/>
    <w:rsid w:val="00A9450C"/>
    <w:rsid w:val="00A9473B"/>
    <w:rsid w:val="00A97010"/>
    <w:rsid w:val="00AA00A3"/>
    <w:rsid w:val="00AA2490"/>
    <w:rsid w:val="00AA2584"/>
    <w:rsid w:val="00AA2EED"/>
    <w:rsid w:val="00AA327E"/>
    <w:rsid w:val="00AA4592"/>
    <w:rsid w:val="00AA5AC3"/>
    <w:rsid w:val="00AA73F1"/>
    <w:rsid w:val="00AB093F"/>
    <w:rsid w:val="00AB137E"/>
    <w:rsid w:val="00AB2D8C"/>
    <w:rsid w:val="00AC04F7"/>
    <w:rsid w:val="00AC1E27"/>
    <w:rsid w:val="00AC25E3"/>
    <w:rsid w:val="00AC2E03"/>
    <w:rsid w:val="00AC55C0"/>
    <w:rsid w:val="00AC5997"/>
    <w:rsid w:val="00AC5E1A"/>
    <w:rsid w:val="00AC6EF7"/>
    <w:rsid w:val="00AC76A0"/>
    <w:rsid w:val="00AC7B8D"/>
    <w:rsid w:val="00AC7C64"/>
    <w:rsid w:val="00AD0FCA"/>
    <w:rsid w:val="00AD137E"/>
    <w:rsid w:val="00AD2CB4"/>
    <w:rsid w:val="00AD34B7"/>
    <w:rsid w:val="00AD36AA"/>
    <w:rsid w:val="00AD3D58"/>
    <w:rsid w:val="00AD6A99"/>
    <w:rsid w:val="00AE1381"/>
    <w:rsid w:val="00AE3C14"/>
    <w:rsid w:val="00AE3E48"/>
    <w:rsid w:val="00AE5E7D"/>
    <w:rsid w:val="00AE5F5D"/>
    <w:rsid w:val="00AE6164"/>
    <w:rsid w:val="00AE6F29"/>
    <w:rsid w:val="00AE7070"/>
    <w:rsid w:val="00AF278D"/>
    <w:rsid w:val="00AF4BE2"/>
    <w:rsid w:val="00B00BD4"/>
    <w:rsid w:val="00B016FF"/>
    <w:rsid w:val="00B01D78"/>
    <w:rsid w:val="00B03211"/>
    <w:rsid w:val="00B042F3"/>
    <w:rsid w:val="00B04633"/>
    <w:rsid w:val="00B0765F"/>
    <w:rsid w:val="00B10039"/>
    <w:rsid w:val="00B115A1"/>
    <w:rsid w:val="00B115D6"/>
    <w:rsid w:val="00B12B5A"/>
    <w:rsid w:val="00B16466"/>
    <w:rsid w:val="00B1669F"/>
    <w:rsid w:val="00B17E85"/>
    <w:rsid w:val="00B217D8"/>
    <w:rsid w:val="00B233A5"/>
    <w:rsid w:val="00B27F22"/>
    <w:rsid w:val="00B3003B"/>
    <w:rsid w:val="00B355E9"/>
    <w:rsid w:val="00B37382"/>
    <w:rsid w:val="00B37E3B"/>
    <w:rsid w:val="00B40B79"/>
    <w:rsid w:val="00B42BE3"/>
    <w:rsid w:val="00B43C29"/>
    <w:rsid w:val="00B4491A"/>
    <w:rsid w:val="00B449DE"/>
    <w:rsid w:val="00B4501C"/>
    <w:rsid w:val="00B46267"/>
    <w:rsid w:val="00B46566"/>
    <w:rsid w:val="00B46820"/>
    <w:rsid w:val="00B46AAF"/>
    <w:rsid w:val="00B46ABC"/>
    <w:rsid w:val="00B46FCD"/>
    <w:rsid w:val="00B470C9"/>
    <w:rsid w:val="00B50F12"/>
    <w:rsid w:val="00B52379"/>
    <w:rsid w:val="00B53DDB"/>
    <w:rsid w:val="00B562F6"/>
    <w:rsid w:val="00B57005"/>
    <w:rsid w:val="00B67A58"/>
    <w:rsid w:val="00B70B32"/>
    <w:rsid w:val="00B7167A"/>
    <w:rsid w:val="00B72617"/>
    <w:rsid w:val="00B744DD"/>
    <w:rsid w:val="00B74620"/>
    <w:rsid w:val="00B7607A"/>
    <w:rsid w:val="00B77730"/>
    <w:rsid w:val="00B77CB9"/>
    <w:rsid w:val="00B77D12"/>
    <w:rsid w:val="00B800E7"/>
    <w:rsid w:val="00B819C3"/>
    <w:rsid w:val="00B84894"/>
    <w:rsid w:val="00B84CD3"/>
    <w:rsid w:val="00B8529D"/>
    <w:rsid w:val="00B868FB"/>
    <w:rsid w:val="00B86E51"/>
    <w:rsid w:val="00B93397"/>
    <w:rsid w:val="00B9388C"/>
    <w:rsid w:val="00B94766"/>
    <w:rsid w:val="00B94EDA"/>
    <w:rsid w:val="00B9565B"/>
    <w:rsid w:val="00B95C9D"/>
    <w:rsid w:val="00B95F33"/>
    <w:rsid w:val="00B9727A"/>
    <w:rsid w:val="00BA063C"/>
    <w:rsid w:val="00BA1434"/>
    <w:rsid w:val="00BA1DC6"/>
    <w:rsid w:val="00BA20BD"/>
    <w:rsid w:val="00BA27E3"/>
    <w:rsid w:val="00BA3C88"/>
    <w:rsid w:val="00BA4C90"/>
    <w:rsid w:val="00BA7042"/>
    <w:rsid w:val="00BB0815"/>
    <w:rsid w:val="00BB3EEB"/>
    <w:rsid w:val="00BB5131"/>
    <w:rsid w:val="00BB53FD"/>
    <w:rsid w:val="00BB5891"/>
    <w:rsid w:val="00BB6E78"/>
    <w:rsid w:val="00BB7E58"/>
    <w:rsid w:val="00BC00CB"/>
    <w:rsid w:val="00BC03D6"/>
    <w:rsid w:val="00BC1C0C"/>
    <w:rsid w:val="00BC3701"/>
    <w:rsid w:val="00BC7ED0"/>
    <w:rsid w:val="00BD057E"/>
    <w:rsid w:val="00BD069B"/>
    <w:rsid w:val="00BD090F"/>
    <w:rsid w:val="00BD2CA5"/>
    <w:rsid w:val="00BD4E5C"/>
    <w:rsid w:val="00BD538E"/>
    <w:rsid w:val="00BD6731"/>
    <w:rsid w:val="00BD71C1"/>
    <w:rsid w:val="00BE0A25"/>
    <w:rsid w:val="00BE0E07"/>
    <w:rsid w:val="00BE113E"/>
    <w:rsid w:val="00BE2513"/>
    <w:rsid w:val="00BE44B3"/>
    <w:rsid w:val="00BE71FF"/>
    <w:rsid w:val="00BE7EFB"/>
    <w:rsid w:val="00BF2036"/>
    <w:rsid w:val="00BF2E8C"/>
    <w:rsid w:val="00BF3B81"/>
    <w:rsid w:val="00BF688C"/>
    <w:rsid w:val="00C0063C"/>
    <w:rsid w:val="00C054B5"/>
    <w:rsid w:val="00C11E29"/>
    <w:rsid w:val="00C12C36"/>
    <w:rsid w:val="00C133C8"/>
    <w:rsid w:val="00C161A7"/>
    <w:rsid w:val="00C20472"/>
    <w:rsid w:val="00C225AC"/>
    <w:rsid w:val="00C22738"/>
    <w:rsid w:val="00C22C9B"/>
    <w:rsid w:val="00C2315E"/>
    <w:rsid w:val="00C24AF3"/>
    <w:rsid w:val="00C25657"/>
    <w:rsid w:val="00C26FFA"/>
    <w:rsid w:val="00C31A72"/>
    <w:rsid w:val="00C343EB"/>
    <w:rsid w:val="00C3503C"/>
    <w:rsid w:val="00C42B2F"/>
    <w:rsid w:val="00C46531"/>
    <w:rsid w:val="00C50CEE"/>
    <w:rsid w:val="00C51B5B"/>
    <w:rsid w:val="00C51D6B"/>
    <w:rsid w:val="00C53056"/>
    <w:rsid w:val="00C567B4"/>
    <w:rsid w:val="00C57263"/>
    <w:rsid w:val="00C6031D"/>
    <w:rsid w:val="00C65D4B"/>
    <w:rsid w:val="00C66C7D"/>
    <w:rsid w:val="00C670C1"/>
    <w:rsid w:val="00C70923"/>
    <w:rsid w:val="00C70B4C"/>
    <w:rsid w:val="00C72803"/>
    <w:rsid w:val="00C72F12"/>
    <w:rsid w:val="00C749AC"/>
    <w:rsid w:val="00C758D3"/>
    <w:rsid w:val="00C7599A"/>
    <w:rsid w:val="00C769FC"/>
    <w:rsid w:val="00C77756"/>
    <w:rsid w:val="00C77B94"/>
    <w:rsid w:val="00C820B6"/>
    <w:rsid w:val="00C836B6"/>
    <w:rsid w:val="00C841BF"/>
    <w:rsid w:val="00C84D0C"/>
    <w:rsid w:val="00C857F3"/>
    <w:rsid w:val="00CA16EC"/>
    <w:rsid w:val="00CA1A3B"/>
    <w:rsid w:val="00CA2D7C"/>
    <w:rsid w:val="00CA5D7B"/>
    <w:rsid w:val="00CA68CE"/>
    <w:rsid w:val="00CA78F3"/>
    <w:rsid w:val="00CA7A6A"/>
    <w:rsid w:val="00CB11FD"/>
    <w:rsid w:val="00CB4482"/>
    <w:rsid w:val="00CB6153"/>
    <w:rsid w:val="00CB7B6C"/>
    <w:rsid w:val="00CC1470"/>
    <w:rsid w:val="00CC2793"/>
    <w:rsid w:val="00CC5DE7"/>
    <w:rsid w:val="00CC6D8E"/>
    <w:rsid w:val="00CC70E6"/>
    <w:rsid w:val="00CC7F42"/>
    <w:rsid w:val="00CD1781"/>
    <w:rsid w:val="00CD2101"/>
    <w:rsid w:val="00CD33AE"/>
    <w:rsid w:val="00CD439D"/>
    <w:rsid w:val="00CD468B"/>
    <w:rsid w:val="00CD7638"/>
    <w:rsid w:val="00CE2315"/>
    <w:rsid w:val="00CE25D0"/>
    <w:rsid w:val="00CE4EF0"/>
    <w:rsid w:val="00CE7250"/>
    <w:rsid w:val="00CE7814"/>
    <w:rsid w:val="00CF08BA"/>
    <w:rsid w:val="00CF1FC2"/>
    <w:rsid w:val="00CF2DF9"/>
    <w:rsid w:val="00CF60F1"/>
    <w:rsid w:val="00CF714E"/>
    <w:rsid w:val="00CF7189"/>
    <w:rsid w:val="00CF75B8"/>
    <w:rsid w:val="00D012AE"/>
    <w:rsid w:val="00D018EA"/>
    <w:rsid w:val="00D01E40"/>
    <w:rsid w:val="00D07051"/>
    <w:rsid w:val="00D077CE"/>
    <w:rsid w:val="00D07932"/>
    <w:rsid w:val="00D079EA"/>
    <w:rsid w:val="00D07DF3"/>
    <w:rsid w:val="00D116EC"/>
    <w:rsid w:val="00D123F4"/>
    <w:rsid w:val="00D14846"/>
    <w:rsid w:val="00D14860"/>
    <w:rsid w:val="00D15503"/>
    <w:rsid w:val="00D15EA3"/>
    <w:rsid w:val="00D209B2"/>
    <w:rsid w:val="00D2157A"/>
    <w:rsid w:val="00D228F8"/>
    <w:rsid w:val="00D233F8"/>
    <w:rsid w:val="00D2426D"/>
    <w:rsid w:val="00D24762"/>
    <w:rsid w:val="00D25DF2"/>
    <w:rsid w:val="00D2775A"/>
    <w:rsid w:val="00D2787F"/>
    <w:rsid w:val="00D31030"/>
    <w:rsid w:val="00D318FD"/>
    <w:rsid w:val="00D33E74"/>
    <w:rsid w:val="00D344BE"/>
    <w:rsid w:val="00D3493C"/>
    <w:rsid w:val="00D36BF0"/>
    <w:rsid w:val="00D376A2"/>
    <w:rsid w:val="00D410C2"/>
    <w:rsid w:val="00D414B8"/>
    <w:rsid w:val="00D44240"/>
    <w:rsid w:val="00D445E3"/>
    <w:rsid w:val="00D45959"/>
    <w:rsid w:val="00D46B91"/>
    <w:rsid w:val="00D51849"/>
    <w:rsid w:val="00D51A11"/>
    <w:rsid w:val="00D53626"/>
    <w:rsid w:val="00D537D4"/>
    <w:rsid w:val="00D53F22"/>
    <w:rsid w:val="00D56C07"/>
    <w:rsid w:val="00D60D25"/>
    <w:rsid w:val="00D61AC2"/>
    <w:rsid w:val="00D62FBE"/>
    <w:rsid w:val="00D64F4D"/>
    <w:rsid w:val="00D67461"/>
    <w:rsid w:val="00D67889"/>
    <w:rsid w:val="00D67AD8"/>
    <w:rsid w:val="00D73681"/>
    <w:rsid w:val="00D75A53"/>
    <w:rsid w:val="00D76287"/>
    <w:rsid w:val="00D7657C"/>
    <w:rsid w:val="00D812E2"/>
    <w:rsid w:val="00D8482C"/>
    <w:rsid w:val="00D84992"/>
    <w:rsid w:val="00D85291"/>
    <w:rsid w:val="00D8580B"/>
    <w:rsid w:val="00D861C7"/>
    <w:rsid w:val="00D917D1"/>
    <w:rsid w:val="00D9181A"/>
    <w:rsid w:val="00D939B9"/>
    <w:rsid w:val="00D94878"/>
    <w:rsid w:val="00D95ABA"/>
    <w:rsid w:val="00D963F4"/>
    <w:rsid w:val="00D9662F"/>
    <w:rsid w:val="00D97482"/>
    <w:rsid w:val="00D97842"/>
    <w:rsid w:val="00D97C60"/>
    <w:rsid w:val="00DA1D81"/>
    <w:rsid w:val="00DA2824"/>
    <w:rsid w:val="00DA2EBC"/>
    <w:rsid w:val="00DA666D"/>
    <w:rsid w:val="00DB35EC"/>
    <w:rsid w:val="00DB47FF"/>
    <w:rsid w:val="00DB6E4E"/>
    <w:rsid w:val="00DC3A41"/>
    <w:rsid w:val="00DC4E91"/>
    <w:rsid w:val="00DC532C"/>
    <w:rsid w:val="00DD189B"/>
    <w:rsid w:val="00DD58BA"/>
    <w:rsid w:val="00DD63D0"/>
    <w:rsid w:val="00DE29AF"/>
    <w:rsid w:val="00DE2E43"/>
    <w:rsid w:val="00DE3456"/>
    <w:rsid w:val="00DE3DF8"/>
    <w:rsid w:val="00DE7E24"/>
    <w:rsid w:val="00DF1CAD"/>
    <w:rsid w:val="00DF2520"/>
    <w:rsid w:val="00DF40FD"/>
    <w:rsid w:val="00DF4742"/>
    <w:rsid w:val="00DF5392"/>
    <w:rsid w:val="00DF5F2A"/>
    <w:rsid w:val="00DF79FA"/>
    <w:rsid w:val="00E02918"/>
    <w:rsid w:val="00E02F0E"/>
    <w:rsid w:val="00E04CB0"/>
    <w:rsid w:val="00E04D43"/>
    <w:rsid w:val="00E050F0"/>
    <w:rsid w:val="00E05B46"/>
    <w:rsid w:val="00E06880"/>
    <w:rsid w:val="00E105A3"/>
    <w:rsid w:val="00E11BAA"/>
    <w:rsid w:val="00E1399F"/>
    <w:rsid w:val="00E15174"/>
    <w:rsid w:val="00E16711"/>
    <w:rsid w:val="00E204D8"/>
    <w:rsid w:val="00E216FA"/>
    <w:rsid w:val="00E238CE"/>
    <w:rsid w:val="00E264AB"/>
    <w:rsid w:val="00E26DC0"/>
    <w:rsid w:val="00E32492"/>
    <w:rsid w:val="00E32BE8"/>
    <w:rsid w:val="00E33D9C"/>
    <w:rsid w:val="00E356BF"/>
    <w:rsid w:val="00E35747"/>
    <w:rsid w:val="00E360A5"/>
    <w:rsid w:val="00E3791F"/>
    <w:rsid w:val="00E4493C"/>
    <w:rsid w:val="00E46C08"/>
    <w:rsid w:val="00E46C1D"/>
    <w:rsid w:val="00E475ED"/>
    <w:rsid w:val="00E50705"/>
    <w:rsid w:val="00E515AB"/>
    <w:rsid w:val="00E524A0"/>
    <w:rsid w:val="00E53F3D"/>
    <w:rsid w:val="00E56D16"/>
    <w:rsid w:val="00E57176"/>
    <w:rsid w:val="00E57286"/>
    <w:rsid w:val="00E60277"/>
    <w:rsid w:val="00E6202C"/>
    <w:rsid w:val="00E628E8"/>
    <w:rsid w:val="00E63514"/>
    <w:rsid w:val="00E64BF5"/>
    <w:rsid w:val="00E65908"/>
    <w:rsid w:val="00E66126"/>
    <w:rsid w:val="00E67466"/>
    <w:rsid w:val="00E70C75"/>
    <w:rsid w:val="00E7334A"/>
    <w:rsid w:val="00E73E74"/>
    <w:rsid w:val="00E75618"/>
    <w:rsid w:val="00E81563"/>
    <w:rsid w:val="00E834B6"/>
    <w:rsid w:val="00E83DB4"/>
    <w:rsid w:val="00E85597"/>
    <w:rsid w:val="00E86765"/>
    <w:rsid w:val="00E87CD4"/>
    <w:rsid w:val="00E90B9A"/>
    <w:rsid w:val="00E9231F"/>
    <w:rsid w:val="00E92CFC"/>
    <w:rsid w:val="00E93C87"/>
    <w:rsid w:val="00E943B5"/>
    <w:rsid w:val="00E94827"/>
    <w:rsid w:val="00E9515C"/>
    <w:rsid w:val="00E95E67"/>
    <w:rsid w:val="00E96590"/>
    <w:rsid w:val="00E96997"/>
    <w:rsid w:val="00E97639"/>
    <w:rsid w:val="00EA3FCF"/>
    <w:rsid w:val="00EA448A"/>
    <w:rsid w:val="00EA44EB"/>
    <w:rsid w:val="00EA798A"/>
    <w:rsid w:val="00EB00AE"/>
    <w:rsid w:val="00EB25C0"/>
    <w:rsid w:val="00EB2726"/>
    <w:rsid w:val="00EB3C49"/>
    <w:rsid w:val="00EB3C8E"/>
    <w:rsid w:val="00EB3E7E"/>
    <w:rsid w:val="00EB4345"/>
    <w:rsid w:val="00EB6A68"/>
    <w:rsid w:val="00EB6AE6"/>
    <w:rsid w:val="00EC159F"/>
    <w:rsid w:val="00EC2B40"/>
    <w:rsid w:val="00EC2D8E"/>
    <w:rsid w:val="00EC3D62"/>
    <w:rsid w:val="00EC46F1"/>
    <w:rsid w:val="00EC4B60"/>
    <w:rsid w:val="00ED16B7"/>
    <w:rsid w:val="00ED31E5"/>
    <w:rsid w:val="00ED3B41"/>
    <w:rsid w:val="00EE37C9"/>
    <w:rsid w:val="00EE59BD"/>
    <w:rsid w:val="00EE5D85"/>
    <w:rsid w:val="00EE661E"/>
    <w:rsid w:val="00EF18DD"/>
    <w:rsid w:val="00EF1EF6"/>
    <w:rsid w:val="00EF2043"/>
    <w:rsid w:val="00EF268C"/>
    <w:rsid w:val="00EF6FA7"/>
    <w:rsid w:val="00F00D37"/>
    <w:rsid w:val="00F0237F"/>
    <w:rsid w:val="00F02D78"/>
    <w:rsid w:val="00F0578B"/>
    <w:rsid w:val="00F057B1"/>
    <w:rsid w:val="00F05E56"/>
    <w:rsid w:val="00F068C6"/>
    <w:rsid w:val="00F06D6B"/>
    <w:rsid w:val="00F07F22"/>
    <w:rsid w:val="00F15A25"/>
    <w:rsid w:val="00F167DD"/>
    <w:rsid w:val="00F20ABC"/>
    <w:rsid w:val="00F217D0"/>
    <w:rsid w:val="00F21852"/>
    <w:rsid w:val="00F22E63"/>
    <w:rsid w:val="00F23DBB"/>
    <w:rsid w:val="00F30AF7"/>
    <w:rsid w:val="00F31B42"/>
    <w:rsid w:val="00F35656"/>
    <w:rsid w:val="00F363B1"/>
    <w:rsid w:val="00F364D6"/>
    <w:rsid w:val="00F405EF"/>
    <w:rsid w:val="00F41309"/>
    <w:rsid w:val="00F42B9C"/>
    <w:rsid w:val="00F4301D"/>
    <w:rsid w:val="00F43B98"/>
    <w:rsid w:val="00F44CAF"/>
    <w:rsid w:val="00F45085"/>
    <w:rsid w:val="00F45FA2"/>
    <w:rsid w:val="00F54DFA"/>
    <w:rsid w:val="00F5670A"/>
    <w:rsid w:val="00F60275"/>
    <w:rsid w:val="00F605E7"/>
    <w:rsid w:val="00F60941"/>
    <w:rsid w:val="00F60EAD"/>
    <w:rsid w:val="00F65C37"/>
    <w:rsid w:val="00F675C2"/>
    <w:rsid w:val="00F71F50"/>
    <w:rsid w:val="00F7297A"/>
    <w:rsid w:val="00F741D4"/>
    <w:rsid w:val="00F77192"/>
    <w:rsid w:val="00F83CE4"/>
    <w:rsid w:val="00F83DD6"/>
    <w:rsid w:val="00F8516C"/>
    <w:rsid w:val="00F86E7E"/>
    <w:rsid w:val="00F9175A"/>
    <w:rsid w:val="00F91914"/>
    <w:rsid w:val="00F93F37"/>
    <w:rsid w:val="00F946CB"/>
    <w:rsid w:val="00F94AB8"/>
    <w:rsid w:val="00F94BDB"/>
    <w:rsid w:val="00F9742E"/>
    <w:rsid w:val="00F977E5"/>
    <w:rsid w:val="00FA1512"/>
    <w:rsid w:val="00FA5224"/>
    <w:rsid w:val="00FB15B3"/>
    <w:rsid w:val="00FB3963"/>
    <w:rsid w:val="00FB5128"/>
    <w:rsid w:val="00FB614B"/>
    <w:rsid w:val="00FB723A"/>
    <w:rsid w:val="00FB731B"/>
    <w:rsid w:val="00FC1776"/>
    <w:rsid w:val="00FC1C19"/>
    <w:rsid w:val="00FC2097"/>
    <w:rsid w:val="00FC2737"/>
    <w:rsid w:val="00FC2AE2"/>
    <w:rsid w:val="00FC4468"/>
    <w:rsid w:val="00FC765D"/>
    <w:rsid w:val="00FC7EA0"/>
    <w:rsid w:val="00FD01A2"/>
    <w:rsid w:val="00FD0D6B"/>
    <w:rsid w:val="00FD34B2"/>
    <w:rsid w:val="00FD3FA4"/>
    <w:rsid w:val="00FE06A5"/>
    <w:rsid w:val="00FE32BE"/>
    <w:rsid w:val="00FE4486"/>
    <w:rsid w:val="00FE6E56"/>
    <w:rsid w:val="00FE7588"/>
    <w:rsid w:val="00FE774D"/>
    <w:rsid w:val="00FF1BDB"/>
    <w:rsid w:val="00FF63D7"/>
    <w:rsid w:val="00FF6504"/>
    <w:rsid w:val="00FF717A"/>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37C79"/>
    <w:pPr>
      <w:spacing w:after="200" w:line="276" w:lineRule="auto"/>
    </w:pPr>
    <w:rPr>
      <w:sz w:val="22"/>
      <w:szCs w:val="22"/>
      <w:lang w:eastAsia="en-US"/>
    </w:rPr>
  </w:style>
  <w:style w:type="paragraph" w:styleId="Heading1">
    <w:name w:val="heading 1"/>
    <w:basedOn w:val="Normal"/>
    <w:next w:val="Normal"/>
    <w:link w:val="Heading1Char"/>
    <w:uiPriority w:val="99"/>
    <w:qFormat/>
    <w:rsid w:val="002D2DE2"/>
    <w:pPr>
      <w:keepNext/>
      <w:keepLines/>
      <w:spacing w:before="480" w:after="0"/>
      <w:outlineLvl w:val="0"/>
    </w:pPr>
    <w:rPr>
      <w:rFonts w:ascii="Cambria" w:eastAsia="SimSun" w:hAnsi="Cambria"/>
      <w:b/>
      <w:bCs/>
      <w:color w:val="365F91"/>
      <w:sz w:val="28"/>
      <w:szCs w:val="28"/>
    </w:rPr>
  </w:style>
  <w:style w:type="paragraph" w:styleId="Heading2">
    <w:name w:val="heading 2"/>
    <w:basedOn w:val="Normal"/>
    <w:next w:val="Normal"/>
    <w:link w:val="Heading2Char"/>
    <w:uiPriority w:val="99"/>
    <w:qFormat/>
    <w:rsid w:val="002D2DE2"/>
    <w:pPr>
      <w:keepNext/>
      <w:keepLines/>
      <w:spacing w:before="200" w:after="0"/>
      <w:outlineLvl w:val="1"/>
    </w:pPr>
    <w:rPr>
      <w:rFonts w:ascii="Cambria" w:eastAsia="SimSun" w:hAnsi="Cambria"/>
      <w:b/>
      <w:bCs/>
      <w:color w:val="4F81BD"/>
      <w:sz w:val="26"/>
      <w:szCs w:val="26"/>
    </w:rPr>
  </w:style>
  <w:style w:type="paragraph" w:styleId="Heading3">
    <w:name w:val="heading 3"/>
    <w:basedOn w:val="Normal"/>
    <w:next w:val="Normal"/>
    <w:link w:val="Heading3Char"/>
    <w:uiPriority w:val="99"/>
    <w:qFormat/>
    <w:rsid w:val="00103664"/>
    <w:pPr>
      <w:keepNext/>
      <w:keepLines/>
      <w:spacing w:before="200" w:after="0"/>
      <w:outlineLvl w:val="2"/>
    </w:pPr>
    <w:rPr>
      <w:rFonts w:ascii="Cambria" w:eastAsia="SimSu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D2DE2"/>
    <w:rPr>
      <w:rFonts w:ascii="Cambria" w:eastAsia="SimSun" w:hAnsi="Cambria" w:cs="Times New Roman"/>
      <w:b/>
      <w:bCs/>
      <w:color w:val="365F91"/>
      <w:sz w:val="28"/>
      <w:szCs w:val="28"/>
    </w:rPr>
  </w:style>
  <w:style w:type="character" w:customStyle="1" w:styleId="Heading2Char">
    <w:name w:val="Heading 2 Char"/>
    <w:basedOn w:val="DefaultParagraphFont"/>
    <w:link w:val="Heading2"/>
    <w:uiPriority w:val="99"/>
    <w:locked/>
    <w:rsid w:val="002D2DE2"/>
    <w:rPr>
      <w:rFonts w:ascii="Cambria" w:eastAsia="SimSun" w:hAnsi="Cambria" w:cs="Times New Roman"/>
      <w:b/>
      <w:bCs/>
      <w:color w:val="4F81BD"/>
      <w:sz w:val="26"/>
      <w:szCs w:val="26"/>
    </w:rPr>
  </w:style>
  <w:style w:type="character" w:customStyle="1" w:styleId="Heading3Char">
    <w:name w:val="Heading 3 Char"/>
    <w:basedOn w:val="DefaultParagraphFont"/>
    <w:link w:val="Heading3"/>
    <w:uiPriority w:val="99"/>
    <w:locked/>
    <w:rsid w:val="00103664"/>
    <w:rPr>
      <w:rFonts w:ascii="Cambria" w:eastAsia="SimSun" w:hAnsi="Cambria" w:cs="Times New Roman"/>
      <w:b/>
      <w:bCs/>
      <w:color w:val="4F81BD"/>
    </w:rPr>
  </w:style>
  <w:style w:type="paragraph" w:styleId="ListParagraph">
    <w:name w:val="List Paragraph"/>
    <w:basedOn w:val="Normal"/>
    <w:uiPriority w:val="99"/>
    <w:qFormat/>
    <w:rsid w:val="00B70B32"/>
    <w:pPr>
      <w:ind w:left="720"/>
      <w:contextualSpacing/>
    </w:pPr>
  </w:style>
  <w:style w:type="table" w:styleId="TableGrid">
    <w:name w:val="Table Grid"/>
    <w:basedOn w:val="TableNormal"/>
    <w:uiPriority w:val="99"/>
    <w:rsid w:val="002D2DE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Heading">
    <w:name w:val="TOC Heading"/>
    <w:basedOn w:val="Heading1"/>
    <w:next w:val="Normal"/>
    <w:uiPriority w:val="99"/>
    <w:qFormat/>
    <w:rsid w:val="002D2DE2"/>
    <w:pPr>
      <w:outlineLvl w:val="9"/>
    </w:pPr>
    <w:rPr>
      <w:lang w:val="en-US"/>
    </w:rPr>
  </w:style>
  <w:style w:type="paragraph" w:styleId="TOC2">
    <w:name w:val="toc 2"/>
    <w:basedOn w:val="Normal"/>
    <w:next w:val="Normal"/>
    <w:autoRedefine/>
    <w:uiPriority w:val="99"/>
    <w:rsid w:val="002D2DE2"/>
    <w:pPr>
      <w:spacing w:after="0"/>
      <w:ind w:left="220"/>
    </w:pPr>
    <w:rPr>
      <w:smallCaps/>
      <w:sz w:val="20"/>
      <w:szCs w:val="20"/>
    </w:rPr>
  </w:style>
  <w:style w:type="paragraph" w:styleId="TOC1">
    <w:name w:val="toc 1"/>
    <w:basedOn w:val="Normal"/>
    <w:next w:val="Normal"/>
    <w:autoRedefine/>
    <w:uiPriority w:val="99"/>
    <w:rsid w:val="002D2DE2"/>
    <w:pPr>
      <w:spacing w:before="120" w:after="120"/>
    </w:pPr>
    <w:rPr>
      <w:b/>
      <w:bCs/>
      <w:caps/>
      <w:sz w:val="20"/>
      <w:szCs w:val="20"/>
    </w:rPr>
  </w:style>
  <w:style w:type="character" w:styleId="Hyperlink">
    <w:name w:val="Hyperlink"/>
    <w:basedOn w:val="DefaultParagraphFont"/>
    <w:uiPriority w:val="99"/>
    <w:rsid w:val="002D2DE2"/>
    <w:rPr>
      <w:rFonts w:cs="Times New Roman"/>
      <w:color w:val="0000FF"/>
      <w:u w:val="single"/>
    </w:rPr>
  </w:style>
  <w:style w:type="paragraph" w:styleId="BalloonText">
    <w:name w:val="Balloon Text"/>
    <w:basedOn w:val="Normal"/>
    <w:link w:val="BalloonTextChar"/>
    <w:uiPriority w:val="99"/>
    <w:semiHidden/>
    <w:rsid w:val="002D2D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D2DE2"/>
    <w:rPr>
      <w:rFonts w:ascii="Tahoma" w:hAnsi="Tahoma" w:cs="Tahoma"/>
      <w:sz w:val="16"/>
      <w:szCs w:val="16"/>
    </w:rPr>
  </w:style>
  <w:style w:type="character" w:styleId="PlaceholderText">
    <w:name w:val="Placeholder Text"/>
    <w:basedOn w:val="DefaultParagraphFont"/>
    <w:uiPriority w:val="99"/>
    <w:semiHidden/>
    <w:rsid w:val="00A5087B"/>
    <w:rPr>
      <w:rFonts w:cs="Times New Roman"/>
      <w:color w:val="808080"/>
    </w:rPr>
  </w:style>
  <w:style w:type="character" w:styleId="CommentReference">
    <w:name w:val="annotation reference"/>
    <w:basedOn w:val="DefaultParagraphFont"/>
    <w:uiPriority w:val="99"/>
    <w:semiHidden/>
    <w:rsid w:val="00570B5B"/>
    <w:rPr>
      <w:rFonts w:cs="Times New Roman"/>
      <w:sz w:val="16"/>
      <w:szCs w:val="16"/>
    </w:rPr>
  </w:style>
  <w:style w:type="paragraph" w:styleId="CommentText">
    <w:name w:val="annotation text"/>
    <w:basedOn w:val="Normal"/>
    <w:link w:val="CommentTextChar"/>
    <w:uiPriority w:val="99"/>
    <w:semiHidden/>
    <w:rsid w:val="00570B5B"/>
    <w:pPr>
      <w:spacing w:line="240" w:lineRule="auto"/>
    </w:pPr>
    <w:rPr>
      <w:sz w:val="20"/>
      <w:szCs w:val="20"/>
    </w:rPr>
  </w:style>
  <w:style w:type="character" w:customStyle="1" w:styleId="CommentTextChar">
    <w:name w:val="Comment Text Char"/>
    <w:basedOn w:val="DefaultParagraphFont"/>
    <w:link w:val="CommentText"/>
    <w:uiPriority w:val="99"/>
    <w:semiHidden/>
    <w:locked/>
    <w:rsid w:val="00570B5B"/>
    <w:rPr>
      <w:rFonts w:cs="Times New Roman"/>
      <w:sz w:val="20"/>
      <w:szCs w:val="20"/>
    </w:rPr>
  </w:style>
  <w:style w:type="paragraph" w:styleId="CommentSubject">
    <w:name w:val="annotation subject"/>
    <w:basedOn w:val="CommentText"/>
    <w:next w:val="CommentText"/>
    <w:link w:val="CommentSubjectChar"/>
    <w:uiPriority w:val="99"/>
    <w:semiHidden/>
    <w:rsid w:val="00570B5B"/>
    <w:rPr>
      <w:b/>
      <w:bCs/>
    </w:rPr>
  </w:style>
  <w:style w:type="character" w:customStyle="1" w:styleId="CommentSubjectChar">
    <w:name w:val="Comment Subject Char"/>
    <w:basedOn w:val="CommentTextChar"/>
    <w:link w:val="CommentSubject"/>
    <w:uiPriority w:val="99"/>
    <w:semiHidden/>
    <w:locked/>
    <w:rsid w:val="00570B5B"/>
    <w:rPr>
      <w:b/>
      <w:bCs/>
    </w:rPr>
  </w:style>
  <w:style w:type="paragraph" w:styleId="NormalWeb">
    <w:name w:val="Normal (Web)"/>
    <w:basedOn w:val="Normal"/>
    <w:uiPriority w:val="99"/>
    <w:semiHidden/>
    <w:rsid w:val="00362B17"/>
    <w:pPr>
      <w:spacing w:before="100" w:beforeAutospacing="1" w:after="100" w:afterAutospacing="1" w:line="240" w:lineRule="auto"/>
    </w:pPr>
    <w:rPr>
      <w:rFonts w:ascii="Times New Roman" w:eastAsia="Times New Roman" w:hAnsi="Times New Roman"/>
      <w:sz w:val="24"/>
      <w:szCs w:val="24"/>
      <w:lang w:eastAsia="lt-LT"/>
    </w:rPr>
  </w:style>
  <w:style w:type="character" w:styleId="Strong">
    <w:name w:val="Strong"/>
    <w:basedOn w:val="DefaultParagraphFont"/>
    <w:uiPriority w:val="99"/>
    <w:qFormat/>
    <w:rsid w:val="00362B17"/>
    <w:rPr>
      <w:rFonts w:cs="Times New Roman"/>
      <w:b/>
      <w:bCs/>
    </w:rPr>
  </w:style>
  <w:style w:type="paragraph" w:styleId="TOC3">
    <w:name w:val="toc 3"/>
    <w:basedOn w:val="Normal"/>
    <w:next w:val="Normal"/>
    <w:autoRedefine/>
    <w:uiPriority w:val="99"/>
    <w:rsid w:val="00103664"/>
    <w:pPr>
      <w:spacing w:after="100"/>
      <w:ind w:left="440"/>
    </w:pPr>
  </w:style>
  <w:style w:type="character" w:styleId="FollowedHyperlink">
    <w:name w:val="FollowedHyperlink"/>
    <w:basedOn w:val="DefaultParagraphFont"/>
    <w:uiPriority w:val="99"/>
    <w:semiHidden/>
    <w:rsid w:val="000A7FE3"/>
    <w:rPr>
      <w:rFonts w:cs="Times New Roman"/>
      <w:color w:val="800080"/>
      <w:u w:val="single"/>
    </w:rPr>
  </w:style>
  <w:style w:type="paragraph" w:styleId="z-TopofForm">
    <w:name w:val="HTML Top of Form"/>
    <w:basedOn w:val="Normal"/>
    <w:next w:val="Normal"/>
    <w:link w:val="z-TopofFormChar"/>
    <w:hidden/>
    <w:uiPriority w:val="99"/>
    <w:semiHidden/>
    <w:rsid w:val="00847C9E"/>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locked/>
    <w:rsid w:val="00847C9E"/>
    <w:rPr>
      <w:rFonts w:ascii="Arial" w:hAnsi="Arial" w:cs="Arial"/>
      <w:vanish/>
      <w:sz w:val="16"/>
      <w:szCs w:val="16"/>
    </w:rPr>
  </w:style>
  <w:style w:type="paragraph" w:styleId="z-BottomofForm">
    <w:name w:val="HTML Bottom of Form"/>
    <w:basedOn w:val="Normal"/>
    <w:next w:val="Normal"/>
    <w:link w:val="z-BottomofFormChar"/>
    <w:hidden/>
    <w:uiPriority w:val="99"/>
    <w:semiHidden/>
    <w:rsid w:val="00847C9E"/>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locked/>
    <w:rsid w:val="00847C9E"/>
    <w:rPr>
      <w:rFonts w:ascii="Arial" w:hAnsi="Arial" w:cs="Arial"/>
      <w:vanish/>
      <w:sz w:val="16"/>
      <w:szCs w:val="16"/>
    </w:rPr>
  </w:style>
  <w:style w:type="paragraph" w:styleId="FootnoteText">
    <w:name w:val="footnote text"/>
    <w:basedOn w:val="Normal"/>
    <w:link w:val="FootnoteTextChar"/>
    <w:uiPriority w:val="99"/>
    <w:semiHidden/>
    <w:rsid w:val="00E050F0"/>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E050F0"/>
    <w:rPr>
      <w:rFonts w:cs="Times New Roman"/>
      <w:sz w:val="20"/>
      <w:szCs w:val="20"/>
    </w:rPr>
  </w:style>
  <w:style w:type="character" w:styleId="FootnoteReference">
    <w:name w:val="footnote reference"/>
    <w:basedOn w:val="DefaultParagraphFont"/>
    <w:uiPriority w:val="99"/>
    <w:semiHidden/>
    <w:rsid w:val="00E050F0"/>
    <w:rPr>
      <w:rFonts w:cs="Times New Roman"/>
      <w:vertAlign w:val="superscript"/>
    </w:rPr>
  </w:style>
  <w:style w:type="paragraph" w:styleId="Header">
    <w:name w:val="header"/>
    <w:basedOn w:val="Normal"/>
    <w:link w:val="HeaderChar"/>
    <w:uiPriority w:val="99"/>
    <w:rsid w:val="005F2C08"/>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5F2C08"/>
    <w:rPr>
      <w:rFonts w:cs="Times New Roman"/>
    </w:rPr>
  </w:style>
  <w:style w:type="paragraph" w:styleId="Footer">
    <w:name w:val="footer"/>
    <w:basedOn w:val="Normal"/>
    <w:link w:val="FooterChar"/>
    <w:uiPriority w:val="99"/>
    <w:semiHidden/>
    <w:rsid w:val="005F2C08"/>
    <w:pPr>
      <w:tabs>
        <w:tab w:val="center" w:pos="4819"/>
        <w:tab w:val="right" w:pos="9638"/>
      </w:tabs>
      <w:spacing w:after="0" w:line="240" w:lineRule="auto"/>
    </w:pPr>
  </w:style>
  <w:style w:type="character" w:customStyle="1" w:styleId="FooterChar">
    <w:name w:val="Footer Char"/>
    <w:basedOn w:val="DefaultParagraphFont"/>
    <w:link w:val="Footer"/>
    <w:uiPriority w:val="99"/>
    <w:semiHidden/>
    <w:locked/>
    <w:rsid w:val="005F2C08"/>
    <w:rPr>
      <w:rFonts w:cs="Times New Roman"/>
    </w:rPr>
  </w:style>
</w:styles>
</file>

<file path=word/webSettings.xml><?xml version="1.0" encoding="utf-8"?>
<w:webSettings xmlns:r="http://schemas.openxmlformats.org/officeDocument/2006/relationships" xmlns:w="http://schemas.openxmlformats.org/wordprocessingml/2006/main">
  <w:divs>
    <w:div w:id="152188054">
      <w:bodyDiv w:val="1"/>
      <w:marLeft w:val="0"/>
      <w:marRight w:val="0"/>
      <w:marTop w:val="0"/>
      <w:marBottom w:val="0"/>
      <w:divBdr>
        <w:top w:val="none" w:sz="0" w:space="0" w:color="auto"/>
        <w:left w:val="none" w:sz="0" w:space="0" w:color="auto"/>
        <w:bottom w:val="none" w:sz="0" w:space="0" w:color="auto"/>
        <w:right w:val="none" w:sz="0" w:space="0" w:color="auto"/>
      </w:divBdr>
    </w:div>
    <w:div w:id="934561369">
      <w:bodyDiv w:val="1"/>
      <w:marLeft w:val="0"/>
      <w:marRight w:val="0"/>
      <w:marTop w:val="0"/>
      <w:marBottom w:val="0"/>
      <w:divBdr>
        <w:top w:val="none" w:sz="0" w:space="0" w:color="auto"/>
        <w:left w:val="none" w:sz="0" w:space="0" w:color="auto"/>
        <w:bottom w:val="none" w:sz="0" w:space="0" w:color="auto"/>
        <w:right w:val="none" w:sz="0" w:space="0" w:color="auto"/>
      </w:divBdr>
    </w:div>
    <w:div w:id="1412969062">
      <w:marLeft w:val="0"/>
      <w:marRight w:val="0"/>
      <w:marTop w:val="0"/>
      <w:marBottom w:val="0"/>
      <w:divBdr>
        <w:top w:val="none" w:sz="0" w:space="0" w:color="auto"/>
        <w:left w:val="none" w:sz="0" w:space="0" w:color="auto"/>
        <w:bottom w:val="none" w:sz="0" w:space="0" w:color="auto"/>
        <w:right w:val="none" w:sz="0" w:space="0" w:color="auto"/>
      </w:divBdr>
    </w:div>
    <w:div w:id="1412969063">
      <w:marLeft w:val="0"/>
      <w:marRight w:val="0"/>
      <w:marTop w:val="0"/>
      <w:marBottom w:val="0"/>
      <w:divBdr>
        <w:top w:val="none" w:sz="0" w:space="0" w:color="auto"/>
        <w:left w:val="none" w:sz="0" w:space="0" w:color="auto"/>
        <w:bottom w:val="none" w:sz="0" w:space="0" w:color="auto"/>
        <w:right w:val="none" w:sz="0" w:space="0" w:color="auto"/>
      </w:divBdr>
      <w:divsChild>
        <w:div w:id="1412969072">
          <w:marLeft w:val="0"/>
          <w:marRight w:val="0"/>
          <w:marTop w:val="0"/>
          <w:marBottom w:val="0"/>
          <w:divBdr>
            <w:top w:val="none" w:sz="0" w:space="0" w:color="auto"/>
            <w:left w:val="none" w:sz="0" w:space="0" w:color="auto"/>
            <w:bottom w:val="none" w:sz="0" w:space="0" w:color="auto"/>
            <w:right w:val="none" w:sz="0" w:space="0" w:color="auto"/>
          </w:divBdr>
        </w:div>
        <w:div w:id="1412969077">
          <w:marLeft w:val="0"/>
          <w:marRight w:val="0"/>
          <w:marTop w:val="0"/>
          <w:marBottom w:val="0"/>
          <w:divBdr>
            <w:top w:val="none" w:sz="0" w:space="0" w:color="auto"/>
            <w:left w:val="none" w:sz="0" w:space="0" w:color="auto"/>
            <w:bottom w:val="none" w:sz="0" w:space="0" w:color="auto"/>
            <w:right w:val="none" w:sz="0" w:space="0" w:color="auto"/>
          </w:divBdr>
        </w:div>
        <w:div w:id="1412969081">
          <w:marLeft w:val="0"/>
          <w:marRight w:val="0"/>
          <w:marTop w:val="0"/>
          <w:marBottom w:val="0"/>
          <w:divBdr>
            <w:top w:val="none" w:sz="0" w:space="0" w:color="auto"/>
            <w:left w:val="none" w:sz="0" w:space="0" w:color="auto"/>
            <w:bottom w:val="none" w:sz="0" w:space="0" w:color="auto"/>
            <w:right w:val="none" w:sz="0" w:space="0" w:color="auto"/>
          </w:divBdr>
        </w:div>
        <w:div w:id="1412969124">
          <w:marLeft w:val="0"/>
          <w:marRight w:val="0"/>
          <w:marTop w:val="0"/>
          <w:marBottom w:val="0"/>
          <w:divBdr>
            <w:top w:val="none" w:sz="0" w:space="0" w:color="auto"/>
            <w:left w:val="none" w:sz="0" w:space="0" w:color="auto"/>
            <w:bottom w:val="none" w:sz="0" w:space="0" w:color="auto"/>
            <w:right w:val="none" w:sz="0" w:space="0" w:color="auto"/>
          </w:divBdr>
        </w:div>
        <w:div w:id="1412969128">
          <w:marLeft w:val="0"/>
          <w:marRight w:val="0"/>
          <w:marTop w:val="0"/>
          <w:marBottom w:val="0"/>
          <w:divBdr>
            <w:top w:val="none" w:sz="0" w:space="0" w:color="auto"/>
            <w:left w:val="none" w:sz="0" w:space="0" w:color="auto"/>
            <w:bottom w:val="none" w:sz="0" w:space="0" w:color="auto"/>
            <w:right w:val="none" w:sz="0" w:space="0" w:color="auto"/>
          </w:divBdr>
        </w:div>
        <w:div w:id="1412969134">
          <w:marLeft w:val="0"/>
          <w:marRight w:val="0"/>
          <w:marTop w:val="0"/>
          <w:marBottom w:val="0"/>
          <w:divBdr>
            <w:top w:val="none" w:sz="0" w:space="0" w:color="auto"/>
            <w:left w:val="none" w:sz="0" w:space="0" w:color="auto"/>
            <w:bottom w:val="none" w:sz="0" w:space="0" w:color="auto"/>
            <w:right w:val="none" w:sz="0" w:space="0" w:color="auto"/>
          </w:divBdr>
        </w:div>
      </w:divsChild>
    </w:div>
    <w:div w:id="1412969064">
      <w:marLeft w:val="0"/>
      <w:marRight w:val="0"/>
      <w:marTop w:val="0"/>
      <w:marBottom w:val="0"/>
      <w:divBdr>
        <w:top w:val="none" w:sz="0" w:space="0" w:color="auto"/>
        <w:left w:val="none" w:sz="0" w:space="0" w:color="auto"/>
        <w:bottom w:val="none" w:sz="0" w:space="0" w:color="auto"/>
        <w:right w:val="none" w:sz="0" w:space="0" w:color="auto"/>
      </w:divBdr>
    </w:div>
    <w:div w:id="1412969065">
      <w:marLeft w:val="0"/>
      <w:marRight w:val="0"/>
      <w:marTop w:val="0"/>
      <w:marBottom w:val="0"/>
      <w:divBdr>
        <w:top w:val="none" w:sz="0" w:space="0" w:color="auto"/>
        <w:left w:val="none" w:sz="0" w:space="0" w:color="auto"/>
        <w:bottom w:val="none" w:sz="0" w:space="0" w:color="auto"/>
        <w:right w:val="none" w:sz="0" w:space="0" w:color="auto"/>
      </w:divBdr>
    </w:div>
    <w:div w:id="1412969066">
      <w:marLeft w:val="0"/>
      <w:marRight w:val="0"/>
      <w:marTop w:val="0"/>
      <w:marBottom w:val="0"/>
      <w:divBdr>
        <w:top w:val="none" w:sz="0" w:space="0" w:color="auto"/>
        <w:left w:val="none" w:sz="0" w:space="0" w:color="auto"/>
        <w:bottom w:val="none" w:sz="0" w:space="0" w:color="auto"/>
        <w:right w:val="none" w:sz="0" w:space="0" w:color="auto"/>
      </w:divBdr>
    </w:div>
    <w:div w:id="1412969067">
      <w:marLeft w:val="0"/>
      <w:marRight w:val="0"/>
      <w:marTop w:val="0"/>
      <w:marBottom w:val="0"/>
      <w:divBdr>
        <w:top w:val="none" w:sz="0" w:space="0" w:color="auto"/>
        <w:left w:val="none" w:sz="0" w:space="0" w:color="auto"/>
        <w:bottom w:val="none" w:sz="0" w:space="0" w:color="auto"/>
        <w:right w:val="none" w:sz="0" w:space="0" w:color="auto"/>
      </w:divBdr>
    </w:div>
    <w:div w:id="1412969068">
      <w:marLeft w:val="0"/>
      <w:marRight w:val="0"/>
      <w:marTop w:val="0"/>
      <w:marBottom w:val="0"/>
      <w:divBdr>
        <w:top w:val="none" w:sz="0" w:space="0" w:color="auto"/>
        <w:left w:val="none" w:sz="0" w:space="0" w:color="auto"/>
        <w:bottom w:val="none" w:sz="0" w:space="0" w:color="auto"/>
        <w:right w:val="none" w:sz="0" w:space="0" w:color="auto"/>
      </w:divBdr>
    </w:div>
    <w:div w:id="1412969069">
      <w:marLeft w:val="0"/>
      <w:marRight w:val="0"/>
      <w:marTop w:val="0"/>
      <w:marBottom w:val="0"/>
      <w:divBdr>
        <w:top w:val="none" w:sz="0" w:space="0" w:color="auto"/>
        <w:left w:val="none" w:sz="0" w:space="0" w:color="auto"/>
        <w:bottom w:val="none" w:sz="0" w:space="0" w:color="auto"/>
        <w:right w:val="none" w:sz="0" w:space="0" w:color="auto"/>
      </w:divBdr>
    </w:div>
    <w:div w:id="1412969070">
      <w:marLeft w:val="0"/>
      <w:marRight w:val="0"/>
      <w:marTop w:val="0"/>
      <w:marBottom w:val="0"/>
      <w:divBdr>
        <w:top w:val="none" w:sz="0" w:space="0" w:color="auto"/>
        <w:left w:val="none" w:sz="0" w:space="0" w:color="auto"/>
        <w:bottom w:val="none" w:sz="0" w:space="0" w:color="auto"/>
        <w:right w:val="none" w:sz="0" w:space="0" w:color="auto"/>
      </w:divBdr>
    </w:div>
    <w:div w:id="1412969071">
      <w:marLeft w:val="0"/>
      <w:marRight w:val="0"/>
      <w:marTop w:val="0"/>
      <w:marBottom w:val="0"/>
      <w:divBdr>
        <w:top w:val="none" w:sz="0" w:space="0" w:color="auto"/>
        <w:left w:val="none" w:sz="0" w:space="0" w:color="auto"/>
        <w:bottom w:val="none" w:sz="0" w:space="0" w:color="auto"/>
        <w:right w:val="none" w:sz="0" w:space="0" w:color="auto"/>
      </w:divBdr>
    </w:div>
    <w:div w:id="1412969073">
      <w:marLeft w:val="0"/>
      <w:marRight w:val="0"/>
      <w:marTop w:val="0"/>
      <w:marBottom w:val="0"/>
      <w:divBdr>
        <w:top w:val="none" w:sz="0" w:space="0" w:color="auto"/>
        <w:left w:val="none" w:sz="0" w:space="0" w:color="auto"/>
        <w:bottom w:val="none" w:sz="0" w:space="0" w:color="auto"/>
        <w:right w:val="none" w:sz="0" w:space="0" w:color="auto"/>
      </w:divBdr>
    </w:div>
    <w:div w:id="1412969074">
      <w:marLeft w:val="0"/>
      <w:marRight w:val="0"/>
      <w:marTop w:val="0"/>
      <w:marBottom w:val="0"/>
      <w:divBdr>
        <w:top w:val="none" w:sz="0" w:space="0" w:color="auto"/>
        <w:left w:val="none" w:sz="0" w:space="0" w:color="auto"/>
        <w:bottom w:val="none" w:sz="0" w:space="0" w:color="auto"/>
        <w:right w:val="none" w:sz="0" w:space="0" w:color="auto"/>
      </w:divBdr>
    </w:div>
    <w:div w:id="1412969075">
      <w:marLeft w:val="0"/>
      <w:marRight w:val="0"/>
      <w:marTop w:val="0"/>
      <w:marBottom w:val="0"/>
      <w:divBdr>
        <w:top w:val="none" w:sz="0" w:space="0" w:color="auto"/>
        <w:left w:val="none" w:sz="0" w:space="0" w:color="auto"/>
        <w:bottom w:val="none" w:sz="0" w:space="0" w:color="auto"/>
        <w:right w:val="none" w:sz="0" w:space="0" w:color="auto"/>
      </w:divBdr>
    </w:div>
    <w:div w:id="1412969076">
      <w:marLeft w:val="0"/>
      <w:marRight w:val="0"/>
      <w:marTop w:val="0"/>
      <w:marBottom w:val="0"/>
      <w:divBdr>
        <w:top w:val="none" w:sz="0" w:space="0" w:color="auto"/>
        <w:left w:val="none" w:sz="0" w:space="0" w:color="auto"/>
        <w:bottom w:val="none" w:sz="0" w:space="0" w:color="auto"/>
        <w:right w:val="none" w:sz="0" w:space="0" w:color="auto"/>
      </w:divBdr>
    </w:div>
    <w:div w:id="1412969078">
      <w:marLeft w:val="0"/>
      <w:marRight w:val="0"/>
      <w:marTop w:val="0"/>
      <w:marBottom w:val="0"/>
      <w:divBdr>
        <w:top w:val="none" w:sz="0" w:space="0" w:color="auto"/>
        <w:left w:val="none" w:sz="0" w:space="0" w:color="auto"/>
        <w:bottom w:val="none" w:sz="0" w:space="0" w:color="auto"/>
        <w:right w:val="none" w:sz="0" w:space="0" w:color="auto"/>
      </w:divBdr>
    </w:div>
    <w:div w:id="1412969079">
      <w:marLeft w:val="0"/>
      <w:marRight w:val="0"/>
      <w:marTop w:val="0"/>
      <w:marBottom w:val="0"/>
      <w:divBdr>
        <w:top w:val="none" w:sz="0" w:space="0" w:color="auto"/>
        <w:left w:val="none" w:sz="0" w:space="0" w:color="auto"/>
        <w:bottom w:val="none" w:sz="0" w:space="0" w:color="auto"/>
        <w:right w:val="none" w:sz="0" w:space="0" w:color="auto"/>
      </w:divBdr>
    </w:div>
    <w:div w:id="1412969080">
      <w:marLeft w:val="0"/>
      <w:marRight w:val="0"/>
      <w:marTop w:val="0"/>
      <w:marBottom w:val="0"/>
      <w:divBdr>
        <w:top w:val="none" w:sz="0" w:space="0" w:color="auto"/>
        <w:left w:val="none" w:sz="0" w:space="0" w:color="auto"/>
        <w:bottom w:val="none" w:sz="0" w:space="0" w:color="auto"/>
        <w:right w:val="none" w:sz="0" w:space="0" w:color="auto"/>
      </w:divBdr>
    </w:div>
    <w:div w:id="1412969082">
      <w:marLeft w:val="0"/>
      <w:marRight w:val="0"/>
      <w:marTop w:val="0"/>
      <w:marBottom w:val="0"/>
      <w:divBdr>
        <w:top w:val="none" w:sz="0" w:space="0" w:color="auto"/>
        <w:left w:val="none" w:sz="0" w:space="0" w:color="auto"/>
        <w:bottom w:val="none" w:sz="0" w:space="0" w:color="auto"/>
        <w:right w:val="none" w:sz="0" w:space="0" w:color="auto"/>
      </w:divBdr>
    </w:div>
    <w:div w:id="1412969083">
      <w:marLeft w:val="0"/>
      <w:marRight w:val="0"/>
      <w:marTop w:val="0"/>
      <w:marBottom w:val="0"/>
      <w:divBdr>
        <w:top w:val="none" w:sz="0" w:space="0" w:color="auto"/>
        <w:left w:val="none" w:sz="0" w:space="0" w:color="auto"/>
        <w:bottom w:val="none" w:sz="0" w:space="0" w:color="auto"/>
        <w:right w:val="none" w:sz="0" w:space="0" w:color="auto"/>
      </w:divBdr>
    </w:div>
    <w:div w:id="1412969084">
      <w:marLeft w:val="0"/>
      <w:marRight w:val="0"/>
      <w:marTop w:val="0"/>
      <w:marBottom w:val="0"/>
      <w:divBdr>
        <w:top w:val="none" w:sz="0" w:space="0" w:color="auto"/>
        <w:left w:val="none" w:sz="0" w:space="0" w:color="auto"/>
        <w:bottom w:val="none" w:sz="0" w:space="0" w:color="auto"/>
        <w:right w:val="none" w:sz="0" w:space="0" w:color="auto"/>
      </w:divBdr>
    </w:div>
    <w:div w:id="1412969085">
      <w:marLeft w:val="0"/>
      <w:marRight w:val="0"/>
      <w:marTop w:val="0"/>
      <w:marBottom w:val="0"/>
      <w:divBdr>
        <w:top w:val="none" w:sz="0" w:space="0" w:color="auto"/>
        <w:left w:val="none" w:sz="0" w:space="0" w:color="auto"/>
        <w:bottom w:val="none" w:sz="0" w:space="0" w:color="auto"/>
        <w:right w:val="none" w:sz="0" w:space="0" w:color="auto"/>
      </w:divBdr>
    </w:div>
    <w:div w:id="1412969086">
      <w:marLeft w:val="0"/>
      <w:marRight w:val="0"/>
      <w:marTop w:val="0"/>
      <w:marBottom w:val="0"/>
      <w:divBdr>
        <w:top w:val="none" w:sz="0" w:space="0" w:color="auto"/>
        <w:left w:val="none" w:sz="0" w:space="0" w:color="auto"/>
        <w:bottom w:val="none" w:sz="0" w:space="0" w:color="auto"/>
        <w:right w:val="none" w:sz="0" w:space="0" w:color="auto"/>
      </w:divBdr>
    </w:div>
    <w:div w:id="1412969087">
      <w:marLeft w:val="0"/>
      <w:marRight w:val="0"/>
      <w:marTop w:val="0"/>
      <w:marBottom w:val="0"/>
      <w:divBdr>
        <w:top w:val="none" w:sz="0" w:space="0" w:color="auto"/>
        <w:left w:val="none" w:sz="0" w:space="0" w:color="auto"/>
        <w:bottom w:val="none" w:sz="0" w:space="0" w:color="auto"/>
        <w:right w:val="none" w:sz="0" w:space="0" w:color="auto"/>
      </w:divBdr>
    </w:div>
    <w:div w:id="1412969088">
      <w:marLeft w:val="0"/>
      <w:marRight w:val="0"/>
      <w:marTop w:val="0"/>
      <w:marBottom w:val="0"/>
      <w:divBdr>
        <w:top w:val="none" w:sz="0" w:space="0" w:color="auto"/>
        <w:left w:val="none" w:sz="0" w:space="0" w:color="auto"/>
        <w:bottom w:val="none" w:sz="0" w:space="0" w:color="auto"/>
        <w:right w:val="none" w:sz="0" w:space="0" w:color="auto"/>
      </w:divBdr>
    </w:div>
    <w:div w:id="1412969089">
      <w:marLeft w:val="0"/>
      <w:marRight w:val="0"/>
      <w:marTop w:val="0"/>
      <w:marBottom w:val="0"/>
      <w:divBdr>
        <w:top w:val="none" w:sz="0" w:space="0" w:color="auto"/>
        <w:left w:val="none" w:sz="0" w:space="0" w:color="auto"/>
        <w:bottom w:val="none" w:sz="0" w:space="0" w:color="auto"/>
        <w:right w:val="none" w:sz="0" w:space="0" w:color="auto"/>
      </w:divBdr>
    </w:div>
    <w:div w:id="1412969090">
      <w:marLeft w:val="0"/>
      <w:marRight w:val="0"/>
      <w:marTop w:val="0"/>
      <w:marBottom w:val="0"/>
      <w:divBdr>
        <w:top w:val="none" w:sz="0" w:space="0" w:color="auto"/>
        <w:left w:val="none" w:sz="0" w:space="0" w:color="auto"/>
        <w:bottom w:val="none" w:sz="0" w:space="0" w:color="auto"/>
        <w:right w:val="none" w:sz="0" w:space="0" w:color="auto"/>
      </w:divBdr>
    </w:div>
    <w:div w:id="1412969091">
      <w:marLeft w:val="0"/>
      <w:marRight w:val="0"/>
      <w:marTop w:val="0"/>
      <w:marBottom w:val="0"/>
      <w:divBdr>
        <w:top w:val="none" w:sz="0" w:space="0" w:color="auto"/>
        <w:left w:val="none" w:sz="0" w:space="0" w:color="auto"/>
        <w:bottom w:val="none" w:sz="0" w:space="0" w:color="auto"/>
        <w:right w:val="none" w:sz="0" w:space="0" w:color="auto"/>
      </w:divBdr>
    </w:div>
    <w:div w:id="1412969092">
      <w:marLeft w:val="0"/>
      <w:marRight w:val="0"/>
      <w:marTop w:val="0"/>
      <w:marBottom w:val="0"/>
      <w:divBdr>
        <w:top w:val="none" w:sz="0" w:space="0" w:color="auto"/>
        <w:left w:val="none" w:sz="0" w:space="0" w:color="auto"/>
        <w:bottom w:val="none" w:sz="0" w:space="0" w:color="auto"/>
        <w:right w:val="none" w:sz="0" w:space="0" w:color="auto"/>
      </w:divBdr>
    </w:div>
    <w:div w:id="1412969093">
      <w:marLeft w:val="0"/>
      <w:marRight w:val="0"/>
      <w:marTop w:val="0"/>
      <w:marBottom w:val="0"/>
      <w:divBdr>
        <w:top w:val="none" w:sz="0" w:space="0" w:color="auto"/>
        <w:left w:val="none" w:sz="0" w:space="0" w:color="auto"/>
        <w:bottom w:val="none" w:sz="0" w:space="0" w:color="auto"/>
        <w:right w:val="none" w:sz="0" w:space="0" w:color="auto"/>
      </w:divBdr>
    </w:div>
    <w:div w:id="1412969094">
      <w:marLeft w:val="0"/>
      <w:marRight w:val="0"/>
      <w:marTop w:val="0"/>
      <w:marBottom w:val="0"/>
      <w:divBdr>
        <w:top w:val="none" w:sz="0" w:space="0" w:color="auto"/>
        <w:left w:val="none" w:sz="0" w:space="0" w:color="auto"/>
        <w:bottom w:val="none" w:sz="0" w:space="0" w:color="auto"/>
        <w:right w:val="none" w:sz="0" w:space="0" w:color="auto"/>
      </w:divBdr>
    </w:div>
    <w:div w:id="1412969095">
      <w:marLeft w:val="0"/>
      <w:marRight w:val="0"/>
      <w:marTop w:val="0"/>
      <w:marBottom w:val="0"/>
      <w:divBdr>
        <w:top w:val="none" w:sz="0" w:space="0" w:color="auto"/>
        <w:left w:val="none" w:sz="0" w:space="0" w:color="auto"/>
        <w:bottom w:val="none" w:sz="0" w:space="0" w:color="auto"/>
        <w:right w:val="none" w:sz="0" w:space="0" w:color="auto"/>
      </w:divBdr>
    </w:div>
    <w:div w:id="1412969096">
      <w:marLeft w:val="0"/>
      <w:marRight w:val="0"/>
      <w:marTop w:val="0"/>
      <w:marBottom w:val="0"/>
      <w:divBdr>
        <w:top w:val="none" w:sz="0" w:space="0" w:color="auto"/>
        <w:left w:val="none" w:sz="0" w:space="0" w:color="auto"/>
        <w:bottom w:val="none" w:sz="0" w:space="0" w:color="auto"/>
        <w:right w:val="none" w:sz="0" w:space="0" w:color="auto"/>
      </w:divBdr>
    </w:div>
    <w:div w:id="1412969097">
      <w:marLeft w:val="0"/>
      <w:marRight w:val="0"/>
      <w:marTop w:val="0"/>
      <w:marBottom w:val="0"/>
      <w:divBdr>
        <w:top w:val="none" w:sz="0" w:space="0" w:color="auto"/>
        <w:left w:val="none" w:sz="0" w:space="0" w:color="auto"/>
        <w:bottom w:val="none" w:sz="0" w:space="0" w:color="auto"/>
        <w:right w:val="none" w:sz="0" w:space="0" w:color="auto"/>
      </w:divBdr>
    </w:div>
    <w:div w:id="1412969098">
      <w:marLeft w:val="0"/>
      <w:marRight w:val="0"/>
      <w:marTop w:val="0"/>
      <w:marBottom w:val="0"/>
      <w:divBdr>
        <w:top w:val="none" w:sz="0" w:space="0" w:color="auto"/>
        <w:left w:val="none" w:sz="0" w:space="0" w:color="auto"/>
        <w:bottom w:val="none" w:sz="0" w:space="0" w:color="auto"/>
        <w:right w:val="none" w:sz="0" w:space="0" w:color="auto"/>
      </w:divBdr>
    </w:div>
    <w:div w:id="1412969099">
      <w:marLeft w:val="0"/>
      <w:marRight w:val="0"/>
      <w:marTop w:val="0"/>
      <w:marBottom w:val="0"/>
      <w:divBdr>
        <w:top w:val="none" w:sz="0" w:space="0" w:color="auto"/>
        <w:left w:val="none" w:sz="0" w:space="0" w:color="auto"/>
        <w:bottom w:val="none" w:sz="0" w:space="0" w:color="auto"/>
        <w:right w:val="none" w:sz="0" w:space="0" w:color="auto"/>
      </w:divBdr>
    </w:div>
    <w:div w:id="1412969100">
      <w:marLeft w:val="0"/>
      <w:marRight w:val="0"/>
      <w:marTop w:val="0"/>
      <w:marBottom w:val="0"/>
      <w:divBdr>
        <w:top w:val="none" w:sz="0" w:space="0" w:color="auto"/>
        <w:left w:val="none" w:sz="0" w:space="0" w:color="auto"/>
        <w:bottom w:val="none" w:sz="0" w:space="0" w:color="auto"/>
        <w:right w:val="none" w:sz="0" w:space="0" w:color="auto"/>
      </w:divBdr>
    </w:div>
    <w:div w:id="1412969101">
      <w:marLeft w:val="0"/>
      <w:marRight w:val="0"/>
      <w:marTop w:val="0"/>
      <w:marBottom w:val="0"/>
      <w:divBdr>
        <w:top w:val="none" w:sz="0" w:space="0" w:color="auto"/>
        <w:left w:val="none" w:sz="0" w:space="0" w:color="auto"/>
        <w:bottom w:val="none" w:sz="0" w:space="0" w:color="auto"/>
        <w:right w:val="none" w:sz="0" w:space="0" w:color="auto"/>
      </w:divBdr>
    </w:div>
    <w:div w:id="1412969102">
      <w:marLeft w:val="0"/>
      <w:marRight w:val="0"/>
      <w:marTop w:val="0"/>
      <w:marBottom w:val="0"/>
      <w:divBdr>
        <w:top w:val="none" w:sz="0" w:space="0" w:color="auto"/>
        <w:left w:val="none" w:sz="0" w:space="0" w:color="auto"/>
        <w:bottom w:val="none" w:sz="0" w:space="0" w:color="auto"/>
        <w:right w:val="none" w:sz="0" w:space="0" w:color="auto"/>
      </w:divBdr>
    </w:div>
    <w:div w:id="1412969104">
      <w:marLeft w:val="0"/>
      <w:marRight w:val="0"/>
      <w:marTop w:val="0"/>
      <w:marBottom w:val="0"/>
      <w:divBdr>
        <w:top w:val="none" w:sz="0" w:space="0" w:color="auto"/>
        <w:left w:val="none" w:sz="0" w:space="0" w:color="auto"/>
        <w:bottom w:val="none" w:sz="0" w:space="0" w:color="auto"/>
        <w:right w:val="none" w:sz="0" w:space="0" w:color="auto"/>
      </w:divBdr>
    </w:div>
    <w:div w:id="1412969105">
      <w:marLeft w:val="0"/>
      <w:marRight w:val="0"/>
      <w:marTop w:val="0"/>
      <w:marBottom w:val="0"/>
      <w:divBdr>
        <w:top w:val="none" w:sz="0" w:space="0" w:color="auto"/>
        <w:left w:val="none" w:sz="0" w:space="0" w:color="auto"/>
        <w:bottom w:val="none" w:sz="0" w:space="0" w:color="auto"/>
        <w:right w:val="none" w:sz="0" w:space="0" w:color="auto"/>
      </w:divBdr>
    </w:div>
    <w:div w:id="1412969106">
      <w:marLeft w:val="0"/>
      <w:marRight w:val="0"/>
      <w:marTop w:val="0"/>
      <w:marBottom w:val="0"/>
      <w:divBdr>
        <w:top w:val="none" w:sz="0" w:space="0" w:color="auto"/>
        <w:left w:val="none" w:sz="0" w:space="0" w:color="auto"/>
        <w:bottom w:val="none" w:sz="0" w:space="0" w:color="auto"/>
        <w:right w:val="none" w:sz="0" w:space="0" w:color="auto"/>
      </w:divBdr>
      <w:divsChild>
        <w:div w:id="1412969103">
          <w:marLeft w:val="547"/>
          <w:marRight w:val="0"/>
          <w:marTop w:val="0"/>
          <w:marBottom w:val="0"/>
          <w:divBdr>
            <w:top w:val="none" w:sz="0" w:space="0" w:color="auto"/>
            <w:left w:val="none" w:sz="0" w:space="0" w:color="auto"/>
            <w:bottom w:val="none" w:sz="0" w:space="0" w:color="auto"/>
            <w:right w:val="none" w:sz="0" w:space="0" w:color="auto"/>
          </w:divBdr>
        </w:div>
      </w:divsChild>
    </w:div>
    <w:div w:id="1412969107">
      <w:marLeft w:val="0"/>
      <w:marRight w:val="0"/>
      <w:marTop w:val="0"/>
      <w:marBottom w:val="0"/>
      <w:divBdr>
        <w:top w:val="none" w:sz="0" w:space="0" w:color="auto"/>
        <w:left w:val="none" w:sz="0" w:space="0" w:color="auto"/>
        <w:bottom w:val="none" w:sz="0" w:space="0" w:color="auto"/>
        <w:right w:val="none" w:sz="0" w:space="0" w:color="auto"/>
      </w:divBdr>
    </w:div>
    <w:div w:id="1412969108">
      <w:marLeft w:val="0"/>
      <w:marRight w:val="0"/>
      <w:marTop w:val="0"/>
      <w:marBottom w:val="0"/>
      <w:divBdr>
        <w:top w:val="none" w:sz="0" w:space="0" w:color="auto"/>
        <w:left w:val="none" w:sz="0" w:space="0" w:color="auto"/>
        <w:bottom w:val="none" w:sz="0" w:space="0" w:color="auto"/>
        <w:right w:val="none" w:sz="0" w:space="0" w:color="auto"/>
      </w:divBdr>
    </w:div>
    <w:div w:id="1412969109">
      <w:marLeft w:val="0"/>
      <w:marRight w:val="0"/>
      <w:marTop w:val="0"/>
      <w:marBottom w:val="0"/>
      <w:divBdr>
        <w:top w:val="none" w:sz="0" w:space="0" w:color="auto"/>
        <w:left w:val="none" w:sz="0" w:space="0" w:color="auto"/>
        <w:bottom w:val="none" w:sz="0" w:space="0" w:color="auto"/>
        <w:right w:val="none" w:sz="0" w:space="0" w:color="auto"/>
      </w:divBdr>
    </w:div>
    <w:div w:id="1412969110">
      <w:marLeft w:val="0"/>
      <w:marRight w:val="0"/>
      <w:marTop w:val="0"/>
      <w:marBottom w:val="0"/>
      <w:divBdr>
        <w:top w:val="none" w:sz="0" w:space="0" w:color="auto"/>
        <w:left w:val="none" w:sz="0" w:space="0" w:color="auto"/>
        <w:bottom w:val="none" w:sz="0" w:space="0" w:color="auto"/>
        <w:right w:val="none" w:sz="0" w:space="0" w:color="auto"/>
      </w:divBdr>
    </w:div>
    <w:div w:id="1412969111">
      <w:marLeft w:val="0"/>
      <w:marRight w:val="0"/>
      <w:marTop w:val="0"/>
      <w:marBottom w:val="0"/>
      <w:divBdr>
        <w:top w:val="none" w:sz="0" w:space="0" w:color="auto"/>
        <w:left w:val="none" w:sz="0" w:space="0" w:color="auto"/>
        <w:bottom w:val="none" w:sz="0" w:space="0" w:color="auto"/>
        <w:right w:val="none" w:sz="0" w:space="0" w:color="auto"/>
      </w:divBdr>
    </w:div>
    <w:div w:id="1412969112">
      <w:marLeft w:val="0"/>
      <w:marRight w:val="0"/>
      <w:marTop w:val="0"/>
      <w:marBottom w:val="0"/>
      <w:divBdr>
        <w:top w:val="none" w:sz="0" w:space="0" w:color="auto"/>
        <w:left w:val="none" w:sz="0" w:space="0" w:color="auto"/>
        <w:bottom w:val="none" w:sz="0" w:space="0" w:color="auto"/>
        <w:right w:val="none" w:sz="0" w:space="0" w:color="auto"/>
      </w:divBdr>
    </w:div>
    <w:div w:id="1412969113">
      <w:marLeft w:val="0"/>
      <w:marRight w:val="0"/>
      <w:marTop w:val="0"/>
      <w:marBottom w:val="0"/>
      <w:divBdr>
        <w:top w:val="none" w:sz="0" w:space="0" w:color="auto"/>
        <w:left w:val="none" w:sz="0" w:space="0" w:color="auto"/>
        <w:bottom w:val="none" w:sz="0" w:space="0" w:color="auto"/>
        <w:right w:val="none" w:sz="0" w:space="0" w:color="auto"/>
      </w:divBdr>
    </w:div>
    <w:div w:id="1412969114">
      <w:marLeft w:val="0"/>
      <w:marRight w:val="0"/>
      <w:marTop w:val="0"/>
      <w:marBottom w:val="0"/>
      <w:divBdr>
        <w:top w:val="none" w:sz="0" w:space="0" w:color="auto"/>
        <w:left w:val="none" w:sz="0" w:space="0" w:color="auto"/>
        <w:bottom w:val="none" w:sz="0" w:space="0" w:color="auto"/>
        <w:right w:val="none" w:sz="0" w:space="0" w:color="auto"/>
      </w:divBdr>
      <w:divsChild>
        <w:div w:id="1412969122">
          <w:marLeft w:val="547"/>
          <w:marRight w:val="0"/>
          <w:marTop w:val="0"/>
          <w:marBottom w:val="0"/>
          <w:divBdr>
            <w:top w:val="none" w:sz="0" w:space="0" w:color="auto"/>
            <w:left w:val="none" w:sz="0" w:space="0" w:color="auto"/>
            <w:bottom w:val="none" w:sz="0" w:space="0" w:color="auto"/>
            <w:right w:val="none" w:sz="0" w:space="0" w:color="auto"/>
          </w:divBdr>
        </w:div>
      </w:divsChild>
    </w:div>
    <w:div w:id="1412969115">
      <w:marLeft w:val="0"/>
      <w:marRight w:val="0"/>
      <w:marTop w:val="0"/>
      <w:marBottom w:val="0"/>
      <w:divBdr>
        <w:top w:val="none" w:sz="0" w:space="0" w:color="auto"/>
        <w:left w:val="none" w:sz="0" w:space="0" w:color="auto"/>
        <w:bottom w:val="none" w:sz="0" w:space="0" w:color="auto"/>
        <w:right w:val="none" w:sz="0" w:space="0" w:color="auto"/>
      </w:divBdr>
    </w:div>
    <w:div w:id="1412969116">
      <w:marLeft w:val="0"/>
      <w:marRight w:val="0"/>
      <w:marTop w:val="0"/>
      <w:marBottom w:val="0"/>
      <w:divBdr>
        <w:top w:val="none" w:sz="0" w:space="0" w:color="auto"/>
        <w:left w:val="none" w:sz="0" w:space="0" w:color="auto"/>
        <w:bottom w:val="none" w:sz="0" w:space="0" w:color="auto"/>
        <w:right w:val="none" w:sz="0" w:space="0" w:color="auto"/>
      </w:divBdr>
    </w:div>
    <w:div w:id="1412969117">
      <w:marLeft w:val="0"/>
      <w:marRight w:val="0"/>
      <w:marTop w:val="0"/>
      <w:marBottom w:val="0"/>
      <w:divBdr>
        <w:top w:val="none" w:sz="0" w:space="0" w:color="auto"/>
        <w:left w:val="none" w:sz="0" w:space="0" w:color="auto"/>
        <w:bottom w:val="none" w:sz="0" w:space="0" w:color="auto"/>
        <w:right w:val="none" w:sz="0" w:space="0" w:color="auto"/>
      </w:divBdr>
    </w:div>
    <w:div w:id="1412969118">
      <w:marLeft w:val="0"/>
      <w:marRight w:val="0"/>
      <w:marTop w:val="0"/>
      <w:marBottom w:val="0"/>
      <w:divBdr>
        <w:top w:val="none" w:sz="0" w:space="0" w:color="auto"/>
        <w:left w:val="none" w:sz="0" w:space="0" w:color="auto"/>
        <w:bottom w:val="none" w:sz="0" w:space="0" w:color="auto"/>
        <w:right w:val="none" w:sz="0" w:space="0" w:color="auto"/>
      </w:divBdr>
    </w:div>
    <w:div w:id="1412969119">
      <w:marLeft w:val="0"/>
      <w:marRight w:val="0"/>
      <w:marTop w:val="0"/>
      <w:marBottom w:val="0"/>
      <w:divBdr>
        <w:top w:val="none" w:sz="0" w:space="0" w:color="auto"/>
        <w:left w:val="none" w:sz="0" w:space="0" w:color="auto"/>
        <w:bottom w:val="none" w:sz="0" w:space="0" w:color="auto"/>
        <w:right w:val="none" w:sz="0" w:space="0" w:color="auto"/>
      </w:divBdr>
    </w:div>
    <w:div w:id="1412969120">
      <w:marLeft w:val="0"/>
      <w:marRight w:val="0"/>
      <w:marTop w:val="0"/>
      <w:marBottom w:val="0"/>
      <w:divBdr>
        <w:top w:val="none" w:sz="0" w:space="0" w:color="auto"/>
        <w:left w:val="none" w:sz="0" w:space="0" w:color="auto"/>
        <w:bottom w:val="none" w:sz="0" w:space="0" w:color="auto"/>
        <w:right w:val="none" w:sz="0" w:space="0" w:color="auto"/>
      </w:divBdr>
    </w:div>
    <w:div w:id="1412969121">
      <w:marLeft w:val="0"/>
      <w:marRight w:val="0"/>
      <w:marTop w:val="0"/>
      <w:marBottom w:val="0"/>
      <w:divBdr>
        <w:top w:val="none" w:sz="0" w:space="0" w:color="auto"/>
        <w:left w:val="none" w:sz="0" w:space="0" w:color="auto"/>
        <w:bottom w:val="none" w:sz="0" w:space="0" w:color="auto"/>
        <w:right w:val="none" w:sz="0" w:space="0" w:color="auto"/>
      </w:divBdr>
    </w:div>
    <w:div w:id="1412969123">
      <w:marLeft w:val="0"/>
      <w:marRight w:val="0"/>
      <w:marTop w:val="0"/>
      <w:marBottom w:val="0"/>
      <w:divBdr>
        <w:top w:val="none" w:sz="0" w:space="0" w:color="auto"/>
        <w:left w:val="none" w:sz="0" w:space="0" w:color="auto"/>
        <w:bottom w:val="none" w:sz="0" w:space="0" w:color="auto"/>
        <w:right w:val="none" w:sz="0" w:space="0" w:color="auto"/>
      </w:divBdr>
    </w:div>
    <w:div w:id="1412969125">
      <w:marLeft w:val="0"/>
      <w:marRight w:val="0"/>
      <w:marTop w:val="0"/>
      <w:marBottom w:val="0"/>
      <w:divBdr>
        <w:top w:val="none" w:sz="0" w:space="0" w:color="auto"/>
        <w:left w:val="none" w:sz="0" w:space="0" w:color="auto"/>
        <w:bottom w:val="none" w:sz="0" w:space="0" w:color="auto"/>
        <w:right w:val="none" w:sz="0" w:space="0" w:color="auto"/>
      </w:divBdr>
    </w:div>
    <w:div w:id="1412969126">
      <w:marLeft w:val="0"/>
      <w:marRight w:val="0"/>
      <w:marTop w:val="0"/>
      <w:marBottom w:val="0"/>
      <w:divBdr>
        <w:top w:val="none" w:sz="0" w:space="0" w:color="auto"/>
        <w:left w:val="none" w:sz="0" w:space="0" w:color="auto"/>
        <w:bottom w:val="none" w:sz="0" w:space="0" w:color="auto"/>
        <w:right w:val="none" w:sz="0" w:space="0" w:color="auto"/>
      </w:divBdr>
    </w:div>
    <w:div w:id="1412969127">
      <w:marLeft w:val="0"/>
      <w:marRight w:val="0"/>
      <w:marTop w:val="0"/>
      <w:marBottom w:val="0"/>
      <w:divBdr>
        <w:top w:val="none" w:sz="0" w:space="0" w:color="auto"/>
        <w:left w:val="none" w:sz="0" w:space="0" w:color="auto"/>
        <w:bottom w:val="none" w:sz="0" w:space="0" w:color="auto"/>
        <w:right w:val="none" w:sz="0" w:space="0" w:color="auto"/>
      </w:divBdr>
    </w:div>
    <w:div w:id="1412969129">
      <w:marLeft w:val="0"/>
      <w:marRight w:val="0"/>
      <w:marTop w:val="0"/>
      <w:marBottom w:val="0"/>
      <w:divBdr>
        <w:top w:val="none" w:sz="0" w:space="0" w:color="auto"/>
        <w:left w:val="none" w:sz="0" w:space="0" w:color="auto"/>
        <w:bottom w:val="none" w:sz="0" w:space="0" w:color="auto"/>
        <w:right w:val="none" w:sz="0" w:space="0" w:color="auto"/>
      </w:divBdr>
    </w:div>
    <w:div w:id="1412969130">
      <w:marLeft w:val="0"/>
      <w:marRight w:val="0"/>
      <w:marTop w:val="0"/>
      <w:marBottom w:val="0"/>
      <w:divBdr>
        <w:top w:val="none" w:sz="0" w:space="0" w:color="auto"/>
        <w:left w:val="none" w:sz="0" w:space="0" w:color="auto"/>
        <w:bottom w:val="none" w:sz="0" w:space="0" w:color="auto"/>
        <w:right w:val="none" w:sz="0" w:space="0" w:color="auto"/>
      </w:divBdr>
    </w:div>
    <w:div w:id="1412969131">
      <w:marLeft w:val="0"/>
      <w:marRight w:val="0"/>
      <w:marTop w:val="0"/>
      <w:marBottom w:val="0"/>
      <w:divBdr>
        <w:top w:val="none" w:sz="0" w:space="0" w:color="auto"/>
        <w:left w:val="none" w:sz="0" w:space="0" w:color="auto"/>
        <w:bottom w:val="none" w:sz="0" w:space="0" w:color="auto"/>
        <w:right w:val="none" w:sz="0" w:space="0" w:color="auto"/>
      </w:divBdr>
    </w:div>
    <w:div w:id="1412969132">
      <w:marLeft w:val="0"/>
      <w:marRight w:val="0"/>
      <w:marTop w:val="0"/>
      <w:marBottom w:val="0"/>
      <w:divBdr>
        <w:top w:val="none" w:sz="0" w:space="0" w:color="auto"/>
        <w:left w:val="none" w:sz="0" w:space="0" w:color="auto"/>
        <w:bottom w:val="none" w:sz="0" w:space="0" w:color="auto"/>
        <w:right w:val="none" w:sz="0" w:space="0" w:color="auto"/>
      </w:divBdr>
    </w:div>
    <w:div w:id="1412969133">
      <w:marLeft w:val="0"/>
      <w:marRight w:val="0"/>
      <w:marTop w:val="0"/>
      <w:marBottom w:val="0"/>
      <w:divBdr>
        <w:top w:val="none" w:sz="0" w:space="0" w:color="auto"/>
        <w:left w:val="none" w:sz="0" w:space="0" w:color="auto"/>
        <w:bottom w:val="none" w:sz="0" w:space="0" w:color="auto"/>
        <w:right w:val="none" w:sz="0" w:space="0" w:color="auto"/>
      </w:divBdr>
    </w:div>
    <w:div w:id="1690792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image" Target="media/image13.wmf"/><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wmf"/><Relationship Id="rId25" Type="http://schemas.openxmlformats.org/officeDocument/2006/relationships/chart" Target="charts/chart9.xml"/><Relationship Id="rId33" Type="http://schemas.openxmlformats.org/officeDocument/2006/relationships/image" Target="media/image12.wmf"/><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4.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chart" Target="charts/chart8.xml"/><Relationship Id="rId32" Type="http://schemas.openxmlformats.org/officeDocument/2006/relationships/image" Target="media/image11.w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chart" Target="charts/chart3.xml"/><Relationship Id="rId31"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3.xml"/><Relationship Id="rId35"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AppData\Roaming\Microsoft\Excel\1.1%20(version%201).xlsb"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Magistras\Magistrinis%20darbas\Diagramos_gulscios%20-%20pratrintos%20kaip%20reikian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Magistras\Magistrinis%20darbas\3.%20tyrimas\Voratinklis_E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agistras\Magistrinis%20darbas\1.2.%20Lietuvos%20pasto%20rinkos%20raida\1.1.%20atsakaitos%20pajam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agistras\Magistrinis%20darbas\Diagramos_gulscios%20-%20pratrintos%20kaip%20reikian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gistras\Magistrinis%20darbas\3.%20tyrimas\LT\Diagramos_gulscios%20-%20pratrintos%20kaip%20reikian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Magistras\Magistrinis%20darbas\3.%20tyrimas\Voratinklis_LT.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Magistras\Magistrinis%20darbas\Diagramos_gulsci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percentStacked"/>
        <c:ser>
          <c:idx val="0"/>
          <c:order val="0"/>
          <c:tx>
            <c:strRef>
              <c:f>Bendras!$B$6</c:f>
              <c:strCache>
                <c:ptCount val="1"/>
                <c:pt idx="0">
                  <c:v>Valstybinis pašto paslaugų teikėjas</c:v>
                </c:pt>
              </c:strCache>
            </c:strRef>
          </c:tx>
          <c:cat>
            <c:numRef>
              <c:f>Bendras!$A$9:$A$15</c:f>
              <c:numCache>
                <c:formatCode>General</c:formatCode>
                <c:ptCount val="7"/>
                <c:pt idx="0">
                  <c:v>2004</c:v>
                </c:pt>
                <c:pt idx="1">
                  <c:v>2005</c:v>
                </c:pt>
                <c:pt idx="2">
                  <c:v>2006</c:v>
                </c:pt>
                <c:pt idx="3">
                  <c:v>2007</c:v>
                </c:pt>
                <c:pt idx="4">
                  <c:v>2008</c:v>
                </c:pt>
                <c:pt idx="5">
                  <c:v>2009</c:v>
                </c:pt>
                <c:pt idx="6">
                  <c:v>2010</c:v>
                </c:pt>
              </c:numCache>
            </c:numRef>
          </c:cat>
          <c:val>
            <c:numRef>
              <c:f>Bendras!$B$9:$B$15</c:f>
              <c:numCache>
                <c:formatCode>0.0</c:formatCode>
                <c:ptCount val="7"/>
                <c:pt idx="0">
                  <c:v>49.557761338505308</c:v>
                </c:pt>
                <c:pt idx="1">
                  <c:v>48.409120924051372</c:v>
                </c:pt>
                <c:pt idx="2">
                  <c:v>49.443827902042372</c:v>
                </c:pt>
                <c:pt idx="3">
                  <c:v>55.24714436930725</c:v>
                </c:pt>
                <c:pt idx="4">
                  <c:v>58.784803186423893</c:v>
                </c:pt>
                <c:pt idx="5">
                  <c:v>43.6</c:v>
                </c:pt>
                <c:pt idx="6">
                  <c:v>41.4</c:v>
                </c:pt>
              </c:numCache>
            </c:numRef>
          </c:val>
        </c:ser>
        <c:ser>
          <c:idx val="1"/>
          <c:order val="1"/>
          <c:tx>
            <c:strRef>
              <c:f>Bendras!$C$6</c:f>
              <c:strCache>
                <c:ptCount val="1"/>
                <c:pt idx="0">
                  <c:v>Kiti pašto paslaugų teikėjai</c:v>
                </c:pt>
              </c:strCache>
            </c:strRef>
          </c:tx>
          <c:cat>
            <c:numRef>
              <c:f>Bendras!$A$9:$A$15</c:f>
              <c:numCache>
                <c:formatCode>General</c:formatCode>
                <c:ptCount val="7"/>
                <c:pt idx="0">
                  <c:v>2004</c:v>
                </c:pt>
                <c:pt idx="1">
                  <c:v>2005</c:v>
                </c:pt>
                <c:pt idx="2">
                  <c:v>2006</c:v>
                </c:pt>
                <c:pt idx="3">
                  <c:v>2007</c:v>
                </c:pt>
                <c:pt idx="4">
                  <c:v>2008</c:v>
                </c:pt>
                <c:pt idx="5">
                  <c:v>2009</c:v>
                </c:pt>
                <c:pt idx="6">
                  <c:v>2010</c:v>
                </c:pt>
              </c:numCache>
            </c:numRef>
          </c:cat>
          <c:val>
            <c:numRef>
              <c:f>Bendras!$C$9:$C$15</c:f>
              <c:numCache>
                <c:formatCode>0.0</c:formatCode>
                <c:ptCount val="7"/>
                <c:pt idx="0">
                  <c:v>50.442238661494443</c:v>
                </c:pt>
                <c:pt idx="1">
                  <c:v>51.590879075948898</c:v>
                </c:pt>
                <c:pt idx="2">
                  <c:v>50.556172097957216</c:v>
                </c:pt>
                <c:pt idx="3">
                  <c:v>44.752855630692494</c:v>
                </c:pt>
                <c:pt idx="4">
                  <c:v>41.215196813576163</c:v>
                </c:pt>
                <c:pt idx="5">
                  <c:v>56.4</c:v>
                </c:pt>
                <c:pt idx="6">
                  <c:v>58.6</c:v>
                </c:pt>
              </c:numCache>
            </c:numRef>
          </c:val>
        </c:ser>
        <c:dLbls>
          <c:showVal val="1"/>
        </c:dLbls>
        <c:gapWidth val="95"/>
        <c:overlap val="100"/>
        <c:axId val="131885312"/>
        <c:axId val="131893120"/>
      </c:barChart>
      <c:catAx>
        <c:axId val="131885312"/>
        <c:scaling>
          <c:orientation val="minMax"/>
        </c:scaling>
        <c:axPos val="l"/>
        <c:title>
          <c:tx>
            <c:rich>
              <a:bodyPr rot="-5400000" vert="horz"/>
              <a:lstStyle/>
              <a:p>
                <a:pPr>
                  <a:defRPr/>
                </a:pPr>
                <a:r>
                  <a:rPr lang="en-US"/>
                  <a:t>Metai</a:t>
                </a:r>
              </a:p>
            </c:rich>
          </c:tx>
        </c:title>
        <c:numFmt formatCode="General" sourceLinked="1"/>
        <c:majorTickMark val="none"/>
        <c:tickLblPos val="nextTo"/>
        <c:crossAx val="131893120"/>
        <c:crosses val="autoZero"/>
        <c:auto val="1"/>
        <c:lblAlgn val="ctr"/>
        <c:lblOffset val="100"/>
      </c:catAx>
      <c:valAx>
        <c:axId val="131893120"/>
        <c:scaling>
          <c:orientation val="minMax"/>
        </c:scaling>
        <c:delete val="1"/>
        <c:axPos val="b"/>
        <c:title>
          <c:tx>
            <c:rich>
              <a:bodyPr/>
              <a:lstStyle/>
              <a:p>
                <a:pPr>
                  <a:defRPr/>
                </a:pPr>
                <a:r>
                  <a:rPr lang="en-GB"/>
                  <a:t>Rinkos dalis proc.</a:t>
                </a:r>
                <a:endParaRPr lang="lt-LT"/>
              </a:p>
            </c:rich>
          </c:tx>
        </c:title>
        <c:numFmt formatCode="0%" sourceLinked="1"/>
        <c:tickLblPos val="none"/>
        <c:crossAx val="131885312"/>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clustered"/>
        <c:ser>
          <c:idx val="0"/>
          <c:order val="0"/>
          <c:tx>
            <c:strRef>
              <c:f>'7 kl.'!$B$7</c:f>
              <c:strCache>
                <c:ptCount val="1"/>
                <c:pt idx="0">
                  <c:v>Silpnai išvystytos AB Lietuvos paštas paslaugos</c:v>
                </c:pt>
              </c:strCache>
            </c:strRef>
          </c:tx>
          <c:cat>
            <c:strRef>
              <c:f>'7 kl.'!$A$8:$A$14</c:f>
              <c:strCache>
                <c:ptCount val="7"/>
                <c:pt idx="0">
                  <c:v>Pašto siuntų</c:v>
                </c:pt>
                <c:pt idx="1">
                  <c:v>E. paslaugų</c:v>
                </c:pt>
                <c:pt idx="2">
                  <c:v>Pasiuntinių paslaugų</c:v>
                </c:pt>
                <c:pt idx="3">
                  <c:v>Pašto korespondencijos</c:v>
                </c:pt>
                <c:pt idx="4">
                  <c:v>Reklaminio pašto</c:v>
                </c:pt>
                <c:pt idx="5">
                  <c:v>Pašto perlaidų</c:v>
                </c:pt>
                <c:pt idx="6">
                  <c:v>Prenumeratos </c:v>
                </c:pt>
              </c:strCache>
            </c:strRef>
          </c:cat>
          <c:val>
            <c:numRef>
              <c:f>'7 kl.'!$B$8:$B$14</c:f>
              <c:numCache>
                <c:formatCode>General</c:formatCode>
                <c:ptCount val="7"/>
                <c:pt idx="0">
                  <c:v>5</c:v>
                </c:pt>
                <c:pt idx="1">
                  <c:v>4</c:v>
                </c:pt>
                <c:pt idx="2">
                  <c:v>5</c:v>
                </c:pt>
                <c:pt idx="3">
                  <c:v>4</c:v>
                </c:pt>
                <c:pt idx="4">
                  <c:v>0</c:v>
                </c:pt>
                <c:pt idx="5">
                  <c:v>2</c:v>
                </c:pt>
                <c:pt idx="6">
                  <c:v>1</c:v>
                </c:pt>
              </c:numCache>
            </c:numRef>
          </c:val>
        </c:ser>
        <c:ser>
          <c:idx val="1"/>
          <c:order val="1"/>
          <c:tx>
            <c:strRef>
              <c:f>'7 kl.'!$C$7</c:f>
              <c:strCache>
                <c:ptCount val="1"/>
                <c:pt idx="0">
                  <c:v>Rinkoje konkurencingos paslaugos</c:v>
                </c:pt>
              </c:strCache>
            </c:strRef>
          </c:tx>
          <c:cat>
            <c:strRef>
              <c:f>'7 kl.'!$A$8:$A$14</c:f>
              <c:strCache>
                <c:ptCount val="7"/>
                <c:pt idx="0">
                  <c:v>Pašto siuntų</c:v>
                </c:pt>
                <c:pt idx="1">
                  <c:v>E. paslaugų</c:v>
                </c:pt>
                <c:pt idx="2">
                  <c:v>Pasiuntinių paslaugų</c:v>
                </c:pt>
                <c:pt idx="3">
                  <c:v>Pašto korespondencijos</c:v>
                </c:pt>
                <c:pt idx="4">
                  <c:v>Reklaminio pašto</c:v>
                </c:pt>
                <c:pt idx="5">
                  <c:v>Pašto perlaidų</c:v>
                </c:pt>
                <c:pt idx="6">
                  <c:v>Prenumeratos </c:v>
                </c:pt>
              </c:strCache>
            </c:strRef>
          </c:cat>
          <c:val>
            <c:numRef>
              <c:f>'7 kl.'!$C$8:$C$14</c:f>
              <c:numCache>
                <c:formatCode>General</c:formatCode>
                <c:ptCount val="7"/>
                <c:pt idx="0">
                  <c:v>6</c:v>
                </c:pt>
                <c:pt idx="1">
                  <c:v>5</c:v>
                </c:pt>
                <c:pt idx="2">
                  <c:v>5</c:v>
                </c:pt>
                <c:pt idx="3">
                  <c:v>4</c:v>
                </c:pt>
                <c:pt idx="4">
                  <c:v>4</c:v>
                </c:pt>
                <c:pt idx="5">
                  <c:v>0</c:v>
                </c:pt>
                <c:pt idx="6">
                  <c:v>0</c:v>
                </c:pt>
              </c:numCache>
            </c:numRef>
          </c:val>
        </c:ser>
        <c:axId val="171226240"/>
        <c:axId val="171227776"/>
      </c:barChart>
      <c:catAx>
        <c:axId val="171226240"/>
        <c:scaling>
          <c:orientation val="minMax"/>
        </c:scaling>
        <c:axPos val="l"/>
        <c:majorTickMark val="none"/>
        <c:tickLblPos val="nextTo"/>
        <c:crossAx val="171227776"/>
        <c:crosses val="autoZero"/>
        <c:auto val="1"/>
        <c:lblAlgn val="ctr"/>
        <c:lblOffset val="100"/>
      </c:catAx>
      <c:valAx>
        <c:axId val="171227776"/>
        <c:scaling>
          <c:orientation val="minMax"/>
          <c:max val="6"/>
        </c:scaling>
        <c:axPos val="b"/>
        <c:majorGridlines/>
        <c:title>
          <c:tx>
            <c:rich>
              <a:bodyPr/>
              <a:lstStyle/>
              <a:p>
                <a:pPr>
                  <a:defRPr/>
                </a:pPr>
                <a:r>
                  <a:rPr lang="en-GB"/>
                  <a:t>Respondnet</a:t>
                </a:r>
                <a:r>
                  <a:rPr lang="lt-LT"/>
                  <a:t>ų dalis vienetais</a:t>
                </a:r>
              </a:p>
            </c:rich>
          </c:tx>
        </c:title>
        <c:numFmt formatCode="General" sourceLinked="1"/>
        <c:tickLblPos val="nextTo"/>
        <c:crossAx val="171226240"/>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stacked"/>
        <c:ser>
          <c:idx val="0"/>
          <c:order val="0"/>
          <c:tx>
            <c:strRef>
              <c:f>'23 kl.'!$A$8</c:f>
              <c:strCache>
                <c:ptCount val="1"/>
                <c:pt idx="0">
                  <c:v>Fiziniai asmenys</c:v>
                </c:pt>
              </c:strCache>
            </c:strRef>
          </c:tx>
          <c:val>
            <c:numRef>
              <c:f>'23 kl.'!$B$8</c:f>
              <c:numCache>
                <c:formatCode>General</c:formatCode>
                <c:ptCount val="1"/>
                <c:pt idx="0">
                  <c:v>1</c:v>
                </c:pt>
              </c:numCache>
            </c:numRef>
          </c:val>
        </c:ser>
        <c:ser>
          <c:idx val="1"/>
          <c:order val="1"/>
          <c:tx>
            <c:strRef>
              <c:f>'23 kl.'!$A$9</c:f>
              <c:strCache>
                <c:ptCount val="1"/>
                <c:pt idx="0">
                  <c:v>Juridiniai asmenys</c:v>
                </c:pt>
              </c:strCache>
            </c:strRef>
          </c:tx>
          <c:val>
            <c:numRef>
              <c:f>'23 kl.'!$B$9</c:f>
              <c:numCache>
                <c:formatCode>General</c:formatCode>
                <c:ptCount val="1"/>
                <c:pt idx="0">
                  <c:v>3</c:v>
                </c:pt>
              </c:numCache>
            </c:numRef>
          </c:val>
        </c:ser>
        <c:ser>
          <c:idx val="2"/>
          <c:order val="2"/>
          <c:tx>
            <c:strRef>
              <c:f>'23 kl.'!$A$10</c:f>
              <c:strCache>
                <c:ptCount val="1"/>
                <c:pt idx="0">
                  <c:v>Abi grupės lygiavertės</c:v>
                </c:pt>
              </c:strCache>
            </c:strRef>
          </c:tx>
          <c:val>
            <c:numRef>
              <c:f>'23 kl.'!$B$10</c:f>
              <c:numCache>
                <c:formatCode>General</c:formatCode>
                <c:ptCount val="1"/>
                <c:pt idx="0">
                  <c:v>4</c:v>
                </c:pt>
              </c:numCache>
            </c:numRef>
          </c:val>
        </c:ser>
        <c:dLbls>
          <c:showVal val="1"/>
        </c:dLbls>
        <c:gapWidth val="95"/>
        <c:overlap val="100"/>
        <c:axId val="171283584"/>
        <c:axId val="171285120"/>
      </c:barChart>
      <c:catAx>
        <c:axId val="171283584"/>
        <c:scaling>
          <c:orientation val="minMax"/>
        </c:scaling>
        <c:delete val="1"/>
        <c:axPos val="l"/>
        <c:majorTickMark val="none"/>
        <c:tickLblPos val="none"/>
        <c:crossAx val="171285120"/>
        <c:crosses val="autoZero"/>
        <c:auto val="1"/>
        <c:lblAlgn val="ctr"/>
        <c:lblOffset val="100"/>
      </c:catAx>
      <c:valAx>
        <c:axId val="171285120"/>
        <c:scaling>
          <c:orientation val="minMax"/>
          <c:max val="8"/>
          <c:min val="0"/>
        </c:scaling>
        <c:delete val="1"/>
        <c:axPos val="b"/>
        <c:title>
          <c:tx>
            <c:rich>
              <a:bodyPr/>
              <a:lstStyle/>
              <a:p>
                <a:pPr>
                  <a:defRPr/>
                </a:pPr>
                <a:r>
                  <a:rPr lang="lt-LT"/>
                  <a:t>Respondentų skaičius</a:t>
                </a:r>
              </a:p>
            </c:rich>
          </c:tx>
        </c:title>
        <c:numFmt formatCode="General" sourceLinked="1"/>
        <c:tickLblPos val="none"/>
        <c:crossAx val="171283584"/>
        <c:crosses val="autoZero"/>
        <c:crossBetween val="between"/>
        <c:majorUnit val="1"/>
        <c:minorUnit val="0.2"/>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stacked"/>
        <c:ser>
          <c:idx val="0"/>
          <c:order val="0"/>
          <c:cat>
            <c:strRef>
              <c:f>Sheet1!$C$4:$C$5</c:f>
              <c:strCache>
                <c:ptCount val="2"/>
                <c:pt idx="0">
                  <c:v>Juridiniams asmenims</c:v>
                </c:pt>
                <c:pt idx="1">
                  <c:v>Fiziniams asmenims </c:v>
                </c:pt>
              </c:strCache>
            </c:strRef>
          </c:cat>
          <c:val>
            <c:numRef>
              <c:f>Sheet1!$D$4:$D$5</c:f>
              <c:numCache>
                <c:formatCode>General</c:formatCode>
                <c:ptCount val="2"/>
                <c:pt idx="0">
                  <c:v>9</c:v>
                </c:pt>
                <c:pt idx="1">
                  <c:v>6</c:v>
                </c:pt>
              </c:numCache>
            </c:numRef>
          </c:val>
        </c:ser>
        <c:dLbls>
          <c:showVal val="1"/>
        </c:dLbls>
        <c:gapWidth val="95"/>
        <c:overlap val="100"/>
        <c:axId val="171309696"/>
        <c:axId val="171716992"/>
      </c:barChart>
      <c:catAx>
        <c:axId val="171309696"/>
        <c:scaling>
          <c:orientation val="minMax"/>
        </c:scaling>
        <c:axPos val="l"/>
        <c:majorTickMark val="none"/>
        <c:tickLblPos val="nextTo"/>
        <c:crossAx val="171716992"/>
        <c:crosses val="autoZero"/>
        <c:auto val="1"/>
        <c:lblAlgn val="ctr"/>
        <c:lblOffset val="100"/>
      </c:catAx>
      <c:valAx>
        <c:axId val="171716992"/>
        <c:scaling>
          <c:orientation val="minMax"/>
          <c:max val="9"/>
          <c:min val="0"/>
        </c:scaling>
        <c:delete val="1"/>
        <c:axPos val="b"/>
        <c:numFmt formatCode="General" sourceLinked="1"/>
        <c:tickLblPos val="none"/>
        <c:crossAx val="171309696"/>
        <c:crosses val="autoZero"/>
        <c:crossBetween val="between"/>
        <c:majorUnit val="1"/>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lt-LT"/>
  <c:style val="5"/>
  <c:chart>
    <c:plotArea>
      <c:layout>
        <c:manualLayout>
          <c:layoutTarget val="inner"/>
          <c:xMode val="edge"/>
          <c:yMode val="edge"/>
          <c:x val="0.20035140511894611"/>
          <c:y val="0.14802761870675257"/>
          <c:w val="0.45513867295250532"/>
          <c:h val="0.77680983058936737"/>
        </c:manualLayout>
      </c:layout>
      <c:radarChart>
        <c:radarStyle val="marker"/>
        <c:ser>
          <c:idx val="0"/>
          <c:order val="0"/>
          <c:tx>
            <c:strRef>
              <c:f>Sheet1!$C$1</c:f>
              <c:strCache>
                <c:ptCount val="1"/>
                <c:pt idx="0">
                  <c:v>Teikiamų e. paslaugų skaičius</c:v>
                </c:pt>
              </c:strCache>
            </c:strRef>
          </c:tx>
          <c:dLbls>
            <c:dLbl>
              <c:idx val="0"/>
              <c:layout>
                <c:manualLayout>
                  <c:x val="0"/>
                  <c:y val="9.4871794871794854E-2"/>
                </c:manualLayout>
              </c:layout>
              <c:showVal val="1"/>
            </c:dLbl>
            <c:dLbl>
              <c:idx val="1"/>
              <c:layout>
                <c:manualLayout>
                  <c:x val="-2.8797696184305254E-3"/>
                  <c:y val="3.333333333333334E-2"/>
                </c:manualLayout>
              </c:layout>
              <c:showVal val="1"/>
            </c:dLbl>
            <c:dLbl>
              <c:idx val="2"/>
              <c:layout>
                <c:manualLayout>
                  <c:x val="-5.7595392368610509E-3"/>
                  <c:y val="4.3589743589743567E-2"/>
                </c:manualLayout>
              </c:layout>
              <c:showVal val="1"/>
            </c:dLbl>
            <c:dLbl>
              <c:idx val="3"/>
              <c:layout>
                <c:manualLayout>
                  <c:x val="-2.5917926565875014E-2"/>
                  <c:y val="5.8974358974358765E-2"/>
                </c:manualLayout>
              </c:layout>
              <c:showVal val="1"/>
            </c:dLbl>
            <c:dLbl>
              <c:idx val="4"/>
              <c:layout>
                <c:manualLayout>
                  <c:x val="-1.8718502519798421E-2"/>
                  <c:y val="2.8205128205128206E-2"/>
                </c:manualLayout>
              </c:layout>
              <c:showVal val="1"/>
            </c:dLbl>
            <c:dLbl>
              <c:idx val="5"/>
              <c:layout>
                <c:manualLayout>
                  <c:x val="-3.7437005039597092E-2"/>
                  <c:y val="3.333333333333334E-2"/>
                </c:manualLayout>
              </c:layout>
              <c:showVal val="1"/>
            </c:dLbl>
            <c:dLbl>
              <c:idx val="6"/>
              <c:layout>
                <c:manualLayout>
                  <c:x val="-2.1598272138228951E-2"/>
                  <c:y val="5.1282051282051282E-3"/>
                </c:manualLayout>
              </c:layout>
              <c:showVal val="1"/>
            </c:dLbl>
            <c:dLbl>
              <c:idx val="7"/>
              <c:layout>
                <c:manualLayout>
                  <c:x val="-4.1756659467242704E-2"/>
                  <c:y val="-2.5641025641025988E-3"/>
                </c:manualLayout>
              </c:layout>
              <c:showVal val="1"/>
            </c:dLbl>
            <c:dLbl>
              <c:idx val="8"/>
              <c:layout>
                <c:manualLayout>
                  <c:x val="-1.7278617710583154E-2"/>
                  <c:y val="-1.5384615384615503E-2"/>
                </c:manualLayout>
              </c:layout>
              <c:showVal val="1"/>
            </c:dLbl>
            <c:dLbl>
              <c:idx val="9"/>
              <c:layout>
                <c:manualLayout>
                  <c:x val="-1.7278617710583154E-2"/>
                  <c:y val="-1.5384615384615503E-2"/>
                </c:manualLayout>
              </c:layout>
              <c:showVal val="1"/>
            </c:dLbl>
            <c:dLbl>
              <c:idx val="10"/>
              <c:layout>
                <c:manualLayout>
                  <c:x val="-2.0158387329013691E-2"/>
                  <c:y val="-3.0769230769230681E-2"/>
                </c:manualLayout>
              </c:layout>
              <c:showVal val="1"/>
            </c:dLbl>
            <c:dLbl>
              <c:idx val="11"/>
              <c:layout>
                <c:manualLayout>
                  <c:x val="-2.1598272138228951E-2"/>
                  <c:y val="-6.4102564102564111E-2"/>
                </c:manualLayout>
              </c:layout>
              <c:showVal val="1"/>
            </c:dLbl>
            <c:dLbl>
              <c:idx val="12"/>
              <c:layout>
                <c:manualLayout>
                  <c:x val="-8.6393088552915685E-3"/>
                  <c:y val="-4.6153846153846073E-2"/>
                </c:manualLayout>
              </c:layout>
              <c:showVal val="1"/>
            </c:dLbl>
            <c:dLbl>
              <c:idx val="13"/>
              <c:layout>
                <c:manualLayout>
                  <c:x val="-1.0079193664506839E-2"/>
                  <c:y val="-4.3589743589743567E-2"/>
                </c:manualLayout>
              </c:layout>
              <c:showVal val="1"/>
            </c:dLbl>
            <c:dLbl>
              <c:idx val="14"/>
              <c:layout>
                <c:manualLayout>
                  <c:x val="4.3196544276457886E-3"/>
                  <c:y val="-7.4358974358974594E-2"/>
                </c:manualLayout>
              </c:layout>
              <c:showVal val="1"/>
            </c:dLbl>
            <c:dLbl>
              <c:idx val="15"/>
              <c:layout>
                <c:manualLayout>
                  <c:x val="4.3196544276457886E-3"/>
                  <c:y val="-3.333333333333334E-2"/>
                </c:manualLayout>
              </c:layout>
              <c:showVal val="1"/>
            </c:dLbl>
            <c:dLbl>
              <c:idx val="16"/>
              <c:layout>
                <c:manualLayout>
                  <c:x val="1.8718502519798421E-2"/>
                  <c:y val="-6.666666666666668E-2"/>
                </c:manualLayout>
              </c:layout>
              <c:showVal val="1"/>
            </c:dLbl>
            <c:dLbl>
              <c:idx val="17"/>
              <c:layout>
                <c:manualLayout>
                  <c:x val="1.4398848092152633E-2"/>
                  <c:y val="-2.3076923076923356E-2"/>
                </c:manualLayout>
              </c:layout>
              <c:showVal val="1"/>
            </c:dLbl>
            <c:dLbl>
              <c:idx val="18"/>
              <c:layout>
                <c:manualLayout>
                  <c:x val="3.887688984881215E-2"/>
                  <c:y val="-4.3589743589743567E-2"/>
                </c:manualLayout>
              </c:layout>
              <c:showVal val="1"/>
            </c:dLbl>
            <c:dLbl>
              <c:idx val="19"/>
              <c:layout>
                <c:manualLayout>
                  <c:x val="2.1598272138228951E-2"/>
                  <c:y val="-7.6923076923077014E-3"/>
                </c:manualLayout>
              </c:layout>
              <c:showVal val="1"/>
            </c:dLbl>
            <c:dLbl>
              <c:idx val="20"/>
              <c:layout>
                <c:manualLayout>
                  <c:x val="2.3038156947444204E-2"/>
                  <c:y val="-2.5641025641025988E-3"/>
                </c:manualLayout>
              </c:layout>
              <c:showVal val="1"/>
            </c:dLbl>
            <c:dLbl>
              <c:idx val="21"/>
              <c:layout>
                <c:manualLayout>
                  <c:x val="2.1598272138228951E-2"/>
                  <c:y val="0"/>
                </c:manualLayout>
              </c:layout>
              <c:showVal val="1"/>
            </c:dLbl>
            <c:dLbl>
              <c:idx val="22"/>
              <c:layout>
                <c:manualLayout>
                  <c:x val="3.8876889848812095E-2"/>
                  <c:y val="3.0769230769230792E-2"/>
                </c:manualLayout>
              </c:layout>
              <c:showVal val="1"/>
            </c:dLbl>
            <c:dLbl>
              <c:idx val="23"/>
              <c:layout>
                <c:manualLayout>
                  <c:x val="1.7278617710583099E-2"/>
                  <c:y val="2.3076923076923356E-2"/>
                </c:manualLayout>
              </c:layout>
              <c:showVal val="1"/>
            </c:dLbl>
            <c:dLbl>
              <c:idx val="24"/>
              <c:layout>
                <c:manualLayout>
                  <c:x val="2.5917926565875014E-2"/>
                  <c:y val="3.0769230769230792E-2"/>
                </c:manualLayout>
              </c:layout>
              <c:showVal val="1"/>
            </c:dLbl>
            <c:dLbl>
              <c:idx val="25"/>
              <c:layout>
                <c:manualLayout>
                  <c:x val="1.8718502519798421E-2"/>
                  <c:y val="6.4102564102564111E-2"/>
                </c:manualLayout>
              </c:layout>
              <c:showVal val="1"/>
            </c:dLbl>
            <c:dLbl>
              <c:idx val="26"/>
              <c:layout>
                <c:manualLayout>
                  <c:x val="3.1920524265676979E-2"/>
                  <c:y val="8.1468623240276788E-2"/>
                </c:manualLayout>
              </c:layout>
              <c:showVal val="1"/>
            </c:dLbl>
            <c:showVal val="1"/>
          </c:dLbls>
          <c:cat>
            <c:strRef>
              <c:f>Sheet1!$B$2:$B$28</c:f>
              <c:strCache>
                <c:ptCount val="27"/>
                <c:pt idx="0">
                  <c:v>Bulgarija </c:v>
                </c:pt>
                <c:pt idx="1">
                  <c:v>Kipras </c:v>
                </c:pt>
                <c:pt idx="2">
                  <c:v>Malta </c:v>
                </c:pt>
                <c:pt idx="3">
                  <c:v>Liuksemburgas </c:v>
                </c:pt>
                <c:pt idx="4">
                  <c:v>Slovėnija </c:v>
                </c:pt>
                <c:pt idx="5">
                  <c:v>Vengrija </c:v>
                </c:pt>
                <c:pt idx="6">
                  <c:v>Lietuva </c:v>
                </c:pt>
                <c:pt idx="7">
                  <c:v>Lenkija </c:v>
                </c:pt>
                <c:pt idx="8">
                  <c:v>Danija </c:v>
                </c:pt>
                <c:pt idx="9">
                  <c:v>Graikija </c:v>
                </c:pt>
                <c:pt idx="10">
                  <c:v>Portugalija </c:v>
                </c:pt>
                <c:pt idx="11">
                  <c:v>Švedija </c:v>
                </c:pt>
                <c:pt idx="12">
                  <c:v>Italija </c:v>
                </c:pt>
                <c:pt idx="13">
                  <c:v>Slovakija </c:v>
                </c:pt>
                <c:pt idx="14">
                  <c:v>Suomija </c:v>
                </c:pt>
                <c:pt idx="15">
                  <c:v>Austrija </c:v>
                </c:pt>
                <c:pt idx="16">
                  <c:v>Čekija </c:v>
                </c:pt>
                <c:pt idx="17">
                  <c:v>Estija </c:v>
                </c:pt>
                <c:pt idx="18">
                  <c:v>Nyderlandai </c:v>
                </c:pt>
                <c:pt idx="19">
                  <c:v>Ispanija </c:v>
                </c:pt>
                <c:pt idx="20">
                  <c:v>Jungtinė Karalystė </c:v>
                </c:pt>
                <c:pt idx="21">
                  <c:v>Prancūzija </c:v>
                </c:pt>
                <c:pt idx="22">
                  <c:v>Vokietija</c:v>
                </c:pt>
                <c:pt idx="23">
                  <c:v>Belgija </c:v>
                </c:pt>
                <c:pt idx="24">
                  <c:v>Latvija</c:v>
                </c:pt>
                <c:pt idx="25">
                  <c:v>Rumunija </c:v>
                </c:pt>
                <c:pt idx="26">
                  <c:v>Airija </c:v>
                </c:pt>
              </c:strCache>
            </c:strRef>
          </c:cat>
          <c:val>
            <c:numRef>
              <c:f>Sheet1!$C$2:$C$28</c:f>
              <c:numCache>
                <c:formatCode>General</c:formatCode>
                <c:ptCount val="27"/>
                <c:pt idx="0">
                  <c:v>2</c:v>
                </c:pt>
                <c:pt idx="1">
                  <c:v>2</c:v>
                </c:pt>
                <c:pt idx="2">
                  <c:v>2</c:v>
                </c:pt>
                <c:pt idx="3">
                  <c:v>3</c:v>
                </c:pt>
                <c:pt idx="4">
                  <c:v>3</c:v>
                </c:pt>
                <c:pt idx="5">
                  <c:v>3</c:v>
                </c:pt>
                <c:pt idx="6">
                  <c:v>4</c:v>
                </c:pt>
                <c:pt idx="7">
                  <c:v>4</c:v>
                </c:pt>
                <c:pt idx="8">
                  <c:v>5</c:v>
                </c:pt>
                <c:pt idx="9">
                  <c:v>5</c:v>
                </c:pt>
                <c:pt idx="10">
                  <c:v>5</c:v>
                </c:pt>
                <c:pt idx="11">
                  <c:v>5</c:v>
                </c:pt>
                <c:pt idx="12">
                  <c:v>6</c:v>
                </c:pt>
                <c:pt idx="13">
                  <c:v>6</c:v>
                </c:pt>
                <c:pt idx="14">
                  <c:v>6</c:v>
                </c:pt>
                <c:pt idx="15">
                  <c:v>7</c:v>
                </c:pt>
                <c:pt idx="16">
                  <c:v>7</c:v>
                </c:pt>
                <c:pt idx="17">
                  <c:v>7</c:v>
                </c:pt>
                <c:pt idx="18">
                  <c:v>7</c:v>
                </c:pt>
                <c:pt idx="19">
                  <c:v>8</c:v>
                </c:pt>
                <c:pt idx="20">
                  <c:v>8</c:v>
                </c:pt>
                <c:pt idx="21">
                  <c:v>8</c:v>
                </c:pt>
                <c:pt idx="22">
                  <c:v>8</c:v>
                </c:pt>
                <c:pt idx="23">
                  <c:v>9</c:v>
                </c:pt>
                <c:pt idx="24">
                  <c:v>9</c:v>
                </c:pt>
                <c:pt idx="25">
                  <c:v>9</c:v>
                </c:pt>
                <c:pt idx="26">
                  <c:v>11</c:v>
                </c:pt>
              </c:numCache>
            </c:numRef>
          </c:val>
        </c:ser>
        <c:ser>
          <c:idx val="1"/>
          <c:order val="1"/>
          <c:tx>
            <c:strRef>
              <c:f>Sheet1!$D$1</c:f>
              <c:strCache>
                <c:ptCount val="1"/>
                <c:pt idx="0">
                  <c:v>Vidurkis (5,89)</c:v>
                </c:pt>
              </c:strCache>
            </c:strRef>
          </c:tx>
          <c:cat>
            <c:strRef>
              <c:f>Sheet1!$B$2:$B$27</c:f>
              <c:strCache>
                <c:ptCount val="26"/>
                <c:pt idx="0">
                  <c:v>Bulgarija </c:v>
                </c:pt>
                <c:pt idx="1">
                  <c:v>Kipras </c:v>
                </c:pt>
                <c:pt idx="2">
                  <c:v>Malta </c:v>
                </c:pt>
                <c:pt idx="3">
                  <c:v>Liuksemburgas </c:v>
                </c:pt>
                <c:pt idx="4">
                  <c:v>Slovėnija </c:v>
                </c:pt>
                <c:pt idx="5">
                  <c:v>Vengrija </c:v>
                </c:pt>
                <c:pt idx="6">
                  <c:v>Lietuva </c:v>
                </c:pt>
                <c:pt idx="7">
                  <c:v>Lenkija </c:v>
                </c:pt>
                <c:pt idx="8">
                  <c:v>Danija </c:v>
                </c:pt>
                <c:pt idx="9">
                  <c:v>Graikija </c:v>
                </c:pt>
                <c:pt idx="10">
                  <c:v>Portugalija </c:v>
                </c:pt>
                <c:pt idx="11">
                  <c:v>Švedija </c:v>
                </c:pt>
                <c:pt idx="12">
                  <c:v>Italija </c:v>
                </c:pt>
                <c:pt idx="13">
                  <c:v>Slovakija </c:v>
                </c:pt>
                <c:pt idx="14">
                  <c:v>Suomija </c:v>
                </c:pt>
                <c:pt idx="15">
                  <c:v>Austrija </c:v>
                </c:pt>
                <c:pt idx="16">
                  <c:v>Čekija </c:v>
                </c:pt>
                <c:pt idx="17">
                  <c:v>Estija </c:v>
                </c:pt>
                <c:pt idx="18">
                  <c:v>Nyderlandai </c:v>
                </c:pt>
                <c:pt idx="19">
                  <c:v>Ispanija </c:v>
                </c:pt>
                <c:pt idx="20">
                  <c:v>Jungtinė Karalystė </c:v>
                </c:pt>
                <c:pt idx="21">
                  <c:v>Prancūzija </c:v>
                </c:pt>
                <c:pt idx="22">
                  <c:v>Vokietija</c:v>
                </c:pt>
                <c:pt idx="23">
                  <c:v>Belgija </c:v>
                </c:pt>
                <c:pt idx="24">
                  <c:v>Latvija</c:v>
                </c:pt>
                <c:pt idx="25">
                  <c:v>Rumunija </c:v>
                </c:pt>
              </c:strCache>
            </c:strRef>
          </c:cat>
          <c:val>
            <c:numRef>
              <c:f>Sheet1!$D$2:$D$27</c:f>
              <c:numCache>
                <c:formatCode>0.00</c:formatCode>
                <c:ptCount val="26"/>
                <c:pt idx="0">
                  <c:v>5.8888888888888875</c:v>
                </c:pt>
                <c:pt idx="1">
                  <c:v>5.8888888888888875</c:v>
                </c:pt>
                <c:pt idx="2">
                  <c:v>5.8888888888888875</c:v>
                </c:pt>
                <c:pt idx="3">
                  <c:v>5.8888888888888875</c:v>
                </c:pt>
                <c:pt idx="4">
                  <c:v>5.8888888888888875</c:v>
                </c:pt>
                <c:pt idx="5">
                  <c:v>5.8888888888888875</c:v>
                </c:pt>
                <c:pt idx="6">
                  <c:v>5.8888888888888875</c:v>
                </c:pt>
                <c:pt idx="7">
                  <c:v>5.8888888888888875</c:v>
                </c:pt>
                <c:pt idx="8">
                  <c:v>5.8888888888888875</c:v>
                </c:pt>
                <c:pt idx="9">
                  <c:v>5.8888888888888875</c:v>
                </c:pt>
                <c:pt idx="10">
                  <c:v>5.8888888888888875</c:v>
                </c:pt>
                <c:pt idx="11">
                  <c:v>5.8888888888888875</c:v>
                </c:pt>
                <c:pt idx="12">
                  <c:v>5.8888888888888875</c:v>
                </c:pt>
                <c:pt idx="13">
                  <c:v>5.8888888888888875</c:v>
                </c:pt>
                <c:pt idx="14">
                  <c:v>5.8888888888888875</c:v>
                </c:pt>
                <c:pt idx="15">
                  <c:v>5.8888888888888875</c:v>
                </c:pt>
                <c:pt idx="16">
                  <c:v>5.8888888888888875</c:v>
                </c:pt>
                <c:pt idx="17">
                  <c:v>5.8888888888888875</c:v>
                </c:pt>
                <c:pt idx="18">
                  <c:v>5.8888888888888875</c:v>
                </c:pt>
                <c:pt idx="19">
                  <c:v>5.8888888888888875</c:v>
                </c:pt>
                <c:pt idx="20">
                  <c:v>5.8888888888888875</c:v>
                </c:pt>
                <c:pt idx="21">
                  <c:v>5.8888888888888875</c:v>
                </c:pt>
                <c:pt idx="22">
                  <c:v>5.8888888888888875</c:v>
                </c:pt>
                <c:pt idx="23">
                  <c:v>5.8888888888888875</c:v>
                </c:pt>
                <c:pt idx="24">
                  <c:v>5.8888888888888875</c:v>
                </c:pt>
                <c:pt idx="25">
                  <c:v>5.8888888888888875</c:v>
                </c:pt>
              </c:numCache>
            </c:numRef>
          </c:val>
        </c:ser>
        <c:axId val="171763584"/>
        <c:axId val="171765120"/>
      </c:radarChart>
      <c:catAx>
        <c:axId val="171763584"/>
        <c:scaling>
          <c:orientation val="minMax"/>
        </c:scaling>
        <c:axPos val="b"/>
        <c:majorGridlines/>
        <c:numFmt formatCode="General" sourceLinked="1"/>
        <c:tickLblPos val="nextTo"/>
        <c:txPr>
          <a:bodyPr rot="0" vert="horz"/>
          <a:lstStyle/>
          <a:p>
            <a:pPr>
              <a:defRPr/>
            </a:pPr>
            <a:endParaRPr lang="lt-LT"/>
          </a:p>
        </c:txPr>
        <c:crossAx val="171765120"/>
        <c:crosses val="autoZero"/>
        <c:lblAlgn val="ctr"/>
        <c:lblOffset val="100"/>
      </c:catAx>
      <c:valAx>
        <c:axId val="171765120"/>
        <c:scaling>
          <c:orientation val="minMax"/>
          <c:max val="11"/>
          <c:min val="0"/>
        </c:scaling>
        <c:axPos val="l"/>
        <c:majorGridlines/>
        <c:numFmt formatCode="General" sourceLinked="1"/>
        <c:majorTickMark val="cross"/>
        <c:tickLblPos val="none"/>
        <c:crossAx val="171763584"/>
        <c:crosses val="autoZero"/>
        <c:crossBetween val="between"/>
        <c:majorUnit val="1"/>
      </c:valAx>
    </c:plotArea>
    <c:legend>
      <c:legendPos val="r"/>
      <c:layout>
        <c:manualLayout>
          <c:xMode val="edge"/>
          <c:yMode val="edge"/>
          <c:x val="0.80333751274720822"/>
          <c:y val="0.30897476277004376"/>
          <c:w val="0.15208686493806109"/>
          <c:h val="0.42436485407976404"/>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manualLayout>
          <c:layoutTarget val="inner"/>
          <c:xMode val="edge"/>
          <c:yMode val="edge"/>
          <c:x val="0.14999603191677699"/>
          <c:y val="5.0925925925925923E-2"/>
          <c:w val="0.57750822147506187"/>
          <c:h val="0.82775444736075043"/>
        </c:manualLayout>
      </c:layout>
      <c:barChart>
        <c:barDir val="bar"/>
        <c:grouping val="percentStacked"/>
        <c:ser>
          <c:idx val="0"/>
          <c:order val="0"/>
          <c:tx>
            <c:strRef>
              <c:f>Korespondencija!$B$6</c:f>
              <c:strCache>
                <c:ptCount val="1"/>
                <c:pt idx="0">
                  <c:v>Valstybinis pašto paslaugų teikėjas</c:v>
                </c:pt>
              </c:strCache>
            </c:strRef>
          </c:tx>
          <c:cat>
            <c:numRef>
              <c:f>Korespondencija!$A$9:$A$15</c:f>
              <c:numCache>
                <c:formatCode>General</c:formatCode>
                <c:ptCount val="7"/>
                <c:pt idx="0">
                  <c:v>2004</c:v>
                </c:pt>
                <c:pt idx="1">
                  <c:v>2005</c:v>
                </c:pt>
                <c:pt idx="2">
                  <c:v>2006</c:v>
                </c:pt>
                <c:pt idx="3">
                  <c:v>2007</c:v>
                </c:pt>
                <c:pt idx="4">
                  <c:v>2008</c:v>
                </c:pt>
                <c:pt idx="5">
                  <c:v>2009</c:v>
                </c:pt>
                <c:pt idx="6">
                  <c:v>2010</c:v>
                </c:pt>
              </c:numCache>
            </c:numRef>
          </c:cat>
          <c:val>
            <c:numRef>
              <c:f>Korespondencija!$B$9:$B$15</c:f>
              <c:numCache>
                <c:formatCode>0.0</c:formatCode>
                <c:ptCount val="7"/>
                <c:pt idx="0">
                  <c:v>99.1</c:v>
                </c:pt>
                <c:pt idx="1">
                  <c:v>98.2</c:v>
                </c:pt>
                <c:pt idx="2">
                  <c:v>98.3</c:v>
                </c:pt>
                <c:pt idx="3">
                  <c:v>97.9</c:v>
                </c:pt>
                <c:pt idx="4">
                  <c:v>92.8</c:v>
                </c:pt>
                <c:pt idx="5">
                  <c:v>97.3</c:v>
                </c:pt>
                <c:pt idx="6">
                  <c:v>94.7</c:v>
                </c:pt>
              </c:numCache>
            </c:numRef>
          </c:val>
        </c:ser>
        <c:ser>
          <c:idx val="1"/>
          <c:order val="1"/>
          <c:tx>
            <c:strRef>
              <c:f>Korespondencija!$C$6</c:f>
              <c:strCache>
                <c:ptCount val="1"/>
                <c:pt idx="0">
                  <c:v>Kiti pašto paslaugų teikėjai</c:v>
                </c:pt>
              </c:strCache>
            </c:strRef>
          </c:tx>
          <c:cat>
            <c:numRef>
              <c:f>Korespondencija!$A$9:$A$15</c:f>
              <c:numCache>
                <c:formatCode>General</c:formatCode>
                <c:ptCount val="7"/>
                <c:pt idx="0">
                  <c:v>2004</c:v>
                </c:pt>
                <c:pt idx="1">
                  <c:v>2005</c:v>
                </c:pt>
                <c:pt idx="2">
                  <c:v>2006</c:v>
                </c:pt>
                <c:pt idx="3">
                  <c:v>2007</c:v>
                </c:pt>
                <c:pt idx="4">
                  <c:v>2008</c:v>
                </c:pt>
                <c:pt idx="5">
                  <c:v>2009</c:v>
                </c:pt>
                <c:pt idx="6">
                  <c:v>2010</c:v>
                </c:pt>
              </c:numCache>
            </c:numRef>
          </c:cat>
          <c:val>
            <c:numRef>
              <c:f>Korespondencija!$C$9:$C$15</c:f>
              <c:numCache>
                <c:formatCode>0.0</c:formatCode>
                <c:ptCount val="7"/>
                <c:pt idx="0">
                  <c:v>0.90000000000000568</c:v>
                </c:pt>
                <c:pt idx="1">
                  <c:v>1.7999999999999876</c:v>
                </c:pt>
                <c:pt idx="2">
                  <c:v>1.7000000000000028</c:v>
                </c:pt>
                <c:pt idx="3" formatCode="General">
                  <c:v>2.0999999999999943</c:v>
                </c:pt>
                <c:pt idx="4" formatCode="General">
                  <c:v>7.2000000000000028</c:v>
                </c:pt>
                <c:pt idx="5" formatCode="General">
                  <c:v>2.7000000000000042</c:v>
                </c:pt>
                <c:pt idx="6" formatCode="General">
                  <c:v>5.2999999999999972</c:v>
                </c:pt>
              </c:numCache>
            </c:numRef>
          </c:val>
        </c:ser>
        <c:dLbls>
          <c:showVal val="1"/>
        </c:dLbls>
        <c:gapWidth val="95"/>
        <c:overlap val="100"/>
        <c:axId val="167327232"/>
        <c:axId val="167338368"/>
      </c:barChart>
      <c:catAx>
        <c:axId val="167327232"/>
        <c:scaling>
          <c:orientation val="minMax"/>
        </c:scaling>
        <c:axPos val="l"/>
        <c:title>
          <c:tx>
            <c:rich>
              <a:bodyPr rot="-5400000" vert="horz"/>
              <a:lstStyle/>
              <a:p>
                <a:pPr>
                  <a:defRPr/>
                </a:pPr>
                <a:r>
                  <a:rPr lang="en-US"/>
                  <a:t>Metai</a:t>
                </a:r>
              </a:p>
            </c:rich>
          </c:tx>
        </c:title>
        <c:numFmt formatCode="General" sourceLinked="1"/>
        <c:majorTickMark val="none"/>
        <c:tickLblPos val="nextTo"/>
        <c:crossAx val="167338368"/>
        <c:crosses val="autoZero"/>
        <c:auto val="1"/>
        <c:lblAlgn val="ctr"/>
        <c:lblOffset val="100"/>
      </c:catAx>
      <c:valAx>
        <c:axId val="167338368"/>
        <c:scaling>
          <c:orientation val="minMax"/>
        </c:scaling>
        <c:delete val="1"/>
        <c:axPos val="b"/>
        <c:title>
          <c:tx>
            <c:rich>
              <a:bodyPr/>
              <a:lstStyle/>
              <a:p>
                <a:pPr>
                  <a:defRPr/>
                </a:pPr>
                <a:r>
                  <a:rPr lang="en-US"/>
                  <a:t>Rinkos dalis proc. (vaizduojama tik 85-100 proc. atkarpa) </a:t>
                </a:r>
              </a:p>
            </c:rich>
          </c:tx>
          <c:layout>
            <c:manualLayout>
              <c:xMode val="edge"/>
              <c:yMode val="edge"/>
              <c:x val="0.19709733158355244"/>
              <c:y val="0.89719889180519163"/>
            </c:manualLayout>
          </c:layout>
        </c:title>
        <c:numFmt formatCode="0%" sourceLinked="1"/>
        <c:tickLblPos val="none"/>
        <c:crossAx val="167327232"/>
        <c:crosses val="autoZero"/>
        <c:crossBetween val="between"/>
      </c:valAx>
    </c:plotArea>
    <c:legend>
      <c:legendPos val="r"/>
      <c:layout>
        <c:manualLayout>
          <c:xMode val="edge"/>
          <c:yMode val="edge"/>
          <c:x val="0.74763854433960064"/>
          <c:y val="0.23071376494604842"/>
          <c:w val="0.23778959682404191"/>
          <c:h val="0.5478317293671624"/>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manualLayout>
          <c:layoutTarget val="inner"/>
          <c:xMode val="edge"/>
          <c:yMode val="edge"/>
          <c:x val="2.2481424662525416E-2"/>
          <c:y val="0.10266668822397867"/>
          <c:w val="0.56265956044700061"/>
          <c:h val="0.66386439195100611"/>
        </c:manualLayout>
      </c:layout>
      <c:barChart>
        <c:barDir val="bar"/>
        <c:grouping val="percentStacked"/>
        <c:ser>
          <c:idx val="0"/>
          <c:order val="0"/>
          <c:tx>
            <c:strRef>
              <c:f>'1 kl.'!$B$17</c:f>
              <c:strCache>
                <c:ptCount val="1"/>
                <c:pt idx="0">
                  <c:v>Norėtų įsigyti akcijų</c:v>
                </c:pt>
              </c:strCache>
            </c:strRef>
          </c:tx>
          <c:val>
            <c:numRef>
              <c:f>'1 kl.'!$C$17</c:f>
              <c:numCache>
                <c:formatCode>General</c:formatCode>
                <c:ptCount val="1"/>
                <c:pt idx="0">
                  <c:v>2</c:v>
                </c:pt>
              </c:numCache>
            </c:numRef>
          </c:val>
        </c:ser>
        <c:ser>
          <c:idx val="1"/>
          <c:order val="1"/>
          <c:tx>
            <c:strRef>
              <c:f>'1 kl.'!$B$18</c:f>
              <c:strCache>
                <c:ptCount val="1"/>
                <c:pt idx="0">
                  <c:v>Norėtų įsigyti akcijų, bet tik tuo atveju, jei būtų atliktos esminės permainos</c:v>
                </c:pt>
              </c:strCache>
            </c:strRef>
          </c:tx>
          <c:val>
            <c:numRef>
              <c:f>'1 kl.'!$C$18</c:f>
              <c:numCache>
                <c:formatCode>General</c:formatCode>
                <c:ptCount val="1"/>
                <c:pt idx="0">
                  <c:v>2</c:v>
                </c:pt>
              </c:numCache>
            </c:numRef>
          </c:val>
        </c:ser>
        <c:ser>
          <c:idx val="2"/>
          <c:order val="2"/>
          <c:tx>
            <c:strRef>
              <c:f>'1 kl.'!$B$19</c:f>
              <c:strCache>
                <c:ptCount val="1"/>
                <c:pt idx="0">
                  <c:v>Akcijų įsigijimas nedomina</c:v>
                </c:pt>
              </c:strCache>
            </c:strRef>
          </c:tx>
          <c:val>
            <c:numRef>
              <c:f>'1 kl.'!$C$19</c:f>
              <c:numCache>
                <c:formatCode>General</c:formatCode>
                <c:ptCount val="1"/>
                <c:pt idx="0">
                  <c:v>4</c:v>
                </c:pt>
              </c:numCache>
            </c:numRef>
          </c:val>
        </c:ser>
        <c:dLbls>
          <c:showVal val="1"/>
        </c:dLbls>
        <c:gapWidth val="95"/>
        <c:overlap val="100"/>
        <c:axId val="172106880"/>
        <c:axId val="172108800"/>
      </c:barChart>
      <c:catAx>
        <c:axId val="172106880"/>
        <c:scaling>
          <c:orientation val="minMax"/>
        </c:scaling>
        <c:delete val="1"/>
        <c:axPos val="l"/>
        <c:majorTickMark val="none"/>
        <c:tickLblPos val="none"/>
        <c:crossAx val="172108800"/>
        <c:crosses val="autoZero"/>
        <c:auto val="1"/>
        <c:lblAlgn val="ctr"/>
        <c:lblOffset val="100"/>
      </c:catAx>
      <c:valAx>
        <c:axId val="172108800"/>
        <c:scaling>
          <c:orientation val="minMax"/>
        </c:scaling>
        <c:delete val="1"/>
        <c:axPos val="b"/>
        <c:title>
          <c:tx>
            <c:rich>
              <a:bodyPr/>
              <a:lstStyle/>
              <a:p>
                <a:pPr>
                  <a:defRPr/>
                </a:pPr>
                <a:r>
                  <a:rPr lang="en-GB"/>
                  <a:t>Respondent</a:t>
                </a:r>
                <a:r>
                  <a:rPr lang="lt-LT"/>
                  <a:t>ų dalis vienetais</a:t>
                </a:r>
              </a:p>
            </c:rich>
          </c:tx>
        </c:title>
        <c:numFmt formatCode="0%" sourceLinked="1"/>
        <c:majorTickMark val="none"/>
        <c:tickLblPos val="none"/>
        <c:crossAx val="172106880"/>
        <c:crosses val="autoZero"/>
        <c:crossBetween val="between"/>
      </c:valAx>
    </c:plotArea>
    <c:legend>
      <c:legendPos val="r"/>
      <c:layout>
        <c:manualLayout>
          <c:xMode val="edge"/>
          <c:yMode val="edge"/>
          <c:x val="0.59851189333040689"/>
          <c:y val="7.6923076923076927E-2"/>
          <c:w val="0.40088049969364459"/>
          <c:h val="0.92307692307692257"/>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manualLayout>
          <c:layoutTarget val="inner"/>
          <c:xMode val="edge"/>
          <c:yMode val="edge"/>
          <c:x val="2.6748816360089238E-2"/>
          <c:y val="0.18377637427762206"/>
          <c:w val="0.60301233413388322"/>
          <c:h val="0.43244804074915516"/>
        </c:manualLayout>
      </c:layout>
      <c:barChart>
        <c:barDir val="bar"/>
        <c:grouping val="percentStacked"/>
        <c:ser>
          <c:idx val="0"/>
          <c:order val="0"/>
          <c:tx>
            <c:strRef>
              <c:f>'misri-nuotolinis, zenkliai'!$C$4</c:f>
              <c:strCache>
                <c:ptCount val="1"/>
                <c:pt idx="0">
                  <c:v>Ekonominių sąnaudų mažinimas</c:v>
                </c:pt>
              </c:strCache>
            </c:strRef>
          </c:tx>
          <c:val>
            <c:numRef>
              <c:f>'misri-nuotolinis, zenkliai'!$D$4</c:f>
              <c:numCache>
                <c:formatCode>General</c:formatCode>
                <c:ptCount val="1"/>
                <c:pt idx="0">
                  <c:v>4</c:v>
                </c:pt>
              </c:numCache>
            </c:numRef>
          </c:val>
        </c:ser>
        <c:ser>
          <c:idx val="1"/>
          <c:order val="1"/>
          <c:tx>
            <c:strRef>
              <c:f>'misri-nuotolinis, zenkliai'!$C$5</c:f>
              <c:strCache>
                <c:ptCount val="1"/>
                <c:pt idx="0">
                  <c:v>Nauda suinteresuotoms šalims</c:v>
                </c:pt>
              </c:strCache>
            </c:strRef>
          </c:tx>
          <c:val>
            <c:numRef>
              <c:f>'misri-nuotolinis, zenkliai'!$D$5</c:f>
              <c:numCache>
                <c:formatCode>General</c:formatCode>
                <c:ptCount val="1"/>
                <c:pt idx="0">
                  <c:v>3</c:v>
                </c:pt>
              </c:numCache>
            </c:numRef>
          </c:val>
        </c:ser>
        <c:ser>
          <c:idx val="2"/>
          <c:order val="2"/>
          <c:tx>
            <c:strRef>
              <c:f>'misri-nuotolinis, zenkliai'!$C$6</c:f>
              <c:strCache>
                <c:ptCount val="1"/>
                <c:pt idx="0">
                  <c:v>Abi priežastys</c:v>
                </c:pt>
              </c:strCache>
            </c:strRef>
          </c:tx>
          <c:val>
            <c:numRef>
              <c:f>'misri-nuotolinis, zenkliai'!$D$6</c:f>
              <c:numCache>
                <c:formatCode>General</c:formatCode>
                <c:ptCount val="1"/>
                <c:pt idx="0">
                  <c:v>1</c:v>
                </c:pt>
              </c:numCache>
            </c:numRef>
          </c:val>
        </c:ser>
        <c:dLbls>
          <c:showVal val="1"/>
        </c:dLbls>
        <c:gapWidth val="95"/>
        <c:overlap val="100"/>
        <c:axId val="169104896"/>
        <c:axId val="169106432"/>
      </c:barChart>
      <c:catAx>
        <c:axId val="169104896"/>
        <c:scaling>
          <c:orientation val="minMax"/>
        </c:scaling>
        <c:delete val="1"/>
        <c:axPos val="l"/>
        <c:majorTickMark val="none"/>
        <c:tickLblPos val="none"/>
        <c:crossAx val="169106432"/>
        <c:crosses val="autoZero"/>
        <c:auto val="1"/>
        <c:lblAlgn val="ctr"/>
        <c:lblOffset val="100"/>
      </c:catAx>
      <c:valAx>
        <c:axId val="169106432"/>
        <c:scaling>
          <c:orientation val="minMax"/>
        </c:scaling>
        <c:delete val="1"/>
        <c:axPos val="b"/>
        <c:title>
          <c:tx>
            <c:rich>
              <a:bodyPr/>
              <a:lstStyle/>
              <a:p>
                <a:pPr>
                  <a:defRPr/>
                </a:pPr>
                <a:r>
                  <a:rPr lang="lt-LT"/>
                  <a:t>Respondentų skaičius</a:t>
                </a:r>
              </a:p>
            </c:rich>
          </c:tx>
        </c:title>
        <c:numFmt formatCode="0%" sourceLinked="1"/>
        <c:tickLblPos val="none"/>
        <c:crossAx val="169104896"/>
        <c:crosses val="autoZero"/>
        <c:crossBetween val="between"/>
      </c:valAx>
    </c:plotArea>
    <c:legend>
      <c:legendPos val="r"/>
      <c:layout>
        <c:manualLayout>
          <c:xMode val="edge"/>
          <c:yMode val="edge"/>
          <c:x val="0.63266545233760463"/>
          <c:y val="6.7514463917818068E-2"/>
          <c:w val="0.35276259866423831"/>
          <c:h val="0.87930686083594356"/>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clustered"/>
        <c:ser>
          <c:idx val="0"/>
          <c:order val="0"/>
          <c:cat>
            <c:strRef>
              <c:f>'[Diagramos_gulscios - pratrintos kaip reikiant.xlsx]19 kl.'!$A$7:$A$15</c:f>
              <c:strCache>
                <c:ptCount val="9"/>
                <c:pt idx="0">
                  <c:v>Informavimas</c:v>
                </c:pt>
                <c:pt idx="1">
                  <c:v>Siuntos sekimas internetu</c:v>
                </c:pt>
                <c:pt idx="2">
                  <c:v>E. sąskaitos</c:v>
                </c:pt>
                <c:pt idx="3">
                  <c:v>E. atsiskaitymai</c:v>
                </c:pt>
                <c:pt idx="4">
                  <c:v>Informacijos paruošimo paslauga</c:v>
                </c:pt>
                <c:pt idx="5">
                  <c:v>Įmokų ir mokesčių priėmimo</c:v>
                </c:pt>
                <c:pt idx="6">
                  <c:v>E. prenumerata</c:v>
                </c:pt>
                <c:pt idx="7">
                  <c:v>Siuntų draudimo internetu</c:v>
                </c:pt>
                <c:pt idx="8">
                  <c:v>E. užsakymai</c:v>
                </c:pt>
              </c:strCache>
            </c:strRef>
          </c:cat>
          <c:val>
            <c:numRef>
              <c:f>'[Diagramos_gulscios - pratrintos kaip reikiant.xlsx]19 kl.'!$B$7:$B$15</c:f>
              <c:numCache>
                <c:formatCode>General</c:formatCode>
                <c:ptCount val="9"/>
                <c:pt idx="0">
                  <c:v>6</c:v>
                </c:pt>
                <c:pt idx="1">
                  <c:v>5</c:v>
                </c:pt>
                <c:pt idx="2">
                  <c:v>4</c:v>
                </c:pt>
                <c:pt idx="3">
                  <c:v>3</c:v>
                </c:pt>
                <c:pt idx="4">
                  <c:v>3</c:v>
                </c:pt>
                <c:pt idx="5">
                  <c:v>2</c:v>
                </c:pt>
                <c:pt idx="6">
                  <c:v>1</c:v>
                </c:pt>
                <c:pt idx="7">
                  <c:v>1</c:v>
                </c:pt>
                <c:pt idx="8">
                  <c:v>1</c:v>
                </c:pt>
              </c:numCache>
            </c:numRef>
          </c:val>
        </c:ser>
        <c:gapWidth val="75"/>
        <c:overlap val="40"/>
        <c:axId val="169138816"/>
        <c:axId val="170983808"/>
      </c:barChart>
      <c:catAx>
        <c:axId val="169138816"/>
        <c:scaling>
          <c:orientation val="minMax"/>
        </c:scaling>
        <c:axPos val="l"/>
        <c:majorTickMark val="none"/>
        <c:tickLblPos val="nextTo"/>
        <c:crossAx val="170983808"/>
        <c:crosses val="autoZero"/>
        <c:auto val="1"/>
        <c:lblAlgn val="ctr"/>
        <c:lblOffset val="100"/>
      </c:catAx>
      <c:valAx>
        <c:axId val="170983808"/>
        <c:scaling>
          <c:orientation val="minMax"/>
          <c:max val="6"/>
        </c:scaling>
        <c:axPos val="b"/>
        <c:majorGridlines/>
        <c:numFmt formatCode="General" sourceLinked="1"/>
        <c:majorTickMark val="none"/>
        <c:tickLblPos val="nextTo"/>
        <c:crossAx val="169138816"/>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barChart>
        <c:barDir val="bar"/>
        <c:grouping val="clustered"/>
        <c:ser>
          <c:idx val="0"/>
          <c:order val="0"/>
          <c:cat>
            <c:strRef>
              <c:f>'24 kl.'!$A$8:$A$11</c:f>
              <c:strCache>
                <c:ptCount val="4"/>
                <c:pt idx="0">
                  <c:v>Bankiniu pavedimu</c:v>
                </c:pt>
                <c:pt idx="1">
                  <c:v>Grynais</c:v>
                </c:pt>
                <c:pt idx="2">
                  <c:v>SMS žinute</c:v>
                </c:pt>
                <c:pt idx="3">
                  <c:v>Kita</c:v>
                </c:pt>
              </c:strCache>
            </c:strRef>
          </c:cat>
          <c:val>
            <c:numRef>
              <c:f>'24 kl.'!$B$8:$B$11</c:f>
              <c:numCache>
                <c:formatCode>General</c:formatCode>
                <c:ptCount val="4"/>
                <c:pt idx="0">
                  <c:v>8</c:v>
                </c:pt>
                <c:pt idx="1">
                  <c:v>4</c:v>
                </c:pt>
                <c:pt idx="2">
                  <c:v>1</c:v>
                </c:pt>
                <c:pt idx="3">
                  <c:v>1</c:v>
                </c:pt>
              </c:numCache>
            </c:numRef>
          </c:val>
        </c:ser>
        <c:axId val="170990592"/>
        <c:axId val="170996480"/>
      </c:barChart>
      <c:catAx>
        <c:axId val="170990592"/>
        <c:scaling>
          <c:orientation val="minMax"/>
        </c:scaling>
        <c:axPos val="l"/>
        <c:majorTickMark val="none"/>
        <c:tickLblPos val="nextTo"/>
        <c:crossAx val="170996480"/>
        <c:crosses val="autoZero"/>
        <c:auto val="1"/>
        <c:lblAlgn val="ctr"/>
        <c:lblOffset val="100"/>
      </c:catAx>
      <c:valAx>
        <c:axId val="170996480"/>
        <c:scaling>
          <c:orientation val="minMax"/>
          <c:max val="8"/>
        </c:scaling>
        <c:axPos val="b"/>
        <c:majorGridlines/>
        <c:title>
          <c:tx>
            <c:rich>
              <a:bodyPr/>
              <a:lstStyle/>
              <a:p>
                <a:pPr>
                  <a:defRPr/>
                </a:pPr>
                <a:r>
                  <a:rPr lang="lt-LT"/>
                  <a:t>Respondentų skaičius</a:t>
                </a:r>
              </a:p>
            </c:rich>
          </c:tx>
        </c:title>
        <c:numFmt formatCode="General" sourceLinked="1"/>
        <c:majorTickMark val="none"/>
        <c:tickLblPos val="nextTo"/>
        <c:crossAx val="170990592"/>
        <c:crosses val="autoZero"/>
        <c:crossBetween val="between"/>
        <c:majorUnit val="1"/>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style val="5"/>
  <c:chart>
    <c:plotArea>
      <c:layout>
        <c:manualLayout>
          <c:layoutTarget val="inner"/>
          <c:xMode val="edge"/>
          <c:yMode val="edge"/>
          <c:x val="0.15399943939046801"/>
          <c:y val="0.19696546209869589"/>
          <c:w val="0.35306250796320743"/>
          <c:h val="0.66848232206268343"/>
        </c:manualLayout>
      </c:layout>
      <c:radarChart>
        <c:radarStyle val="marker"/>
        <c:ser>
          <c:idx val="0"/>
          <c:order val="0"/>
          <c:tx>
            <c:strRef>
              <c:f>Sheet1!$B$1</c:f>
              <c:strCache>
                <c:ptCount val="1"/>
                <c:pt idx="0">
                  <c:v>Teikiamų e. paslaugų skaičius</c:v>
                </c:pt>
              </c:strCache>
            </c:strRef>
          </c:tx>
          <c:dLbls>
            <c:dLbl>
              <c:idx val="2"/>
              <c:layout>
                <c:manualLayout>
                  <c:x val="-2.0833333333333412E-2"/>
                  <c:y val="8.4388185654008432E-3"/>
                </c:manualLayout>
              </c:layout>
              <c:showVal val="1"/>
            </c:dLbl>
            <c:dLbl>
              <c:idx val="3"/>
              <c:layout>
                <c:manualLayout>
                  <c:x val="-2.8645833333333381E-2"/>
                  <c:y val="-5.0632911392405132E-2"/>
                </c:manualLayout>
              </c:layout>
              <c:showVal val="1"/>
            </c:dLbl>
            <c:dLbl>
              <c:idx val="4"/>
              <c:layout>
                <c:manualLayout>
                  <c:x val="-2.0833333333333412E-2"/>
                  <c:y val="-6.7510548523206773E-2"/>
                </c:manualLayout>
              </c:layout>
              <c:showVal val="1"/>
            </c:dLbl>
            <c:dLbl>
              <c:idx val="5"/>
              <c:layout>
                <c:manualLayout>
                  <c:x val="2.6041666666666999E-3"/>
                  <c:y val="-3.7974683544303806E-2"/>
                </c:manualLayout>
              </c:layout>
              <c:showVal val="1"/>
            </c:dLbl>
            <c:dLbl>
              <c:idx val="6"/>
              <c:layout>
                <c:manualLayout>
                  <c:x val="2.6041666666666956E-2"/>
                  <c:y val="-2.5316455696202528E-2"/>
                </c:manualLayout>
              </c:layout>
              <c:showVal val="1"/>
            </c:dLbl>
            <c:dLbl>
              <c:idx val="7"/>
              <c:layout>
                <c:manualLayout>
                  <c:x val="2.343750000000001E-2"/>
                  <c:y val="8.4388185654008432E-3"/>
                </c:manualLayout>
              </c:layout>
              <c:showVal val="1"/>
            </c:dLbl>
            <c:dLbl>
              <c:idx val="8"/>
              <c:layout>
                <c:manualLayout>
                  <c:x val="4.1666666666666664E-2"/>
                  <c:y val="2.1097046413502379E-2"/>
                </c:manualLayout>
              </c:layout>
              <c:showVal val="1"/>
            </c:dLbl>
            <c:showVal val="1"/>
          </c:dLbls>
          <c:cat>
            <c:strRef>
              <c:f>Sheet1!$A$2:$A$10</c:f>
              <c:strCache>
                <c:ptCount val="9"/>
                <c:pt idx="0">
                  <c:v>AB ,,Lietuvos paštas''</c:v>
                </c:pt>
                <c:pt idx="1">
                  <c:v>Dalyvis  I</c:v>
                </c:pt>
                <c:pt idx="2">
                  <c:v>Dalyvis  II</c:v>
                </c:pt>
                <c:pt idx="3">
                  <c:v>Dalyvis III</c:v>
                </c:pt>
                <c:pt idx="4">
                  <c:v>Dalyvis IV</c:v>
                </c:pt>
                <c:pt idx="5">
                  <c:v>Dalyvis V</c:v>
                </c:pt>
                <c:pt idx="6">
                  <c:v>Dalyvis VI</c:v>
                </c:pt>
                <c:pt idx="7">
                  <c:v>Dalyvis VII</c:v>
                </c:pt>
                <c:pt idx="8">
                  <c:v>Dalyvis VIII</c:v>
                </c:pt>
              </c:strCache>
            </c:strRef>
          </c:cat>
          <c:val>
            <c:numRef>
              <c:f>Sheet1!$B$2:$B$10</c:f>
              <c:numCache>
                <c:formatCode>General</c:formatCode>
                <c:ptCount val="9"/>
                <c:pt idx="0">
                  <c:v>4</c:v>
                </c:pt>
                <c:pt idx="1">
                  <c:v>2</c:v>
                </c:pt>
                <c:pt idx="2">
                  <c:v>1</c:v>
                </c:pt>
                <c:pt idx="3">
                  <c:v>0</c:v>
                </c:pt>
                <c:pt idx="4">
                  <c:v>0</c:v>
                </c:pt>
                <c:pt idx="5">
                  <c:v>3</c:v>
                </c:pt>
                <c:pt idx="6">
                  <c:v>5</c:v>
                </c:pt>
                <c:pt idx="7">
                  <c:v>6</c:v>
                </c:pt>
                <c:pt idx="8">
                  <c:v>9</c:v>
                </c:pt>
              </c:numCache>
            </c:numRef>
          </c:val>
        </c:ser>
        <c:ser>
          <c:idx val="1"/>
          <c:order val="1"/>
          <c:tx>
            <c:strRef>
              <c:f>Sheet1!$C$1</c:f>
              <c:strCache>
                <c:ptCount val="1"/>
                <c:pt idx="0">
                  <c:v>Vidurkis (3,33)</c:v>
                </c:pt>
              </c:strCache>
            </c:strRef>
          </c:tx>
          <c:cat>
            <c:strRef>
              <c:f>Sheet1!$A$2:$A$10</c:f>
              <c:strCache>
                <c:ptCount val="9"/>
                <c:pt idx="0">
                  <c:v>AB ,,Lietuvos paštas''</c:v>
                </c:pt>
                <c:pt idx="1">
                  <c:v>Dalyvis  I</c:v>
                </c:pt>
                <c:pt idx="2">
                  <c:v>Dalyvis  II</c:v>
                </c:pt>
                <c:pt idx="3">
                  <c:v>Dalyvis III</c:v>
                </c:pt>
                <c:pt idx="4">
                  <c:v>Dalyvis IV</c:v>
                </c:pt>
                <c:pt idx="5">
                  <c:v>Dalyvis V</c:v>
                </c:pt>
                <c:pt idx="6">
                  <c:v>Dalyvis VI</c:v>
                </c:pt>
                <c:pt idx="7">
                  <c:v>Dalyvis VII</c:v>
                </c:pt>
                <c:pt idx="8">
                  <c:v>Dalyvis VIII</c:v>
                </c:pt>
              </c:strCache>
            </c:strRef>
          </c:cat>
          <c:val>
            <c:numRef>
              <c:f>Sheet1!$C$2:$C$10</c:f>
              <c:numCache>
                <c:formatCode>0.00</c:formatCode>
                <c:ptCount val="9"/>
                <c:pt idx="0">
                  <c:v>3.3333333333333335</c:v>
                </c:pt>
                <c:pt idx="1">
                  <c:v>3.3333333333333335</c:v>
                </c:pt>
                <c:pt idx="2">
                  <c:v>3.3333333333333335</c:v>
                </c:pt>
                <c:pt idx="3">
                  <c:v>3.3333333333333335</c:v>
                </c:pt>
                <c:pt idx="4">
                  <c:v>3.3333333333333335</c:v>
                </c:pt>
                <c:pt idx="5">
                  <c:v>3.3333333333333335</c:v>
                </c:pt>
                <c:pt idx="6">
                  <c:v>3.3333333333333335</c:v>
                </c:pt>
                <c:pt idx="7">
                  <c:v>3.3333333333333335</c:v>
                </c:pt>
                <c:pt idx="8">
                  <c:v>3.3333333333333335</c:v>
                </c:pt>
              </c:numCache>
            </c:numRef>
          </c:val>
        </c:ser>
        <c:axId val="171043072"/>
        <c:axId val="171114496"/>
      </c:radarChart>
      <c:catAx>
        <c:axId val="171043072"/>
        <c:scaling>
          <c:orientation val="minMax"/>
        </c:scaling>
        <c:axPos val="b"/>
        <c:majorGridlines/>
        <c:numFmt formatCode="General" sourceLinked="1"/>
        <c:tickLblPos val="nextTo"/>
        <c:txPr>
          <a:bodyPr rot="0" vert="horz"/>
          <a:lstStyle/>
          <a:p>
            <a:pPr>
              <a:defRPr/>
            </a:pPr>
            <a:endParaRPr lang="lt-LT"/>
          </a:p>
        </c:txPr>
        <c:crossAx val="171114496"/>
        <c:crosses val="autoZero"/>
        <c:lblAlgn val="ctr"/>
        <c:lblOffset val="100"/>
      </c:catAx>
      <c:valAx>
        <c:axId val="171114496"/>
        <c:scaling>
          <c:orientation val="minMax"/>
          <c:max val="9"/>
          <c:min val="0"/>
        </c:scaling>
        <c:delete val="1"/>
        <c:axPos val="l"/>
        <c:majorGridlines/>
        <c:numFmt formatCode="General" sourceLinked="1"/>
        <c:majorTickMark val="cross"/>
        <c:tickLblPos val="none"/>
        <c:crossAx val="171043072"/>
        <c:crosses val="autoZero"/>
        <c:crossBetween val="between"/>
        <c:majorUnit val="1"/>
      </c:valAx>
    </c:plotArea>
    <c:legend>
      <c:legendPos val="r"/>
      <c:layout>
        <c:manualLayout>
          <c:xMode val="edge"/>
          <c:yMode val="edge"/>
          <c:x val="0.69234523354484534"/>
          <c:y val="0.31665662370982239"/>
          <c:w val="0.30582514078944489"/>
          <c:h val="0.36168249065329888"/>
        </c:manualLayout>
      </c:layou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manualLayout>
          <c:layoutTarget val="inner"/>
          <c:xMode val="edge"/>
          <c:yMode val="edge"/>
          <c:x val="2.346273330262073E-2"/>
          <c:y val="9.3152709096825506E-2"/>
          <c:w val="0.66156174469356188"/>
          <c:h val="0.70186865534697884"/>
        </c:manualLayout>
      </c:layout>
      <c:barChart>
        <c:barDir val="bar"/>
        <c:grouping val="clustered"/>
        <c:ser>
          <c:idx val="0"/>
          <c:order val="0"/>
          <c:tx>
            <c:strRef>
              <c:f>'2 kl.'!$A$19</c:f>
              <c:strCache>
                <c:ptCount val="1"/>
                <c:pt idx="0">
                  <c:v>Sumažinti darbuotojų skaičių</c:v>
                </c:pt>
              </c:strCache>
            </c:strRef>
          </c:tx>
          <c:val>
            <c:numRef>
              <c:f>'2 kl.'!$B$19</c:f>
              <c:numCache>
                <c:formatCode>General</c:formatCode>
                <c:ptCount val="1"/>
                <c:pt idx="0">
                  <c:v>8</c:v>
                </c:pt>
              </c:numCache>
            </c:numRef>
          </c:val>
        </c:ser>
        <c:ser>
          <c:idx val="1"/>
          <c:order val="1"/>
          <c:tx>
            <c:strRef>
              <c:f>'2 kl.'!$A$20</c:f>
              <c:strCache>
                <c:ptCount val="1"/>
                <c:pt idx="0">
                  <c:v>Atnaujinti darbuotojų motyvacijos sistemą</c:v>
                </c:pt>
              </c:strCache>
            </c:strRef>
          </c:tx>
          <c:val>
            <c:numRef>
              <c:f>'2 kl.'!$B$20</c:f>
              <c:numCache>
                <c:formatCode>General</c:formatCode>
                <c:ptCount val="1"/>
                <c:pt idx="0">
                  <c:v>6</c:v>
                </c:pt>
              </c:numCache>
            </c:numRef>
          </c:val>
        </c:ser>
        <c:ser>
          <c:idx val="2"/>
          <c:order val="2"/>
          <c:tx>
            <c:strRef>
              <c:f>'2 kl.'!$A$21</c:f>
              <c:strCache>
                <c:ptCount val="1"/>
                <c:pt idx="0">
                  <c:v>Pakelti darbuotojų kvalifikaciją</c:v>
                </c:pt>
              </c:strCache>
            </c:strRef>
          </c:tx>
          <c:val>
            <c:numRef>
              <c:f>'2 kl.'!$B$21</c:f>
              <c:numCache>
                <c:formatCode>General</c:formatCode>
                <c:ptCount val="1"/>
                <c:pt idx="0">
                  <c:v>3</c:v>
                </c:pt>
              </c:numCache>
            </c:numRef>
          </c:val>
        </c:ser>
        <c:ser>
          <c:idx val="3"/>
          <c:order val="3"/>
          <c:tx>
            <c:strRef>
              <c:f>'2 kl.'!$A$22</c:f>
              <c:strCache>
                <c:ptCount val="1"/>
                <c:pt idx="0">
                  <c:v>Atsisakyti politinių pareigybių</c:v>
                </c:pt>
              </c:strCache>
            </c:strRef>
          </c:tx>
          <c:val>
            <c:numRef>
              <c:f>'2 kl.'!$B$22</c:f>
              <c:numCache>
                <c:formatCode>General</c:formatCode>
                <c:ptCount val="1"/>
                <c:pt idx="0">
                  <c:v>1</c:v>
                </c:pt>
              </c:numCache>
            </c:numRef>
          </c:val>
        </c:ser>
        <c:dLbls>
          <c:showVal val="1"/>
        </c:dLbls>
        <c:gapWidth val="95"/>
        <c:axId val="171145088"/>
        <c:axId val="171146624"/>
      </c:barChart>
      <c:catAx>
        <c:axId val="171145088"/>
        <c:scaling>
          <c:orientation val="minMax"/>
        </c:scaling>
        <c:delete val="1"/>
        <c:axPos val="l"/>
        <c:majorTickMark val="none"/>
        <c:tickLblPos val="none"/>
        <c:crossAx val="171146624"/>
        <c:crosses val="autoZero"/>
        <c:auto val="1"/>
        <c:lblAlgn val="ctr"/>
        <c:lblOffset val="100"/>
      </c:catAx>
      <c:valAx>
        <c:axId val="171146624"/>
        <c:scaling>
          <c:orientation val="minMax"/>
        </c:scaling>
        <c:delete val="1"/>
        <c:axPos val="b"/>
        <c:title>
          <c:tx>
            <c:rich>
              <a:bodyPr/>
              <a:lstStyle/>
              <a:p>
                <a:pPr>
                  <a:defRPr/>
                </a:pPr>
                <a:r>
                  <a:rPr lang="lt-LT"/>
                  <a:t>Respondentų skaičius</a:t>
                </a:r>
              </a:p>
            </c:rich>
          </c:tx>
        </c:title>
        <c:numFmt formatCode="General" sourceLinked="1"/>
        <c:majorTickMark val="none"/>
        <c:tickLblPos val="none"/>
        <c:crossAx val="171145088"/>
        <c:crosses val="autoZero"/>
        <c:crossBetween val="between"/>
      </c:valAx>
    </c:plotArea>
    <c:legend>
      <c:legendPos val="r"/>
      <c:layout>
        <c:manualLayout>
          <c:xMode val="edge"/>
          <c:yMode val="edge"/>
          <c:x val="0.55760635133990444"/>
          <c:y val="8.0127362789844225E-2"/>
          <c:w val="0.44027728003440408"/>
          <c:h val="0.91987263721016665"/>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style val="5"/>
  <c:chart>
    <c:autoTitleDeleted val="1"/>
    <c:plotArea>
      <c:layout>
        <c:manualLayout>
          <c:layoutTarget val="inner"/>
          <c:xMode val="edge"/>
          <c:yMode val="edge"/>
          <c:x val="2.3450228610353216E-2"/>
          <c:y val="0.11356929515497291"/>
          <c:w val="0.67636653395549462"/>
          <c:h val="0.73977104039882513"/>
        </c:manualLayout>
      </c:layout>
      <c:barChart>
        <c:barDir val="bar"/>
        <c:grouping val="clustered"/>
        <c:ser>
          <c:idx val="0"/>
          <c:order val="0"/>
          <c:tx>
            <c:strRef>
              <c:f>'2 kl.'!$E$19</c:f>
              <c:strCache>
                <c:ptCount val="1"/>
                <c:pt idx="0">
                  <c:v>Sukurti naują įvaizdį</c:v>
                </c:pt>
              </c:strCache>
            </c:strRef>
          </c:tx>
          <c:val>
            <c:numRef>
              <c:f>'2 kl.'!$F$19</c:f>
              <c:numCache>
                <c:formatCode>General</c:formatCode>
                <c:ptCount val="1"/>
                <c:pt idx="0">
                  <c:v>6</c:v>
                </c:pt>
              </c:numCache>
            </c:numRef>
          </c:val>
        </c:ser>
        <c:ser>
          <c:idx val="1"/>
          <c:order val="1"/>
          <c:tx>
            <c:strRef>
              <c:f>'2 kl.'!$E$20</c:f>
              <c:strCache>
                <c:ptCount val="1"/>
                <c:pt idx="0">
                  <c:v>Padidinti reklamos mąstus</c:v>
                </c:pt>
              </c:strCache>
            </c:strRef>
          </c:tx>
          <c:val>
            <c:numRef>
              <c:f>'2 kl.'!$F$20</c:f>
              <c:numCache>
                <c:formatCode>General</c:formatCode>
                <c:ptCount val="1"/>
                <c:pt idx="0">
                  <c:v>4</c:v>
                </c:pt>
              </c:numCache>
            </c:numRef>
          </c:val>
        </c:ser>
        <c:ser>
          <c:idx val="2"/>
          <c:order val="2"/>
          <c:tx>
            <c:strRef>
              <c:f>'2 kl.'!$E$21</c:f>
              <c:strCache>
                <c:ptCount val="1"/>
                <c:pt idx="0">
                  <c:v>Atnaujinti interneto svetainę</c:v>
                </c:pt>
              </c:strCache>
            </c:strRef>
          </c:tx>
          <c:val>
            <c:numRef>
              <c:f>'2 kl.'!$F$21</c:f>
              <c:numCache>
                <c:formatCode>General</c:formatCode>
                <c:ptCount val="1"/>
                <c:pt idx="0">
                  <c:v>2</c:v>
                </c:pt>
              </c:numCache>
            </c:numRef>
          </c:val>
        </c:ser>
        <c:ser>
          <c:idx val="3"/>
          <c:order val="3"/>
          <c:tx>
            <c:strRef>
              <c:f>'2 kl.'!$E$22</c:f>
              <c:strCache>
                <c:ptCount val="1"/>
                <c:pt idx="0">
                  <c:v>Pakeisti paslaugų tarifus</c:v>
                </c:pt>
              </c:strCache>
            </c:strRef>
          </c:tx>
          <c:val>
            <c:numRef>
              <c:f>'2 kl.'!$F$22</c:f>
              <c:numCache>
                <c:formatCode>General</c:formatCode>
                <c:ptCount val="1"/>
                <c:pt idx="0">
                  <c:v>1</c:v>
                </c:pt>
              </c:numCache>
            </c:numRef>
          </c:val>
        </c:ser>
        <c:dLbls>
          <c:showVal val="1"/>
        </c:dLbls>
        <c:gapWidth val="95"/>
        <c:axId val="171195392"/>
        <c:axId val="171209472"/>
      </c:barChart>
      <c:catAx>
        <c:axId val="171195392"/>
        <c:scaling>
          <c:orientation val="minMax"/>
        </c:scaling>
        <c:delete val="1"/>
        <c:axPos val="l"/>
        <c:majorTickMark val="none"/>
        <c:tickLblPos val="none"/>
        <c:crossAx val="171209472"/>
        <c:crosses val="autoZero"/>
        <c:auto val="1"/>
        <c:lblAlgn val="ctr"/>
        <c:lblOffset val="100"/>
      </c:catAx>
      <c:valAx>
        <c:axId val="171209472"/>
        <c:scaling>
          <c:orientation val="minMax"/>
        </c:scaling>
        <c:delete val="1"/>
        <c:axPos val="b"/>
        <c:title>
          <c:tx>
            <c:rich>
              <a:bodyPr/>
              <a:lstStyle/>
              <a:p>
                <a:pPr>
                  <a:defRPr/>
                </a:pPr>
                <a:r>
                  <a:rPr lang="lt-LT"/>
                  <a:t>Respondentų skaičius</a:t>
                </a:r>
              </a:p>
            </c:rich>
          </c:tx>
          <c:layout>
            <c:manualLayout>
              <c:xMode val="edge"/>
              <c:yMode val="edge"/>
              <c:x val="0.25952906837966816"/>
              <c:y val="0.79139344728742544"/>
            </c:manualLayout>
          </c:layout>
        </c:title>
        <c:numFmt formatCode="General" sourceLinked="1"/>
        <c:majorTickMark val="none"/>
        <c:tickLblPos val="none"/>
        <c:crossAx val="171195392"/>
        <c:crosses val="autoZero"/>
        <c:crossBetween val="between"/>
      </c:valAx>
    </c:plotArea>
    <c:legend>
      <c:legendPos val="r"/>
      <c:layout>
        <c:manualLayout>
          <c:xMode val="edge"/>
          <c:yMode val="edge"/>
          <c:x val="0.64028640346013665"/>
          <c:y val="5.9829110159760224E-2"/>
          <c:w val="0.33837731111076846"/>
          <c:h val="0.86503998672154814"/>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85437-DF2C-4448-A52C-F06ECB1BC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87</Pages>
  <Words>141936</Words>
  <Characters>80905</Characters>
  <Application>Microsoft Office Word</Application>
  <DocSecurity>0</DocSecurity>
  <Lines>674</Lines>
  <Paragraphs>444</Paragraphs>
  <ScaleCrop>false</ScaleCrop>
  <HeadingPairs>
    <vt:vector size="2" baseType="variant">
      <vt:variant>
        <vt:lpstr>Title</vt:lpstr>
      </vt:variant>
      <vt:variant>
        <vt:i4>1</vt:i4>
      </vt:variant>
    </vt:vector>
  </HeadingPairs>
  <TitlesOfParts>
    <vt:vector size="1" baseType="lpstr">
      <vt:lpstr>MYKOLO ROMERIO UNIVERSITETAS</vt:lpstr>
    </vt:vector>
  </TitlesOfParts>
  <Company>Hewlett-Packard Company</Company>
  <LinksUpToDate>false</LinksUpToDate>
  <CharactersWithSpaces>222397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Fikcija</dc:creator>
  <cp:lastModifiedBy>Fikcija</cp:lastModifiedBy>
  <cp:revision>80</cp:revision>
  <cp:lastPrinted>2010-12-22T20:19:00Z</cp:lastPrinted>
  <dcterms:created xsi:type="dcterms:W3CDTF">2010-11-11T20:20:00Z</dcterms:created>
  <dcterms:modified xsi:type="dcterms:W3CDTF">2010-12-22T20:56:00Z</dcterms:modified>
</cp:coreProperties>
</file>