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drawings/drawing1.xml" ContentType="application/vnd.openxmlformats-officedocument.drawingml.chartshapes+xml"/>
  <Override PartName="/word/charts/chart9.xml" ContentType="application/vnd.openxmlformats-officedocument.drawingml.chart+xml"/>
  <Override PartName="/word/charts/chart10.xml" ContentType="application/vnd.openxmlformats-officedocument.drawingml.chart+xml"/>
  <Override PartName="/word/drawings/drawing2.xml" ContentType="application/vnd.openxmlformats-officedocument.drawingml.chartshapes+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header2.xml" ContentType="application/vnd.openxmlformats-officedocument.wordprocessingml.header+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6413" w:rsidRPr="00EC1AB2" w:rsidRDefault="00B96413" w:rsidP="007A02A8">
      <w:pPr>
        <w:tabs>
          <w:tab w:val="left" w:pos="0"/>
          <w:tab w:val="left" w:pos="3402"/>
        </w:tabs>
        <w:spacing w:after="0" w:line="360" w:lineRule="auto"/>
        <w:jc w:val="center"/>
        <w:rPr>
          <w:rFonts w:ascii="Times New Roman" w:hAnsi="Times New Roman" w:cs="Times New Roman"/>
          <w:b/>
          <w:sz w:val="32"/>
          <w:szCs w:val="32"/>
        </w:rPr>
      </w:pPr>
      <w:r w:rsidRPr="00EC1AB2">
        <w:rPr>
          <w:rFonts w:ascii="Times New Roman" w:hAnsi="Times New Roman" w:cs="Times New Roman"/>
          <w:b/>
          <w:sz w:val="32"/>
          <w:szCs w:val="32"/>
        </w:rPr>
        <w:t xml:space="preserve">MYKOLO ROMERIO UNIVERSITETAS </w:t>
      </w:r>
    </w:p>
    <w:p w:rsidR="00B96413" w:rsidRPr="00EC1AB2" w:rsidRDefault="00B96413" w:rsidP="007A02A8">
      <w:pPr>
        <w:tabs>
          <w:tab w:val="left" w:pos="0"/>
          <w:tab w:val="left" w:pos="3402"/>
        </w:tabs>
        <w:spacing w:after="0" w:line="360" w:lineRule="auto"/>
        <w:jc w:val="center"/>
        <w:rPr>
          <w:rFonts w:ascii="Times New Roman" w:hAnsi="Times New Roman" w:cs="Times New Roman"/>
          <w:b/>
          <w:bCs/>
          <w:sz w:val="28"/>
          <w:szCs w:val="28"/>
        </w:rPr>
      </w:pPr>
      <w:r w:rsidRPr="00EC1AB2">
        <w:rPr>
          <w:rFonts w:ascii="Times New Roman" w:hAnsi="Times New Roman" w:cs="Times New Roman"/>
          <w:b/>
          <w:bCs/>
          <w:sz w:val="28"/>
          <w:szCs w:val="28"/>
        </w:rPr>
        <w:t xml:space="preserve">EKONOMIKOS IR FINANSŲ VALDYMO FAKULTETAS </w:t>
      </w:r>
    </w:p>
    <w:p w:rsidR="00B96413" w:rsidRPr="00EC1AB2" w:rsidRDefault="00B96413" w:rsidP="007A02A8">
      <w:pPr>
        <w:tabs>
          <w:tab w:val="left" w:pos="0"/>
          <w:tab w:val="left" w:pos="3402"/>
        </w:tabs>
        <w:spacing w:after="0" w:line="360" w:lineRule="auto"/>
        <w:jc w:val="center"/>
        <w:rPr>
          <w:rFonts w:ascii="Times New Roman" w:hAnsi="Times New Roman" w:cs="Times New Roman"/>
          <w:b/>
          <w:sz w:val="24"/>
          <w:szCs w:val="24"/>
        </w:rPr>
      </w:pPr>
      <w:r w:rsidRPr="00EC1AB2">
        <w:rPr>
          <w:rFonts w:ascii="Times New Roman" w:hAnsi="Times New Roman" w:cs="Times New Roman"/>
          <w:b/>
          <w:sz w:val="24"/>
          <w:szCs w:val="24"/>
        </w:rPr>
        <w:t xml:space="preserve">BANKININKYSTĖS IR INVESTICIJŲ KATEDRA </w:t>
      </w:r>
    </w:p>
    <w:p w:rsidR="00B96413" w:rsidRPr="00EC1AB2" w:rsidRDefault="00B96413" w:rsidP="007A02A8">
      <w:pPr>
        <w:tabs>
          <w:tab w:val="left" w:pos="0"/>
          <w:tab w:val="left" w:pos="3402"/>
        </w:tabs>
        <w:spacing w:after="0" w:line="360" w:lineRule="auto"/>
        <w:jc w:val="center"/>
        <w:rPr>
          <w:rFonts w:ascii="Times New Roman" w:hAnsi="Times New Roman" w:cs="Times New Roman"/>
          <w:b/>
          <w:sz w:val="24"/>
          <w:szCs w:val="24"/>
        </w:rPr>
      </w:pPr>
    </w:p>
    <w:p w:rsidR="00B96413" w:rsidRPr="00EC1AB2" w:rsidRDefault="00B96413" w:rsidP="007A02A8">
      <w:pPr>
        <w:tabs>
          <w:tab w:val="left" w:pos="0"/>
          <w:tab w:val="left" w:pos="3402"/>
        </w:tabs>
        <w:spacing w:after="0" w:line="360" w:lineRule="auto"/>
        <w:rPr>
          <w:rFonts w:ascii="Times New Roman" w:hAnsi="Times New Roman" w:cs="Times New Roman"/>
          <w:b/>
          <w:sz w:val="24"/>
          <w:szCs w:val="24"/>
        </w:rPr>
      </w:pPr>
    </w:p>
    <w:p w:rsidR="00B96413" w:rsidRPr="00EC1AB2" w:rsidRDefault="00B96413" w:rsidP="007A02A8">
      <w:pPr>
        <w:tabs>
          <w:tab w:val="left" w:pos="0"/>
          <w:tab w:val="left" w:pos="3402"/>
        </w:tabs>
        <w:spacing w:after="0" w:line="360" w:lineRule="auto"/>
        <w:rPr>
          <w:rFonts w:ascii="Times New Roman" w:hAnsi="Times New Roman" w:cs="Times New Roman"/>
          <w:b/>
          <w:sz w:val="24"/>
          <w:szCs w:val="24"/>
        </w:rPr>
      </w:pPr>
    </w:p>
    <w:p w:rsidR="00B96413" w:rsidRPr="00EC1AB2" w:rsidRDefault="00B96413" w:rsidP="007A02A8">
      <w:pPr>
        <w:tabs>
          <w:tab w:val="left" w:pos="0"/>
          <w:tab w:val="left" w:pos="3402"/>
        </w:tabs>
        <w:spacing w:after="0" w:line="360" w:lineRule="auto"/>
        <w:rPr>
          <w:rFonts w:ascii="Times New Roman" w:hAnsi="Times New Roman" w:cs="Times New Roman"/>
          <w:b/>
          <w:sz w:val="24"/>
          <w:szCs w:val="24"/>
        </w:rPr>
      </w:pPr>
    </w:p>
    <w:p w:rsidR="00B96413" w:rsidRPr="00EC1AB2" w:rsidRDefault="00B96413" w:rsidP="007A02A8">
      <w:pPr>
        <w:tabs>
          <w:tab w:val="left" w:pos="0"/>
          <w:tab w:val="left" w:pos="3402"/>
        </w:tabs>
        <w:spacing w:after="0" w:line="360" w:lineRule="auto"/>
        <w:jc w:val="center"/>
        <w:rPr>
          <w:rFonts w:ascii="Times New Roman" w:hAnsi="Times New Roman" w:cs="Times New Roman"/>
          <w:b/>
          <w:sz w:val="32"/>
          <w:szCs w:val="32"/>
        </w:rPr>
      </w:pPr>
      <w:r w:rsidRPr="00EC1AB2">
        <w:rPr>
          <w:rFonts w:ascii="Times New Roman" w:hAnsi="Times New Roman" w:cs="Times New Roman"/>
          <w:b/>
          <w:sz w:val="32"/>
          <w:szCs w:val="32"/>
        </w:rPr>
        <w:t>AUŠRA ŠERKŠNAITĖ</w:t>
      </w:r>
    </w:p>
    <w:p w:rsidR="00B96413" w:rsidRPr="00EC1AB2" w:rsidRDefault="00B96413" w:rsidP="007A02A8">
      <w:pPr>
        <w:tabs>
          <w:tab w:val="left" w:pos="0"/>
          <w:tab w:val="left" w:pos="3402"/>
        </w:tabs>
        <w:spacing w:after="0" w:line="360" w:lineRule="auto"/>
        <w:jc w:val="center"/>
        <w:rPr>
          <w:rFonts w:ascii="Times New Roman" w:hAnsi="Times New Roman" w:cs="Times New Roman"/>
          <w:b/>
          <w:sz w:val="24"/>
          <w:szCs w:val="24"/>
        </w:rPr>
      </w:pPr>
    </w:p>
    <w:p w:rsidR="00B96413" w:rsidRPr="00EC1AB2" w:rsidRDefault="00B96413" w:rsidP="007A02A8">
      <w:pPr>
        <w:tabs>
          <w:tab w:val="left" w:pos="0"/>
          <w:tab w:val="left" w:pos="3402"/>
        </w:tabs>
        <w:spacing w:after="0" w:line="360" w:lineRule="auto"/>
        <w:ind w:right="-2"/>
        <w:jc w:val="center"/>
        <w:rPr>
          <w:rFonts w:ascii="Times New Roman" w:hAnsi="Times New Roman" w:cs="Times New Roman"/>
          <w:b/>
          <w:sz w:val="40"/>
          <w:szCs w:val="40"/>
        </w:rPr>
      </w:pPr>
      <w:r w:rsidRPr="00EC1AB2">
        <w:rPr>
          <w:rFonts w:ascii="Times New Roman" w:hAnsi="Times New Roman" w:cs="Times New Roman"/>
          <w:b/>
          <w:sz w:val="40"/>
          <w:szCs w:val="40"/>
        </w:rPr>
        <w:t>RIZIKOS KAPITALO FONDŲ PLĖTROS PROBLEMOS LIETUVOJE</w:t>
      </w:r>
    </w:p>
    <w:p w:rsidR="00B96413" w:rsidRPr="00EC1AB2" w:rsidRDefault="00B96413" w:rsidP="007A02A8">
      <w:pPr>
        <w:tabs>
          <w:tab w:val="left" w:pos="0"/>
        </w:tabs>
        <w:spacing w:after="0" w:line="360" w:lineRule="auto"/>
        <w:jc w:val="center"/>
        <w:rPr>
          <w:rFonts w:ascii="Times New Roman" w:hAnsi="Times New Roman" w:cs="Times New Roman"/>
          <w:b/>
          <w:sz w:val="28"/>
          <w:szCs w:val="28"/>
        </w:rPr>
      </w:pPr>
      <w:r w:rsidRPr="00EC1AB2">
        <w:rPr>
          <w:rFonts w:ascii="Times New Roman" w:hAnsi="Times New Roman" w:cs="Times New Roman"/>
          <w:b/>
          <w:sz w:val="28"/>
          <w:szCs w:val="28"/>
        </w:rPr>
        <w:t>Magistro baigiamasis darbas</w:t>
      </w:r>
    </w:p>
    <w:p w:rsidR="00B96413" w:rsidRPr="00EC1AB2" w:rsidRDefault="00B96413" w:rsidP="007A02A8">
      <w:pPr>
        <w:tabs>
          <w:tab w:val="left" w:pos="0"/>
        </w:tabs>
        <w:spacing w:after="0" w:line="360" w:lineRule="auto"/>
        <w:rPr>
          <w:rFonts w:ascii="Times New Roman" w:hAnsi="Times New Roman" w:cs="Times New Roman"/>
          <w:b/>
          <w:sz w:val="24"/>
          <w:szCs w:val="24"/>
        </w:rPr>
      </w:pPr>
    </w:p>
    <w:p w:rsidR="00B96413" w:rsidRPr="00EC1AB2" w:rsidRDefault="00B96413" w:rsidP="007A02A8">
      <w:pPr>
        <w:tabs>
          <w:tab w:val="left" w:pos="0"/>
        </w:tabs>
        <w:spacing w:after="0" w:line="360" w:lineRule="auto"/>
        <w:rPr>
          <w:rFonts w:ascii="Times New Roman" w:hAnsi="Times New Roman" w:cs="Times New Roman"/>
          <w:b/>
          <w:sz w:val="24"/>
          <w:szCs w:val="24"/>
        </w:rPr>
      </w:pPr>
    </w:p>
    <w:p w:rsidR="00B96413" w:rsidRPr="00EC1AB2" w:rsidRDefault="00B96413" w:rsidP="007A02A8">
      <w:pPr>
        <w:tabs>
          <w:tab w:val="left" w:pos="0"/>
        </w:tabs>
        <w:spacing w:after="0" w:line="360" w:lineRule="auto"/>
        <w:rPr>
          <w:rFonts w:ascii="Times New Roman" w:hAnsi="Times New Roman" w:cs="Times New Roman"/>
          <w:b/>
          <w:sz w:val="24"/>
          <w:szCs w:val="24"/>
        </w:rPr>
      </w:pPr>
      <w:r w:rsidRPr="00EC1AB2">
        <w:rPr>
          <w:rFonts w:ascii="Times New Roman" w:hAnsi="Times New Roman" w:cs="Times New Roman"/>
          <w:b/>
          <w:sz w:val="24"/>
          <w:szCs w:val="24"/>
        </w:rPr>
        <w:t xml:space="preserve">                                                                                                      </w:t>
      </w:r>
    </w:p>
    <w:p w:rsidR="00B96413" w:rsidRPr="00EC1AB2" w:rsidRDefault="00B96413" w:rsidP="007A02A8">
      <w:pPr>
        <w:tabs>
          <w:tab w:val="left" w:pos="0"/>
        </w:tabs>
        <w:spacing w:after="0" w:line="360" w:lineRule="auto"/>
        <w:rPr>
          <w:rFonts w:ascii="Times New Roman" w:hAnsi="Times New Roman" w:cs="Times New Roman"/>
          <w:b/>
          <w:sz w:val="24"/>
          <w:szCs w:val="24"/>
        </w:rPr>
      </w:pPr>
    </w:p>
    <w:p w:rsidR="00B96413" w:rsidRPr="00EC1AB2" w:rsidRDefault="00B96413" w:rsidP="007A02A8">
      <w:pPr>
        <w:tabs>
          <w:tab w:val="left" w:pos="0"/>
        </w:tabs>
        <w:spacing w:after="0" w:line="360" w:lineRule="auto"/>
        <w:rPr>
          <w:rFonts w:ascii="Times New Roman" w:hAnsi="Times New Roman" w:cs="Times New Roman"/>
          <w:b/>
          <w:sz w:val="24"/>
          <w:szCs w:val="24"/>
        </w:rPr>
      </w:pPr>
    </w:p>
    <w:p w:rsidR="00B96413" w:rsidRPr="00EC1AB2" w:rsidRDefault="00B96413" w:rsidP="007A02A8">
      <w:pPr>
        <w:tabs>
          <w:tab w:val="left" w:pos="0"/>
        </w:tabs>
        <w:spacing w:after="0" w:line="360" w:lineRule="auto"/>
        <w:rPr>
          <w:rFonts w:ascii="Times New Roman" w:hAnsi="Times New Roman" w:cs="Times New Roman"/>
          <w:b/>
          <w:sz w:val="24"/>
          <w:szCs w:val="24"/>
        </w:rPr>
      </w:pPr>
    </w:p>
    <w:p w:rsidR="00B96413" w:rsidRPr="00EC1AB2" w:rsidRDefault="00B96413" w:rsidP="007A02A8">
      <w:pPr>
        <w:tabs>
          <w:tab w:val="left" w:pos="0"/>
        </w:tabs>
        <w:spacing w:after="0" w:line="360" w:lineRule="auto"/>
        <w:ind w:firstLine="6300"/>
        <w:rPr>
          <w:rFonts w:ascii="Times New Roman" w:hAnsi="Times New Roman" w:cs="Times New Roman"/>
          <w:b/>
          <w:sz w:val="24"/>
          <w:szCs w:val="24"/>
        </w:rPr>
      </w:pPr>
    </w:p>
    <w:p w:rsidR="00B96413" w:rsidRPr="00EC1AB2" w:rsidRDefault="00B96413" w:rsidP="007A02A8">
      <w:pPr>
        <w:tabs>
          <w:tab w:val="left" w:pos="0"/>
        </w:tabs>
        <w:spacing w:after="0" w:line="360" w:lineRule="auto"/>
        <w:rPr>
          <w:rFonts w:ascii="Times New Roman" w:hAnsi="Times New Roman" w:cs="Times New Roman"/>
          <w:b/>
          <w:sz w:val="28"/>
          <w:szCs w:val="28"/>
        </w:rPr>
      </w:pPr>
      <w:r w:rsidRPr="00EC1AB2">
        <w:rPr>
          <w:rFonts w:ascii="Times New Roman" w:hAnsi="Times New Roman" w:cs="Times New Roman"/>
          <w:b/>
          <w:sz w:val="24"/>
          <w:szCs w:val="24"/>
        </w:rPr>
        <w:t xml:space="preserve">                                                                                                      </w:t>
      </w:r>
      <w:r w:rsidRPr="00EC1AB2">
        <w:rPr>
          <w:rFonts w:ascii="Times New Roman" w:hAnsi="Times New Roman" w:cs="Times New Roman"/>
          <w:b/>
          <w:sz w:val="28"/>
          <w:szCs w:val="28"/>
        </w:rPr>
        <w:t>Vadovė</w:t>
      </w:r>
    </w:p>
    <w:p w:rsidR="00B96413" w:rsidRPr="00EC1AB2" w:rsidRDefault="00B96413" w:rsidP="007A02A8">
      <w:pPr>
        <w:tabs>
          <w:tab w:val="left" w:pos="0"/>
        </w:tabs>
        <w:spacing w:after="0" w:line="360" w:lineRule="auto"/>
        <w:ind w:right="28"/>
        <w:rPr>
          <w:rFonts w:ascii="Times New Roman" w:hAnsi="Times New Roman" w:cs="Times New Roman"/>
          <w:b/>
          <w:sz w:val="28"/>
          <w:szCs w:val="28"/>
        </w:rPr>
      </w:pPr>
      <w:r w:rsidRPr="00EC1AB2">
        <w:rPr>
          <w:rFonts w:ascii="Times New Roman" w:hAnsi="Times New Roman" w:cs="Times New Roman"/>
          <w:b/>
          <w:sz w:val="28"/>
          <w:szCs w:val="28"/>
        </w:rPr>
        <w:t xml:space="preserve">                                                                            </w:t>
      </w:r>
      <w:r w:rsidR="003618C0" w:rsidRPr="00EC1AB2">
        <w:rPr>
          <w:rFonts w:ascii="Times New Roman" w:hAnsi="Times New Roman" w:cs="Times New Roman"/>
          <w:b/>
          <w:sz w:val="28"/>
          <w:szCs w:val="28"/>
        </w:rPr>
        <w:t xml:space="preserve">            prof. dr. I. Mačeri</w:t>
      </w:r>
      <w:r w:rsidRPr="00EC1AB2">
        <w:rPr>
          <w:rFonts w:ascii="Times New Roman" w:hAnsi="Times New Roman" w:cs="Times New Roman"/>
          <w:b/>
          <w:sz w:val="28"/>
          <w:szCs w:val="28"/>
        </w:rPr>
        <w:t>n</w:t>
      </w:r>
      <w:r w:rsidR="003618C0" w:rsidRPr="00EC1AB2">
        <w:rPr>
          <w:rFonts w:ascii="Times New Roman" w:hAnsi="Times New Roman" w:cs="Times New Roman"/>
          <w:b/>
          <w:sz w:val="28"/>
          <w:szCs w:val="28"/>
        </w:rPr>
        <w:t>s</w:t>
      </w:r>
      <w:r w:rsidRPr="00EC1AB2">
        <w:rPr>
          <w:rFonts w:ascii="Times New Roman" w:hAnsi="Times New Roman" w:cs="Times New Roman"/>
          <w:b/>
          <w:sz w:val="28"/>
          <w:szCs w:val="28"/>
        </w:rPr>
        <w:t>kienė</w:t>
      </w:r>
    </w:p>
    <w:p w:rsidR="00B96413" w:rsidRPr="00EC1AB2" w:rsidRDefault="00B96413" w:rsidP="007A02A8">
      <w:pPr>
        <w:spacing w:after="0" w:line="360" w:lineRule="auto"/>
        <w:rPr>
          <w:rFonts w:ascii="Times New Roman" w:hAnsi="Times New Roman" w:cs="Times New Roman"/>
          <w:b/>
          <w:sz w:val="28"/>
          <w:szCs w:val="28"/>
        </w:rPr>
      </w:pPr>
    </w:p>
    <w:p w:rsidR="00B96413" w:rsidRPr="00EC1AB2" w:rsidRDefault="00B96413" w:rsidP="007A02A8">
      <w:pPr>
        <w:spacing w:after="0" w:line="360" w:lineRule="auto"/>
        <w:rPr>
          <w:rFonts w:ascii="Times New Roman" w:hAnsi="Times New Roman" w:cs="Times New Roman"/>
          <w:b/>
          <w:sz w:val="24"/>
          <w:szCs w:val="24"/>
        </w:rPr>
      </w:pPr>
    </w:p>
    <w:p w:rsidR="00B96413" w:rsidRPr="00EC1AB2" w:rsidRDefault="00B96413" w:rsidP="007A02A8">
      <w:pPr>
        <w:spacing w:after="0" w:line="360" w:lineRule="auto"/>
        <w:rPr>
          <w:rFonts w:ascii="Times New Roman" w:hAnsi="Times New Roman" w:cs="Times New Roman"/>
          <w:b/>
          <w:sz w:val="24"/>
          <w:szCs w:val="24"/>
        </w:rPr>
      </w:pPr>
    </w:p>
    <w:p w:rsidR="00B96413" w:rsidRPr="00EC1AB2" w:rsidRDefault="00B96413" w:rsidP="007A02A8">
      <w:pPr>
        <w:spacing w:after="0" w:line="360" w:lineRule="auto"/>
        <w:rPr>
          <w:rFonts w:ascii="Times New Roman" w:hAnsi="Times New Roman" w:cs="Times New Roman"/>
          <w:b/>
          <w:sz w:val="24"/>
          <w:szCs w:val="24"/>
        </w:rPr>
      </w:pPr>
    </w:p>
    <w:p w:rsidR="00B96413" w:rsidRPr="00EC1AB2" w:rsidRDefault="00B96413" w:rsidP="007A02A8">
      <w:pPr>
        <w:spacing w:after="0" w:line="360" w:lineRule="auto"/>
        <w:rPr>
          <w:rFonts w:ascii="Times New Roman" w:hAnsi="Times New Roman" w:cs="Times New Roman"/>
          <w:b/>
          <w:sz w:val="24"/>
          <w:szCs w:val="24"/>
        </w:rPr>
      </w:pPr>
    </w:p>
    <w:p w:rsidR="00B96413" w:rsidRPr="00EC1AB2" w:rsidRDefault="00B96413" w:rsidP="007A02A8">
      <w:pPr>
        <w:spacing w:after="0" w:line="360" w:lineRule="auto"/>
        <w:rPr>
          <w:rFonts w:ascii="Times New Roman" w:hAnsi="Times New Roman" w:cs="Times New Roman"/>
          <w:b/>
          <w:sz w:val="24"/>
          <w:szCs w:val="24"/>
        </w:rPr>
      </w:pPr>
    </w:p>
    <w:p w:rsidR="00B96413" w:rsidRPr="00EC1AB2" w:rsidRDefault="00B96413" w:rsidP="007A02A8">
      <w:pPr>
        <w:spacing w:after="0" w:line="360" w:lineRule="auto"/>
        <w:rPr>
          <w:rFonts w:ascii="Times New Roman" w:hAnsi="Times New Roman" w:cs="Times New Roman"/>
          <w:b/>
          <w:sz w:val="24"/>
          <w:szCs w:val="24"/>
        </w:rPr>
      </w:pPr>
    </w:p>
    <w:p w:rsidR="008B4C7B" w:rsidRPr="00EC1AB2" w:rsidRDefault="008B4C7B" w:rsidP="007A02A8">
      <w:pPr>
        <w:spacing w:after="0" w:line="360" w:lineRule="auto"/>
        <w:rPr>
          <w:rFonts w:ascii="Times New Roman" w:hAnsi="Times New Roman" w:cs="Times New Roman"/>
          <w:b/>
          <w:sz w:val="24"/>
          <w:szCs w:val="24"/>
        </w:rPr>
      </w:pPr>
    </w:p>
    <w:p w:rsidR="008B4C7B" w:rsidRPr="00EC1AB2" w:rsidRDefault="008B4C7B" w:rsidP="007A02A8">
      <w:pPr>
        <w:spacing w:after="0" w:line="360" w:lineRule="auto"/>
        <w:rPr>
          <w:rFonts w:ascii="Times New Roman" w:hAnsi="Times New Roman" w:cs="Times New Roman"/>
          <w:b/>
          <w:sz w:val="24"/>
          <w:szCs w:val="24"/>
        </w:rPr>
      </w:pPr>
    </w:p>
    <w:p w:rsidR="00B96413" w:rsidRPr="00EC1AB2" w:rsidRDefault="00B96413" w:rsidP="007A02A8">
      <w:pPr>
        <w:spacing w:after="0" w:line="360" w:lineRule="auto"/>
        <w:rPr>
          <w:rFonts w:ascii="Times New Roman" w:hAnsi="Times New Roman" w:cs="Times New Roman"/>
          <w:b/>
          <w:sz w:val="24"/>
          <w:szCs w:val="24"/>
        </w:rPr>
      </w:pPr>
    </w:p>
    <w:p w:rsidR="00BA5BE2" w:rsidRPr="00EC1AB2" w:rsidRDefault="008B4C7B" w:rsidP="007A02A8">
      <w:pPr>
        <w:spacing w:after="0" w:line="360" w:lineRule="auto"/>
        <w:jc w:val="center"/>
        <w:rPr>
          <w:rFonts w:ascii="Times New Roman" w:hAnsi="Times New Roman" w:cs="Times New Roman"/>
          <w:b/>
          <w:sz w:val="28"/>
          <w:szCs w:val="28"/>
        </w:rPr>
      </w:pPr>
      <w:r w:rsidRPr="00EC1AB2">
        <w:rPr>
          <w:rFonts w:ascii="Times New Roman" w:hAnsi="Times New Roman" w:cs="Times New Roman"/>
          <w:b/>
          <w:sz w:val="28"/>
          <w:szCs w:val="28"/>
        </w:rPr>
        <w:t>VILNIUS, 2012</w:t>
      </w:r>
    </w:p>
    <w:p w:rsidR="008248B9" w:rsidRPr="00EC1AB2" w:rsidRDefault="008248B9" w:rsidP="007A02A8">
      <w:pPr>
        <w:tabs>
          <w:tab w:val="left" w:pos="0"/>
          <w:tab w:val="left" w:pos="3402"/>
        </w:tabs>
        <w:spacing w:after="0" w:line="360" w:lineRule="auto"/>
        <w:jc w:val="center"/>
        <w:rPr>
          <w:rFonts w:ascii="Times New Roman" w:hAnsi="Times New Roman" w:cs="Times New Roman"/>
          <w:b/>
          <w:sz w:val="32"/>
          <w:szCs w:val="32"/>
        </w:rPr>
      </w:pPr>
      <w:r w:rsidRPr="00EC1AB2">
        <w:rPr>
          <w:rFonts w:ascii="Times New Roman" w:hAnsi="Times New Roman" w:cs="Times New Roman"/>
          <w:b/>
          <w:sz w:val="32"/>
          <w:szCs w:val="32"/>
        </w:rPr>
        <w:lastRenderedPageBreak/>
        <w:t xml:space="preserve">MYKOLO ROMERIO UNIVERSITETAS </w:t>
      </w:r>
    </w:p>
    <w:p w:rsidR="008248B9" w:rsidRPr="00EC1AB2" w:rsidRDefault="008248B9" w:rsidP="007A02A8">
      <w:pPr>
        <w:tabs>
          <w:tab w:val="left" w:pos="0"/>
          <w:tab w:val="left" w:pos="3402"/>
        </w:tabs>
        <w:spacing w:after="0" w:line="360" w:lineRule="auto"/>
        <w:jc w:val="center"/>
        <w:rPr>
          <w:rFonts w:ascii="Times New Roman" w:hAnsi="Times New Roman" w:cs="Times New Roman"/>
          <w:b/>
          <w:bCs/>
          <w:sz w:val="28"/>
          <w:szCs w:val="28"/>
        </w:rPr>
      </w:pPr>
      <w:r w:rsidRPr="00EC1AB2">
        <w:rPr>
          <w:rFonts w:ascii="Times New Roman" w:hAnsi="Times New Roman" w:cs="Times New Roman"/>
          <w:b/>
          <w:bCs/>
          <w:sz w:val="28"/>
          <w:szCs w:val="28"/>
        </w:rPr>
        <w:t xml:space="preserve">EKONOMIKOS IR FINANSŲ VALDYMO FAKULTETAS </w:t>
      </w:r>
    </w:p>
    <w:p w:rsidR="008248B9" w:rsidRPr="00EC1AB2" w:rsidRDefault="008248B9" w:rsidP="007A02A8">
      <w:pPr>
        <w:tabs>
          <w:tab w:val="left" w:pos="0"/>
          <w:tab w:val="left" w:pos="3402"/>
        </w:tabs>
        <w:spacing w:after="0" w:line="360" w:lineRule="auto"/>
        <w:jc w:val="center"/>
        <w:rPr>
          <w:rFonts w:ascii="Times New Roman" w:hAnsi="Times New Roman" w:cs="Times New Roman"/>
          <w:b/>
          <w:sz w:val="24"/>
          <w:szCs w:val="24"/>
        </w:rPr>
      </w:pPr>
      <w:r w:rsidRPr="00EC1AB2">
        <w:rPr>
          <w:rFonts w:ascii="Times New Roman" w:hAnsi="Times New Roman" w:cs="Times New Roman"/>
          <w:b/>
          <w:sz w:val="24"/>
          <w:szCs w:val="24"/>
        </w:rPr>
        <w:t xml:space="preserve">BANKININKYSTĖS IR INVESTICIJŲ KATEDRA </w:t>
      </w:r>
    </w:p>
    <w:p w:rsidR="008248B9" w:rsidRPr="00EC1AB2" w:rsidRDefault="008248B9" w:rsidP="007A02A8">
      <w:pPr>
        <w:tabs>
          <w:tab w:val="left" w:pos="0"/>
          <w:tab w:val="left" w:pos="3402"/>
        </w:tabs>
        <w:spacing w:after="0" w:line="360" w:lineRule="auto"/>
        <w:jc w:val="center"/>
        <w:rPr>
          <w:rFonts w:ascii="Times New Roman" w:hAnsi="Times New Roman" w:cs="Times New Roman"/>
          <w:b/>
          <w:sz w:val="24"/>
          <w:szCs w:val="24"/>
        </w:rPr>
      </w:pPr>
    </w:p>
    <w:p w:rsidR="008248B9" w:rsidRPr="00EC1AB2" w:rsidRDefault="008248B9" w:rsidP="007A02A8">
      <w:pPr>
        <w:tabs>
          <w:tab w:val="left" w:pos="0"/>
          <w:tab w:val="left" w:pos="3402"/>
        </w:tabs>
        <w:spacing w:after="0" w:line="360" w:lineRule="auto"/>
        <w:rPr>
          <w:rFonts w:ascii="Times New Roman" w:hAnsi="Times New Roman" w:cs="Times New Roman"/>
          <w:b/>
          <w:sz w:val="24"/>
          <w:szCs w:val="24"/>
        </w:rPr>
      </w:pPr>
    </w:p>
    <w:p w:rsidR="008248B9" w:rsidRPr="00EC1AB2" w:rsidRDefault="008248B9" w:rsidP="007A02A8">
      <w:pPr>
        <w:tabs>
          <w:tab w:val="left" w:pos="0"/>
          <w:tab w:val="left" w:pos="3402"/>
        </w:tabs>
        <w:spacing w:after="0" w:line="360" w:lineRule="auto"/>
        <w:rPr>
          <w:rFonts w:ascii="Times New Roman" w:hAnsi="Times New Roman" w:cs="Times New Roman"/>
          <w:b/>
          <w:sz w:val="24"/>
          <w:szCs w:val="24"/>
        </w:rPr>
      </w:pPr>
    </w:p>
    <w:p w:rsidR="008248B9" w:rsidRPr="00EC1AB2" w:rsidRDefault="008248B9" w:rsidP="007A02A8">
      <w:pPr>
        <w:tabs>
          <w:tab w:val="left" w:pos="0"/>
          <w:tab w:val="left" w:pos="3402"/>
        </w:tabs>
        <w:spacing w:after="0" w:line="360" w:lineRule="auto"/>
        <w:rPr>
          <w:rFonts w:ascii="Times New Roman" w:hAnsi="Times New Roman" w:cs="Times New Roman"/>
          <w:b/>
          <w:sz w:val="24"/>
          <w:szCs w:val="24"/>
        </w:rPr>
      </w:pPr>
    </w:p>
    <w:p w:rsidR="008248B9" w:rsidRPr="00EC1AB2" w:rsidRDefault="008248B9" w:rsidP="007A02A8">
      <w:pPr>
        <w:tabs>
          <w:tab w:val="left" w:pos="0"/>
          <w:tab w:val="left" w:pos="3402"/>
        </w:tabs>
        <w:spacing w:after="0" w:line="360" w:lineRule="auto"/>
        <w:jc w:val="center"/>
        <w:rPr>
          <w:rFonts w:ascii="Times New Roman" w:hAnsi="Times New Roman" w:cs="Times New Roman"/>
          <w:b/>
          <w:sz w:val="24"/>
          <w:szCs w:val="24"/>
        </w:rPr>
      </w:pPr>
    </w:p>
    <w:p w:rsidR="008248B9" w:rsidRPr="00EC1AB2" w:rsidRDefault="008248B9" w:rsidP="007A02A8">
      <w:pPr>
        <w:tabs>
          <w:tab w:val="left" w:pos="0"/>
          <w:tab w:val="left" w:pos="3402"/>
        </w:tabs>
        <w:spacing w:after="0" w:line="360" w:lineRule="auto"/>
        <w:ind w:right="-2"/>
        <w:jc w:val="center"/>
        <w:rPr>
          <w:rFonts w:ascii="Times New Roman" w:hAnsi="Times New Roman" w:cs="Times New Roman"/>
          <w:b/>
          <w:sz w:val="40"/>
          <w:szCs w:val="40"/>
        </w:rPr>
      </w:pPr>
      <w:r w:rsidRPr="00EC1AB2">
        <w:rPr>
          <w:rFonts w:ascii="Times New Roman" w:hAnsi="Times New Roman" w:cs="Times New Roman"/>
          <w:b/>
          <w:sz w:val="40"/>
          <w:szCs w:val="40"/>
        </w:rPr>
        <w:t>RIZIKOS KAPITALO FONDŲ PLĖTROS PROBLEMOS LIETUVOJE</w:t>
      </w:r>
    </w:p>
    <w:p w:rsidR="008248B9" w:rsidRPr="00EC1AB2" w:rsidRDefault="008248B9" w:rsidP="007A02A8">
      <w:pPr>
        <w:tabs>
          <w:tab w:val="left" w:pos="0"/>
        </w:tabs>
        <w:spacing w:after="0" w:line="360" w:lineRule="auto"/>
        <w:jc w:val="center"/>
        <w:rPr>
          <w:rFonts w:ascii="Times New Roman" w:hAnsi="Times New Roman" w:cs="Times New Roman"/>
          <w:b/>
          <w:sz w:val="28"/>
          <w:szCs w:val="28"/>
        </w:rPr>
      </w:pPr>
      <w:r w:rsidRPr="00EC1AB2">
        <w:rPr>
          <w:rFonts w:ascii="Times New Roman" w:hAnsi="Times New Roman" w:cs="Times New Roman"/>
          <w:b/>
          <w:sz w:val="28"/>
          <w:szCs w:val="28"/>
        </w:rPr>
        <w:t>Finansų valdymo magistro baigiamasis darbas</w:t>
      </w:r>
    </w:p>
    <w:p w:rsidR="008248B9" w:rsidRPr="00EC1AB2" w:rsidRDefault="008248B9" w:rsidP="007A02A8">
      <w:pPr>
        <w:pStyle w:val="Default"/>
        <w:spacing w:line="360" w:lineRule="auto"/>
        <w:jc w:val="center"/>
        <w:rPr>
          <w:color w:val="auto"/>
          <w:lang w:val="lt-LT"/>
        </w:rPr>
      </w:pPr>
      <w:r w:rsidRPr="00EC1AB2">
        <w:rPr>
          <w:b/>
          <w:color w:val="auto"/>
          <w:sz w:val="28"/>
          <w:szCs w:val="28"/>
          <w:lang w:val="lt-LT"/>
        </w:rPr>
        <w:t>Studijų programa 61N30005</w:t>
      </w:r>
    </w:p>
    <w:tbl>
      <w:tblPr>
        <w:tblW w:w="0" w:type="auto"/>
        <w:tblBorders>
          <w:top w:val="nil"/>
          <w:left w:val="nil"/>
          <w:bottom w:val="nil"/>
          <w:right w:val="nil"/>
        </w:tblBorders>
        <w:tblLayout w:type="fixed"/>
        <w:tblLook w:val="0000" w:firstRow="0" w:lastRow="0" w:firstColumn="0" w:lastColumn="0" w:noHBand="0" w:noVBand="0"/>
      </w:tblPr>
      <w:tblGrid>
        <w:gridCol w:w="1013"/>
      </w:tblGrid>
      <w:tr w:rsidR="008248B9" w:rsidRPr="00EC1AB2" w:rsidTr="00F3420B">
        <w:trPr>
          <w:trHeight w:val="109"/>
        </w:trPr>
        <w:tc>
          <w:tcPr>
            <w:tcW w:w="1013" w:type="dxa"/>
          </w:tcPr>
          <w:p w:rsidR="008248B9" w:rsidRPr="00EC1AB2" w:rsidRDefault="008248B9" w:rsidP="007A02A8">
            <w:pPr>
              <w:autoSpaceDE w:val="0"/>
              <w:autoSpaceDN w:val="0"/>
              <w:adjustRightInd w:val="0"/>
              <w:spacing w:after="0" w:line="360" w:lineRule="auto"/>
              <w:rPr>
                <w:rFonts w:ascii="Times New Roman" w:hAnsi="Times New Roman" w:cs="Times New Roman"/>
                <w:sz w:val="23"/>
                <w:szCs w:val="23"/>
              </w:rPr>
            </w:pPr>
          </w:p>
        </w:tc>
      </w:tr>
    </w:tbl>
    <w:p w:rsidR="008248B9" w:rsidRPr="00EC1AB2" w:rsidRDefault="008248B9" w:rsidP="007A02A8">
      <w:pPr>
        <w:tabs>
          <w:tab w:val="left" w:pos="0"/>
        </w:tabs>
        <w:spacing w:after="0" w:line="360" w:lineRule="auto"/>
        <w:jc w:val="center"/>
        <w:rPr>
          <w:rFonts w:ascii="Times New Roman" w:hAnsi="Times New Roman" w:cs="Times New Roman"/>
          <w:b/>
          <w:sz w:val="28"/>
          <w:szCs w:val="28"/>
        </w:rPr>
      </w:pPr>
    </w:p>
    <w:p w:rsidR="008248B9" w:rsidRPr="00EC1AB2" w:rsidRDefault="008248B9" w:rsidP="007A02A8">
      <w:pPr>
        <w:tabs>
          <w:tab w:val="left" w:pos="0"/>
        </w:tabs>
        <w:spacing w:after="0" w:line="360" w:lineRule="auto"/>
        <w:rPr>
          <w:rFonts w:ascii="Times New Roman" w:hAnsi="Times New Roman" w:cs="Times New Roman"/>
          <w:b/>
          <w:sz w:val="24"/>
          <w:szCs w:val="24"/>
        </w:rPr>
      </w:pPr>
    </w:p>
    <w:p w:rsidR="008248B9" w:rsidRPr="00EC1AB2" w:rsidRDefault="008248B9" w:rsidP="007A02A8">
      <w:pPr>
        <w:tabs>
          <w:tab w:val="left" w:pos="0"/>
        </w:tabs>
        <w:spacing w:after="0" w:line="360" w:lineRule="auto"/>
        <w:rPr>
          <w:rFonts w:ascii="Times New Roman" w:hAnsi="Times New Roman" w:cs="Times New Roman"/>
          <w:b/>
          <w:sz w:val="24"/>
          <w:szCs w:val="24"/>
        </w:rPr>
      </w:pPr>
    </w:p>
    <w:p w:rsidR="008248B9" w:rsidRPr="00EC1AB2" w:rsidRDefault="008248B9" w:rsidP="007A02A8">
      <w:pPr>
        <w:spacing w:after="0" w:line="360" w:lineRule="auto"/>
        <w:jc w:val="center"/>
        <w:rPr>
          <w:rFonts w:ascii="Times New Roman" w:hAnsi="Times New Roman" w:cs="Times New Roman"/>
          <w:b/>
          <w:sz w:val="28"/>
          <w:szCs w:val="28"/>
        </w:rPr>
      </w:pPr>
    </w:p>
    <w:p w:rsidR="008248B9" w:rsidRPr="00EC1AB2" w:rsidRDefault="008248B9" w:rsidP="007A02A8">
      <w:pPr>
        <w:spacing w:after="0" w:line="360" w:lineRule="auto"/>
        <w:jc w:val="center"/>
        <w:rPr>
          <w:rFonts w:ascii="Times New Roman" w:hAnsi="Times New Roman" w:cs="Times New Roman"/>
          <w:b/>
          <w:sz w:val="28"/>
          <w:szCs w:val="28"/>
        </w:rPr>
      </w:pPr>
    </w:p>
    <w:p w:rsidR="008248B9" w:rsidRPr="00EC1AB2" w:rsidRDefault="008248B9" w:rsidP="007A02A8">
      <w:pPr>
        <w:tabs>
          <w:tab w:val="left" w:pos="0"/>
        </w:tabs>
        <w:spacing w:after="0" w:line="360" w:lineRule="auto"/>
        <w:jc w:val="center"/>
        <w:rPr>
          <w:rFonts w:ascii="Times New Roman" w:hAnsi="Times New Roman" w:cs="Times New Roman"/>
          <w:b/>
          <w:sz w:val="24"/>
          <w:szCs w:val="24"/>
        </w:rPr>
      </w:pPr>
      <w:r w:rsidRPr="00EC1AB2">
        <w:rPr>
          <w:rFonts w:ascii="Times New Roman" w:hAnsi="Times New Roman" w:cs="Times New Roman"/>
          <w:b/>
          <w:sz w:val="28"/>
          <w:szCs w:val="28"/>
        </w:rPr>
        <w:t xml:space="preserve">                                        </w:t>
      </w:r>
      <w:r w:rsidRPr="00EC1AB2">
        <w:rPr>
          <w:rFonts w:ascii="Times New Roman" w:hAnsi="Times New Roman" w:cs="Times New Roman"/>
          <w:b/>
          <w:sz w:val="24"/>
          <w:szCs w:val="24"/>
        </w:rPr>
        <w:t>Vadovė</w:t>
      </w:r>
    </w:p>
    <w:p w:rsidR="008248B9" w:rsidRPr="00EC1AB2" w:rsidRDefault="008248B9" w:rsidP="007A02A8">
      <w:pPr>
        <w:tabs>
          <w:tab w:val="left" w:pos="0"/>
        </w:tabs>
        <w:spacing w:after="0" w:line="360" w:lineRule="auto"/>
        <w:ind w:right="28"/>
        <w:rPr>
          <w:rFonts w:ascii="Times New Roman" w:hAnsi="Times New Roman" w:cs="Times New Roman"/>
          <w:b/>
          <w:sz w:val="24"/>
          <w:szCs w:val="24"/>
        </w:rPr>
      </w:pPr>
      <w:r w:rsidRPr="00EC1AB2">
        <w:rPr>
          <w:rFonts w:ascii="Times New Roman" w:hAnsi="Times New Roman" w:cs="Times New Roman"/>
          <w:b/>
          <w:sz w:val="24"/>
          <w:szCs w:val="24"/>
        </w:rPr>
        <w:t xml:space="preserve">                                                                                                       </w:t>
      </w:r>
      <w:r w:rsidR="003618C0" w:rsidRPr="00EC1AB2">
        <w:rPr>
          <w:rFonts w:ascii="Times New Roman" w:hAnsi="Times New Roman" w:cs="Times New Roman"/>
          <w:b/>
          <w:sz w:val="24"/>
          <w:szCs w:val="24"/>
        </w:rPr>
        <w:t xml:space="preserve">            prof. dr. I. Mačeri</w:t>
      </w:r>
      <w:r w:rsidRPr="00EC1AB2">
        <w:rPr>
          <w:rFonts w:ascii="Times New Roman" w:hAnsi="Times New Roman" w:cs="Times New Roman"/>
          <w:b/>
          <w:sz w:val="24"/>
          <w:szCs w:val="24"/>
        </w:rPr>
        <w:t>n</w:t>
      </w:r>
      <w:r w:rsidR="003618C0" w:rsidRPr="00EC1AB2">
        <w:rPr>
          <w:rFonts w:ascii="Times New Roman" w:hAnsi="Times New Roman" w:cs="Times New Roman"/>
          <w:b/>
          <w:sz w:val="24"/>
          <w:szCs w:val="24"/>
        </w:rPr>
        <w:t>s</w:t>
      </w:r>
      <w:r w:rsidRPr="00EC1AB2">
        <w:rPr>
          <w:rFonts w:ascii="Times New Roman" w:hAnsi="Times New Roman" w:cs="Times New Roman"/>
          <w:b/>
          <w:sz w:val="24"/>
          <w:szCs w:val="24"/>
        </w:rPr>
        <w:t>kienė</w:t>
      </w:r>
    </w:p>
    <w:p w:rsidR="003618C0" w:rsidRPr="00EC1AB2" w:rsidRDefault="008248B9" w:rsidP="007A02A8">
      <w:pPr>
        <w:tabs>
          <w:tab w:val="left" w:pos="0"/>
        </w:tabs>
        <w:spacing w:after="0" w:line="360" w:lineRule="auto"/>
        <w:ind w:right="28"/>
        <w:rPr>
          <w:rFonts w:ascii="Times New Roman" w:hAnsi="Times New Roman" w:cs="Times New Roman"/>
          <w:b/>
          <w:sz w:val="24"/>
          <w:szCs w:val="24"/>
        </w:rPr>
      </w:pPr>
      <w:r w:rsidRPr="00EC1AB2">
        <w:rPr>
          <w:rFonts w:ascii="Times New Roman" w:hAnsi="Times New Roman" w:cs="Times New Roman"/>
          <w:b/>
          <w:sz w:val="24"/>
          <w:szCs w:val="24"/>
        </w:rPr>
        <w:t xml:space="preserve">                                                                                                      </w:t>
      </w:r>
    </w:p>
    <w:p w:rsidR="008248B9" w:rsidRPr="00EC1AB2" w:rsidRDefault="003618C0" w:rsidP="007A02A8">
      <w:pPr>
        <w:tabs>
          <w:tab w:val="left" w:pos="0"/>
        </w:tabs>
        <w:spacing w:after="0" w:line="360" w:lineRule="auto"/>
        <w:ind w:right="28"/>
        <w:jc w:val="center"/>
        <w:rPr>
          <w:rFonts w:ascii="Times New Roman" w:hAnsi="Times New Roman" w:cs="Times New Roman"/>
          <w:b/>
          <w:sz w:val="24"/>
          <w:szCs w:val="24"/>
        </w:rPr>
      </w:pPr>
      <w:r w:rsidRPr="00EC1AB2">
        <w:rPr>
          <w:rFonts w:ascii="Times New Roman" w:hAnsi="Times New Roman" w:cs="Times New Roman"/>
          <w:b/>
          <w:sz w:val="24"/>
          <w:szCs w:val="24"/>
        </w:rPr>
        <w:t xml:space="preserve">                                                     </w:t>
      </w:r>
      <w:r w:rsidR="008248B9" w:rsidRPr="00EC1AB2">
        <w:rPr>
          <w:rFonts w:ascii="Times New Roman" w:hAnsi="Times New Roman" w:cs="Times New Roman"/>
          <w:b/>
          <w:sz w:val="24"/>
          <w:szCs w:val="24"/>
        </w:rPr>
        <w:t>2012 03</w:t>
      </w:r>
      <w:r w:rsidRPr="00EC1AB2">
        <w:rPr>
          <w:rFonts w:ascii="Times New Roman" w:hAnsi="Times New Roman" w:cs="Times New Roman"/>
          <w:b/>
          <w:sz w:val="24"/>
          <w:szCs w:val="24"/>
        </w:rPr>
        <w:t xml:space="preserve"> ..</w:t>
      </w:r>
    </w:p>
    <w:p w:rsidR="008248B9" w:rsidRPr="00EC1AB2" w:rsidRDefault="008248B9" w:rsidP="007A02A8">
      <w:pPr>
        <w:spacing w:after="0" w:line="360" w:lineRule="auto"/>
        <w:rPr>
          <w:rFonts w:ascii="Times New Roman" w:hAnsi="Times New Roman" w:cs="Times New Roman"/>
          <w:b/>
          <w:sz w:val="24"/>
          <w:szCs w:val="24"/>
        </w:rPr>
      </w:pPr>
    </w:p>
    <w:p w:rsidR="008248B9" w:rsidRPr="00EC1AB2" w:rsidRDefault="008248B9" w:rsidP="007A02A8">
      <w:pPr>
        <w:spacing w:after="0" w:line="360" w:lineRule="auto"/>
        <w:rPr>
          <w:rFonts w:ascii="Times New Roman" w:hAnsi="Times New Roman" w:cs="Times New Roman"/>
          <w:b/>
          <w:sz w:val="28"/>
          <w:szCs w:val="28"/>
        </w:rPr>
      </w:pPr>
    </w:p>
    <w:p w:rsidR="008248B9" w:rsidRPr="00EC1AB2" w:rsidRDefault="003618C0" w:rsidP="007A02A8">
      <w:pPr>
        <w:spacing w:after="0" w:line="360" w:lineRule="auto"/>
        <w:rPr>
          <w:rFonts w:ascii="Times New Roman" w:hAnsi="Times New Roman" w:cs="Times New Roman"/>
          <w:b/>
          <w:sz w:val="24"/>
          <w:szCs w:val="24"/>
        </w:rPr>
      </w:pPr>
      <w:r w:rsidRPr="00EC1AB2">
        <w:rPr>
          <w:rFonts w:ascii="Times New Roman" w:hAnsi="Times New Roman" w:cs="Times New Roman"/>
          <w:b/>
          <w:sz w:val="24"/>
          <w:szCs w:val="24"/>
        </w:rPr>
        <w:t xml:space="preserve">Recenzentas                                   </w:t>
      </w:r>
      <w:r w:rsidR="008248B9" w:rsidRPr="00EC1AB2">
        <w:rPr>
          <w:rFonts w:ascii="Times New Roman" w:hAnsi="Times New Roman" w:cs="Times New Roman"/>
          <w:b/>
          <w:sz w:val="24"/>
          <w:szCs w:val="24"/>
        </w:rPr>
        <w:t xml:space="preserve">                                         Atliko</w:t>
      </w:r>
    </w:p>
    <w:p w:rsidR="008248B9" w:rsidRPr="00EC1AB2" w:rsidRDefault="008248B9" w:rsidP="007A02A8">
      <w:pPr>
        <w:spacing w:after="0" w:line="360" w:lineRule="auto"/>
        <w:jc w:val="center"/>
        <w:rPr>
          <w:rFonts w:ascii="Times New Roman" w:hAnsi="Times New Roman" w:cs="Times New Roman"/>
          <w:b/>
          <w:sz w:val="24"/>
          <w:szCs w:val="24"/>
        </w:rPr>
      </w:pPr>
      <w:r w:rsidRPr="00EC1AB2">
        <w:rPr>
          <w:rFonts w:ascii="Times New Roman" w:hAnsi="Times New Roman" w:cs="Times New Roman"/>
          <w:b/>
          <w:sz w:val="24"/>
          <w:szCs w:val="24"/>
        </w:rPr>
        <w:t xml:space="preserve">                                                                 </w:t>
      </w:r>
      <w:r w:rsidR="003618C0" w:rsidRPr="00EC1AB2">
        <w:rPr>
          <w:rFonts w:ascii="Times New Roman" w:hAnsi="Times New Roman" w:cs="Times New Roman"/>
          <w:b/>
          <w:sz w:val="24"/>
          <w:szCs w:val="24"/>
        </w:rPr>
        <w:t xml:space="preserve">   FVmns0-01 gr. stud.</w:t>
      </w:r>
    </w:p>
    <w:p w:rsidR="008248B9" w:rsidRPr="00EC1AB2" w:rsidRDefault="008248B9" w:rsidP="007A02A8">
      <w:pPr>
        <w:spacing w:after="0" w:line="360" w:lineRule="auto"/>
        <w:jc w:val="center"/>
        <w:rPr>
          <w:rFonts w:ascii="Times New Roman" w:hAnsi="Times New Roman" w:cs="Times New Roman"/>
          <w:b/>
          <w:sz w:val="24"/>
          <w:szCs w:val="24"/>
        </w:rPr>
      </w:pPr>
      <w:r w:rsidRPr="00EC1AB2">
        <w:rPr>
          <w:rFonts w:ascii="Times New Roman" w:hAnsi="Times New Roman" w:cs="Times New Roman"/>
          <w:b/>
          <w:sz w:val="24"/>
          <w:szCs w:val="24"/>
        </w:rPr>
        <w:t xml:space="preserve">                                                                                    </w:t>
      </w:r>
      <w:r w:rsidR="003618C0" w:rsidRPr="00EC1AB2">
        <w:rPr>
          <w:rFonts w:ascii="Times New Roman" w:hAnsi="Times New Roman" w:cs="Times New Roman"/>
          <w:b/>
          <w:sz w:val="24"/>
          <w:szCs w:val="24"/>
        </w:rPr>
        <w:t xml:space="preserve"> </w:t>
      </w:r>
      <w:r w:rsidRPr="00EC1AB2">
        <w:rPr>
          <w:rFonts w:ascii="Times New Roman" w:hAnsi="Times New Roman" w:cs="Times New Roman"/>
          <w:b/>
          <w:sz w:val="24"/>
          <w:szCs w:val="24"/>
        </w:rPr>
        <w:t xml:space="preserve"> </w:t>
      </w:r>
      <w:r w:rsidR="003618C0" w:rsidRPr="00EC1AB2">
        <w:rPr>
          <w:rFonts w:ascii="Times New Roman" w:hAnsi="Times New Roman" w:cs="Times New Roman"/>
          <w:b/>
          <w:sz w:val="24"/>
          <w:szCs w:val="24"/>
        </w:rPr>
        <w:t xml:space="preserve"> </w:t>
      </w:r>
      <w:r w:rsidRPr="00EC1AB2">
        <w:rPr>
          <w:rFonts w:ascii="Times New Roman" w:hAnsi="Times New Roman" w:cs="Times New Roman"/>
          <w:b/>
          <w:sz w:val="24"/>
          <w:szCs w:val="24"/>
        </w:rPr>
        <w:t>A. Šerkšnaitė</w:t>
      </w:r>
    </w:p>
    <w:p w:rsidR="003618C0" w:rsidRPr="00EC1AB2" w:rsidRDefault="008248B9" w:rsidP="007A02A8">
      <w:pPr>
        <w:spacing w:after="0" w:line="360" w:lineRule="auto"/>
        <w:rPr>
          <w:rFonts w:ascii="Times New Roman" w:hAnsi="Times New Roman" w:cs="Times New Roman"/>
          <w:b/>
          <w:sz w:val="24"/>
          <w:szCs w:val="24"/>
        </w:rPr>
      </w:pPr>
      <w:r w:rsidRPr="00EC1AB2">
        <w:rPr>
          <w:rFonts w:ascii="Times New Roman" w:hAnsi="Times New Roman" w:cs="Times New Roman"/>
          <w:b/>
          <w:sz w:val="24"/>
          <w:szCs w:val="24"/>
        </w:rPr>
        <w:t xml:space="preserve">                                                                                                  </w:t>
      </w:r>
    </w:p>
    <w:p w:rsidR="008248B9" w:rsidRPr="00EC1AB2" w:rsidRDefault="003618C0" w:rsidP="00DF4E36">
      <w:pPr>
        <w:spacing w:after="0" w:line="360" w:lineRule="auto"/>
        <w:rPr>
          <w:rFonts w:ascii="Times New Roman" w:hAnsi="Times New Roman" w:cs="Times New Roman"/>
          <w:b/>
          <w:sz w:val="24"/>
          <w:szCs w:val="24"/>
        </w:rPr>
      </w:pPr>
      <w:r w:rsidRPr="00EC1AB2">
        <w:rPr>
          <w:rFonts w:ascii="Times New Roman" w:hAnsi="Times New Roman" w:cs="Times New Roman"/>
          <w:b/>
          <w:sz w:val="24"/>
          <w:szCs w:val="24"/>
        </w:rPr>
        <w:t xml:space="preserve">2012 04 ..                                                                                 </w:t>
      </w:r>
      <w:r w:rsidR="008248B9" w:rsidRPr="00EC1AB2">
        <w:rPr>
          <w:rFonts w:ascii="Times New Roman" w:hAnsi="Times New Roman" w:cs="Times New Roman"/>
          <w:b/>
          <w:sz w:val="24"/>
          <w:szCs w:val="24"/>
        </w:rPr>
        <w:t>2012 03</w:t>
      </w:r>
      <w:r w:rsidRPr="00EC1AB2">
        <w:rPr>
          <w:rFonts w:ascii="Times New Roman" w:hAnsi="Times New Roman" w:cs="Times New Roman"/>
          <w:b/>
          <w:sz w:val="24"/>
          <w:szCs w:val="24"/>
        </w:rPr>
        <w:t xml:space="preserve"> ..</w:t>
      </w:r>
    </w:p>
    <w:p w:rsidR="008248B9" w:rsidRPr="00EC1AB2" w:rsidRDefault="008248B9" w:rsidP="007A02A8">
      <w:pPr>
        <w:spacing w:after="0" w:line="360" w:lineRule="auto"/>
        <w:rPr>
          <w:rFonts w:ascii="Times New Roman" w:hAnsi="Times New Roman" w:cs="Times New Roman"/>
          <w:b/>
          <w:sz w:val="28"/>
          <w:szCs w:val="28"/>
        </w:rPr>
      </w:pPr>
    </w:p>
    <w:p w:rsidR="00DE3105" w:rsidRPr="00EC1AB2" w:rsidRDefault="00DE3105" w:rsidP="007A02A8">
      <w:pPr>
        <w:spacing w:after="0" w:line="360" w:lineRule="auto"/>
        <w:jc w:val="center"/>
        <w:rPr>
          <w:rFonts w:ascii="Times New Roman" w:hAnsi="Times New Roman" w:cs="Times New Roman"/>
          <w:b/>
          <w:sz w:val="28"/>
          <w:szCs w:val="28"/>
        </w:rPr>
      </w:pPr>
    </w:p>
    <w:p w:rsidR="00B404E5" w:rsidRPr="00EC1AB2" w:rsidRDefault="00F804BE" w:rsidP="007A02A8">
      <w:pPr>
        <w:spacing w:after="0" w:line="360" w:lineRule="auto"/>
        <w:jc w:val="center"/>
        <w:rPr>
          <w:rFonts w:ascii="Times New Roman" w:hAnsi="Times New Roman" w:cs="Times New Roman"/>
          <w:b/>
          <w:sz w:val="28"/>
          <w:szCs w:val="28"/>
        </w:rPr>
        <w:sectPr w:rsidR="00B404E5" w:rsidRPr="00EC1AB2" w:rsidSect="007F1325">
          <w:headerReference w:type="default" r:id="rId9"/>
          <w:pgSz w:w="11906" w:h="16838"/>
          <w:pgMar w:top="1134" w:right="567" w:bottom="1134" w:left="1418" w:header="567" w:footer="567" w:gutter="0"/>
          <w:cols w:space="1296"/>
          <w:docGrid w:linePitch="360"/>
        </w:sectPr>
      </w:pPr>
      <w:r w:rsidRPr="00EC1AB2">
        <w:rPr>
          <w:rFonts w:ascii="Times New Roman" w:hAnsi="Times New Roman" w:cs="Times New Roman"/>
          <w:b/>
          <w:sz w:val="28"/>
          <w:szCs w:val="28"/>
        </w:rPr>
        <w:t>VILNIUS, 2012</w:t>
      </w:r>
    </w:p>
    <w:p w:rsidR="00997551" w:rsidRPr="00EC1AB2" w:rsidRDefault="008C0B40" w:rsidP="007A02A8">
      <w:pPr>
        <w:spacing w:after="0" w:line="360" w:lineRule="auto"/>
        <w:jc w:val="center"/>
        <w:rPr>
          <w:rFonts w:ascii="Times New Roman" w:hAnsi="Times New Roman" w:cs="Times New Roman"/>
          <w:b/>
          <w:sz w:val="28"/>
          <w:szCs w:val="28"/>
        </w:rPr>
      </w:pPr>
      <w:r w:rsidRPr="00EC1AB2">
        <w:rPr>
          <w:rFonts w:ascii="Times New Roman" w:hAnsi="Times New Roman" w:cs="Times New Roman"/>
          <w:b/>
          <w:sz w:val="28"/>
          <w:szCs w:val="28"/>
        </w:rPr>
        <w:lastRenderedPageBreak/>
        <w:t>TURINYS</w:t>
      </w:r>
    </w:p>
    <w:sdt>
      <w:sdtPr>
        <w:rPr>
          <w:rFonts w:ascii="Times New Roman" w:hAnsi="Times New Roman" w:cs="Times New Roman"/>
          <w:b/>
          <w:bCs/>
        </w:rPr>
        <w:id w:val="448674509"/>
        <w:docPartObj>
          <w:docPartGallery w:val="Table of Contents"/>
          <w:docPartUnique/>
        </w:docPartObj>
      </w:sdtPr>
      <w:sdtEndPr>
        <w:rPr>
          <w:b w:val="0"/>
          <w:bCs w:val="0"/>
          <w:noProof/>
          <w:sz w:val="24"/>
          <w:szCs w:val="24"/>
        </w:rPr>
      </w:sdtEndPr>
      <w:sdtContent>
        <w:p w:rsidR="00AF08F6" w:rsidRPr="00EC1AB2" w:rsidRDefault="00091BB8" w:rsidP="00AF08F6">
          <w:pPr>
            <w:pStyle w:val="TOC1"/>
            <w:rPr>
              <w:rFonts w:ascii="Times New Roman" w:eastAsiaTheme="minorEastAsia" w:hAnsi="Times New Roman" w:cs="Times New Roman"/>
              <w:noProof/>
              <w:sz w:val="24"/>
              <w:szCs w:val="24"/>
              <w:lang w:eastAsia="lt-LT"/>
            </w:rPr>
          </w:pPr>
          <w:r w:rsidRPr="00EC1AB2">
            <w:rPr>
              <w:rFonts w:ascii="Times New Roman" w:hAnsi="Times New Roman" w:cs="Times New Roman"/>
              <w:b/>
              <w:bCs/>
              <w:sz w:val="24"/>
              <w:szCs w:val="24"/>
            </w:rPr>
            <w:fldChar w:fldCharType="begin"/>
          </w:r>
          <w:r w:rsidRPr="00EC1AB2">
            <w:rPr>
              <w:rFonts w:ascii="Times New Roman" w:hAnsi="Times New Roman" w:cs="Times New Roman"/>
              <w:sz w:val="24"/>
              <w:szCs w:val="24"/>
            </w:rPr>
            <w:instrText xml:space="preserve"> TOC \o "1-3" \h \z \u </w:instrText>
          </w:r>
          <w:r w:rsidRPr="00EC1AB2">
            <w:rPr>
              <w:rFonts w:ascii="Times New Roman" w:hAnsi="Times New Roman" w:cs="Times New Roman"/>
              <w:b/>
              <w:bCs/>
              <w:sz w:val="24"/>
              <w:szCs w:val="24"/>
            </w:rPr>
            <w:fldChar w:fldCharType="separate"/>
          </w:r>
        </w:p>
        <w:p w:rsidR="00AF08F6" w:rsidRPr="00EC1AB2" w:rsidRDefault="00EC1AB2">
          <w:pPr>
            <w:pStyle w:val="TOC1"/>
            <w:rPr>
              <w:rFonts w:ascii="Times New Roman" w:eastAsiaTheme="minorEastAsia" w:hAnsi="Times New Roman" w:cs="Times New Roman"/>
              <w:noProof/>
              <w:sz w:val="24"/>
              <w:szCs w:val="24"/>
              <w:lang w:eastAsia="lt-LT"/>
            </w:rPr>
          </w:pPr>
          <w:hyperlink w:anchor="_Toc321092694" w:history="1">
            <w:r w:rsidR="00AF08F6" w:rsidRPr="00EC1AB2">
              <w:rPr>
                <w:rStyle w:val="Hyperlink"/>
                <w:rFonts w:ascii="Times New Roman" w:hAnsi="Times New Roman" w:cs="Times New Roman"/>
                <w:noProof/>
                <w:sz w:val="24"/>
                <w:szCs w:val="24"/>
              </w:rPr>
              <w:t>1. RIZIKOS KAPITALO FONDŲ TEORINIAI ASPEKTAI</w:t>
            </w:r>
            <w:r w:rsidR="00AF08F6" w:rsidRPr="00EC1AB2">
              <w:rPr>
                <w:rFonts w:ascii="Times New Roman" w:hAnsi="Times New Roman" w:cs="Times New Roman"/>
                <w:noProof/>
                <w:webHidden/>
                <w:sz w:val="24"/>
                <w:szCs w:val="24"/>
              </w:rPr>
              <w:tab/>
            </w:r>
            <w:r w:rsidR="00AF08F6" w:rsidRPr="00EC1AB2">
              <w:rPr>
                <w:rFonts w:ascii="Times New Roman" w:hAnsi="Times New Roman" w:cs="Times New Roman"/>
                <w:noProof/>
                <w:webHidden/>
                <w:sz w:val="24"/>
                <w:szCs w:val="24"/>
              </w:rPr>
              <w:fldChar w:fldCharType="begin"/>
            </w:r>
            <w:r w:rsidR="00AF08F6" w:rsidRPr="00EC1AB2">
              <w:rPr>
                <w:rFonts w:ascii="Times New Roman" w:hAnsi="Times New Roman" w:cs="Times New Roman"/>
                <w:noProof/>
                <w:webHidden/>
                <w:sz w:val="24"/>
                <w:szCs w:val="24"/>
              </w:rPr>
              <w:instrText xml:space="preserve"> PAGEREF _Toc321092694 \h </w:instrText>
            </w:r>
            <w:r w:rsidR="00AF08F6" w:rsidRPr="00EC1AB2">
              <w:rPr>
                <w:rFonts w:ascii="Times New Roman" w:hAnsi="Times New Roman" w:cs="Times New Roman"/>
                <w:noProof/>
                <w:webHidden/>
                <w:sz w:val="24"/>
                <w:szCs w:val="24"/>
              </w:rPr>
            </w:r>
            <w:r w:rsidR="00AF08F6"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8</w:t>
            </w:r>
            <w:r w:rsidR="00AF08F6" w:rsidRPr="00EC1AB2">
              <w:rPr>
                <w:rFonts w:ascii="Times New Roman" w:hAnsi="Times New Roman" w:cs="Times New Roman"/>
                <w:noProof/>
                <w:webHidden/>
                <w:sz w:val="24"/>
                <w:szCs w:val="24"/>
              </w:rPr>
              <w:fldChar w:fldCharType="end"/>
            </w:r>
          </w:hyperlink>
        </w:p>
        <w:p w:rsidR="00AF08F6" w:rsidRPr="00EC1AB2" w:rsidRDefault="00EC1AB2">
          <w:pPr>
            <w:pStyle w:val="TOC2"/>
            <w:rPr>
              <w:rFonts w:ascii="Times New Roman" w:eastAsiaTheme="minorEastAsia" w:hAnsi="Times New Roman"/>
              <w:noProof/>
              <w:sz w:val="24"/>
              <w:szCs w:val="24"/>
              <w:lang w:val="lt-LT" w:eastAsia="lt-LT"/>
            </w:rPr>
          </w:pPr>
          <w:hyperlink w:anchor="_Toc321092695" w:history="1">
            <w:r w:rsidR="00AF08F6" w:rsidRPr="00EC1AB2">
              <w:rPr>
                <w:rStyle w:val="Hyperlink"/>
                <w:rFonts w:ascii="Times New Roman" w:hAnsi="Times New Roman"/>
                <w:noProof/>
                <w:sz w:val="24"/>
                <w:szCs w:val="24"/>
                <w:lang w:val="lt-LT"/>
              </w:rPr>
              <w:t>1.1.</w:t>
            </w:r>
            <w:r w:rsidR="00AF08F6" w:rsidRPr="00EC1AB2">
              <w:rPr>
                <w:rFonts w:ascii="Times New Roman" w:eastAsiaTheme="minorEastAsia" w:hAnsi="Times New Roman"/>
                <w:noProof/>
                <w:sz w:val="24"/>
                <w:szCs w:val="24"/>
                <w:lang w:val="lt-LT" w:eastAsia="lt-LT"/>
              </w:rPr>
              <w:tab/>
            </w:r>
            <w:r w:rsidR="00AF08F6" w:rsidRPr="00EC1AB2">
              <w:rPr>
                <w:rStyle w:val="Hyperlink"/>
                <w:rFonts w:ascii="Times New Roman" w:hAnsi="Times New Roman"/>
                <w:noProof/>
                <w:sz w:val="24"/>
                <w:szCs w:val="24"/>
                <w:lang w:val="lt-LT"/>
              </w:rPr>
              <w:t>Rizikos kapitalo fondų koncepcija</w:t>
            </w:r>
            <w:r w:rsidR="00AF08F6" w:rsidRPr="00EC1AB2">
              <w:rPr>
                <w:rFonts w:ascii="Times New Roman" w:hAnsi="Times New Roman"/>
                <w:noProof/>
                <w:webHidden/>
                <w:sz w:val="24"/>
                <w:szCs w:val="24"/>
                <w:lang w:val="lt-LT"/>
              </w:rPr>
              <w:tab/>
            </w:r>
            <w:r w:rsidR="00AF08F6" w:rsidRPr="00EC1AB2">
              <w:rPr>
                <w:rFonts w:ascii="Times New Roman" w:hAnsi="Times New Roman"/>
                <w:noProof/>
                <w:webHidden/>
                <w:sz w:val="24"/>
                <w:szCs w:val="24"/>
                <w:lang w:val="lt-LT"/>
              </w:rPr>
              <w:fldChar w:fldCharType="begin"/>
            </w:r>
            <w:r w:rsidR="00AF08F6" w:rsidRPr="00EC1AB2">
              <w:rPr>
                <w:rFonts w:ascii="Times New Roman" w:hAnsi="Times New Roman"/>
                <w:noProof/>
                <w:webHidden/>
                <w:sz w:val="24"/>
                <w:szCs w:val="24"/>
                <w:lang w:val="lt-LT"/>
              </w:rPr>
              <w:instrText xml:space="preserve"> PAGEREF _Toc321092695 \h </w:instrText>
            </w:r>
            <w:r w:rsidR="00AF08F6" w:rsidRPr="00EC1AB2">
              <w:rPr>
                <w:rFonts w:ascii="Times New Roman" w:hAnsi="Times New Roman"/>
                <w:noProof/>
                <w:webHidden/>
                <w:sz w:val="24"/>
                <w:szCs w:val="24"/>
                <w:lang w:val="lt-LT"/>
              </w:rPr>
            </w:r>
            <w:r w:rsidR="00AF08F6" w:rsidRPr="00EC1AB2">
              <w:rPr>
                <w:rFonts w:ascii="Times New Roman" w:hAnsi="Times New Roman"/>
                <w:noProof/>
                <w:webHidden/>
                <w:sz w:val="24"/>
                <w:szCs w:val="24"/>
                <w:lang w:val="lt-LT"/>
              </w:rPr>
              <w:fldChar w:fldCharType="separate"/>
            </w:r>
            <w:r w:rsidR="00EB092C" w:rsidRPr="00EC1AB2">
              <w:rPr>
                <w:rFonts w:ascii="Times New Roman" w:hAnsi="Times New Roman"/>
                <w:noProof/>
                <w:webHidden/>
                <w:sz w:val="24"/>
                <w:szCs w:val="24"/>
                <w:lang w:val="lt-LT"/>
              </w:rPr>
              <w:t>8</w:t>
            </w:r>
            <w:r w:rsidR="00AF08F6" w:rsidRPr="00EC1AB2">
              <w:rPr>
                <w:rFonts w:ascii="Times New Roman" w:hAnsi="Times New Roman"/>
                <w:noProof/>
                <w:webHidden/>
                <w:sz w:val="24"/>
                <w:szCs w:val="24"/>
                <w:lang w:val="lt-LT"/>
              </w:rPr>
              <w:fldChar w:fldCharType="end"/>
            </w:r>
          </w:hyperlink>
        </w:p>
        <w:p w:rsidR="00AF08F6" w:rsidRPr="00EC1AB2" w:rsidRDefault="00EC1AB2">
          <w:pPr>
            <w:pStyle w:val="TOC2"/>
            <w:rPr>
              <w:rFonts w:ascii="Times New Roman" w:eastAsiaTheme="minorEastAsia" w:hAnsi="Times New Roman"/>
              <w:noProof/>
              <w:sz w:val="24"/>
              <w:szCs w:val="24"/>
              <w:lang w:val="lt-LT" w:eastAsia="lt-LT"/>
            </w:rPr>
          </w:pPr>
          <w:hyperlink w:anchor="_Toc321092696" w:history="1">
            <w:r w:rsidR="00AF08F6" w:rsidRPr="00EC1AB2">
              <w:rPr>
                <w:rStyle w:val="Hyperlink"/>
                <w:rFonts w:ascii="Times New Roman" w:hAnsi="Times New Roman"/>
                <w:noProof/>
                <w:sz w:val="24"/>
                <w:szCs w:val="24"/>
                <w:lang w:val="lt-LT"/>
              </w:rPr>
              <w:t>1.2.</w:t>
            </w:r>
            <w:r w:rsidR="00AF08F6" w:rsidRPr="00EC1AB2">
              <w:rPr>
                <w:rFonts w:ascii="Times New Roman" w:eastAsiaTheme="minorEastAsia" w:hAnsi="Times New Roman"/>
                <w:noProof/>
                <w:sz w:val="24"/>
                <w:szCs w:val="24"/>
                <w:lang w:val="lt-LT" w:eastAsia="lt-LT"/>
              </w:rPr>
              <w:tab/>
            </w:r>
            <w:r w:rsidR="00AF08F6" w:rsidRPr="00EC1AB2">
              <w:rPr>
                <w:rStyle w:val="Hyperlink"/>
                <w:rFonts w:ascii="Times New Roman" w:hAnsi="Times New Roman"/>
                <w:noProof/>
                <w:sz w:val="24"/>
                <w:szCs w:val="24"/>
                <w:lang w:val="lt-LT"/>
              </w:rPr>
              <w:t>Pagrindiniai rizikos kapitalo fondų veiklos bruožai bei teisinis reglamentavimas</w:t>
            </w:r>
            <w:r w:rsidR="00AF08F6" w:rsidRPr="00EC1AB2">
              <w:rPr>
                <w:rFonts w:ascii="Times New Roman" w:hAnsi="Times New Roman"/>
                <w:noProof/>
                <w:webHidden/>
                <w:sz w:val="24"/>
                <w:szCs w:val="24"/>
                <w:lang w:val="lt-LT"/>
              </w:rPr>
              <w:tab/>
            </w:r>
            <w:r w:rsidR="00AF08F6" w:rsidRPr="00EC1AB2">
              <w:rPr>
                <w:rFonts w:ascii="Times New Roman" w:hAnsi="Times New Roman"/>
                <w:noProof/>
                <w:webHidden/>
                <w:sz w:val="24"/>
                <w:szCs w:val="24"/>
                <w:lang w:val="lt-LT"/>
              </w:rPr>
              <w:fldChar w:fldCharType="begin"/>
            </w:r>
            <w:r w:rsidR="00AF08F6" w:rsidRPr="00EC1AB2">
              <w:rPr>
                <w:rFonts w:ascii="Times New Roman" w:hAnsi="Times New Roman"/>
                <w:noProof/>
                <w:webHidden/>
                <w:sz w:val="24"/>
                <w:szCs w:val="24"/>
                <w:lang w:val="lt-LT"/>
              </w:rPr>
              <w:instrText xml:space="preserve"> PAGEREF _Toc321092696 \h </w:instrText>
            </w:r>
            <w:r w:rsidR="00AF08F6" w:rsidRPr="00EC1AB2">
              <w:rPr>
                <w:rFonts w:ascii="Times New Roman" w:hAnsi="Times New Roman"/>
                <w:noProof/>
                <w:webHidden/>
                <w:sz w:val="24"/>
                <w:szCs w:val="24"/>
                <w:lang w:val="lt-LT"/>
              </w:rPr>
            </w:r>
            <w:r w:rsidR="00AF08F6" w:rsidRPr="00EC1AB2">
              <w:rPr>
                <w:rFonts w:ascii="Times New Roman" w:hAnsi="Times New Roman"/>
                <w:noProof/>
                <w:webHidden/>
                <w:sz w:val="24"/>
                <w:szCs w:val="24"/>
                <w:lang w:val="lt-LT"/>
              </w:rPr>
              <w:fldChar w:fldCharType="separate"/>
            </w:r>
            <w:r w:rsidR="00EB092C" w:rsidRPr="00EC1AB2">
              <w:rPr>
                <w:rFonts w:ascii="Times New Roman" w:hAnsi="Times New Roman"/>
                <w:noProof/>
                <w:webHidden/>
                <w:sz w:val="24"/>
                <w:szCs w:val="24"/>
                <w:lang w:val="lt-LT"/>
              </w:rPr>
              <w:t>12</w:t>
            </w:r>
            <w:r w:rsidR="00AF08F6" w:rsidRPr="00EC1AB2">
              <w:rPr>
                <w:rFonts w:ascii="Times New Roman" w:hAnsi="Times New Roman"/>
                <w:noProof/>
                <w:webHidden/>
                <w:sz w:val="24"/>
                <w:szCs w:val="24"/>
                <w:lang w:val="lt-LT"/>
              </w:rPr>
              <w:fldChar w:fldCharType="end"/>
            </w:r>
          </w:hyperlink>
        </w:p>
        <w:p w:rsidR="00AF08F6" w:rsidRPr="00EC1AB2" w:rsidRDefault="00EC1AB2">
          <w:pPr>
            <w:pStyle w:val="TOC2"/>
            <w:rPr>
              <w:rFonts w:ascii="Times New Roman" w:eastAsiaTheme="minorEastAsia" w:hAnsi="Times New Roman"/>
              <w:noProof/>
              <w:sz w:val="24"/>
              <w:szCs w:val="24"/>
              <w:lang w:val="lt-LT" w:eastAsia="lt-LT"/>
            </w:rPr>
          </w:pPr>
          <w:hyperlink w:anchor="_Toc321092697" w:history="1">
            <w:r w:rsidR="00AF08F6" w:rsidRPr="00EC1AB2">
              <w:rPr>
                <w:rStyle w:val="Hyperlink"/>
                <w:rFonts w:ascii="Times New Roman" w:hAnsi="Times New Roman"/>
                <w:noProof/>
                <w:sz w:val="24"/>
                <w:szCs w:val="24"/>
                <w:lang w:val="lt-LT"/>
              </w:rPr>
              <w:t>1.3.</w:t>
            </w:r>
            <w:r w:rsidR="00AF08F6" w:rsidRPr="00EC1AB2">
              <w:rPr>
                <w:rFonts w:ascii="Times New Roman" w:eastAsiaTheme="minorEastAsia" w:hAnsi="Times New Roman"/>
                <w:noProof/>
                <w:sz w:val="24"/>
                <w:szCs w:val="24"/>
                <w:lang w:val="lt-LT" w:eastAsia="lt-LT"/>
              </w:rPr>
              <w:tab/>
            </w:r>
            <w:r w:rsidR="00AF08F6" w:rsidRPr="00EC1AB2">
              <w:rPr>
                <w:rStyle w:val="Hyperlink"/>
                <w:rFonts w:ascii="Times New Roman" w:hAnsi="Times New Roman"/>
                <w:noProof/>
                <w:sz w:val="24"/>
                <w:szCs w:val="24"/>
                <w:lang w:val="lt-LT"/>
              </w:rPr>
              <w:t>Rizikos kapitalo fondų įtaka šalies ekonomikai</w:t>
            </w:r>
            <w:r w:rsidR="00AF08F6" w:rsidRPr="00EC1AB2">
              <w:rPr>
                <w:rFonts w:ascii="Times New Roman" w:hAnsi="Times New Roman"/>
                <w:noProof/>
                <w:webHidden/>
                <w:sz w:val="24"/>
                <w:szCs w:val="24"/>
                <w:lang w:val="lt-LT"/>
              </w:rPr>
              <w:tab/>
            </w:r>
            <w:r w:rsidR="00AF08F6" w:rsidRPr="00EC1AB2">
              <w:rPr>
                <w:rFonts w:ascii="Times New Roman" w:hAnsi="Times New Roman"/>
                <w:noProof/>
                <w:webHidden/>
                <w:sz w:val="24"/>
                <w:szCs w:val="24"/>
                <w:lang w:val="lt-LT"/>
              </w:rPr>
              <w:fldChar w:fldCharType="begin"/>
            </w:r>
            <w:r w:rsidR="00AF08F6" w:rsidRPr="00EC1AB2">
              <w:rPr>
                <w:rFonts w:ascii="Times New Roman" w:hAnsi="Times New Roman"/>
                <w:noProof/>
                <w:webHidden/>
                <w:sz w:val="24"/>
                <w:szCs w:val="24"/>
                <w:lang w:val="lt-LT"/>
              </w:rPr>
              <w:instrText xml:space="preserve"> PAGEREF _Toc321092697 \h </w:instrText>
            </w:r>
            <w:r w:rsidR="00AF08F6" w:rsidRPr="00EC1AB2">
              <w:rPr>
                <w:rFonts w:ascii="Times New Roman" w:hAnsi="Times New Roman"/>
                <w:noProof/>
                <w:webHidden/>
                <w:sz w:val="24"/>
                <w:szCs w:val="24"/>
                <w:lang w:val="lt-LT"/>
              </w:rPr>
            </w:r>
            <w:r w:rsidR="00AF08F6" w:rsidRPr="00EC1AB2">
              <w:rPr>
                <w:rFonts w:ascii="Times New Roman" w:hAnsi="Times New Roman"/>
                <w:noProof/>
                <w:webHidden/>
                <w:sz w:val="24"/>
                <w:szCs w:val="24"/>
                <w:lang w:val="lt-LT"/>
              </w:rPr>
              <w:fldChar w:fldCharType="separate"/>
            </w:r>
            <w:r w:rsidR="00EB092C" w:rsidRPr="00EC1AB2">
              <w:rPr>
                <w:rFonts w:ascii="Times New Roman" w:hAnsi="Times New Roman"/>
                <w:noProof/>
                <w:webHidden/>
                <w:sz w:val="24"/>
                <w:szCs w:val="24"/>
                <w:lang w:val="lt-LT"/>
              </w:rPr>
              <w:t>18</w:t>
            </w:r>
            <w:r w:rsidR="00AF08F6" w:rsidRPr="00EC1AB2">
              <w:rPr>
                <w:rFonts w:ascii="Times New Roman" w:hAnsi="Times New Roman"/>
                <w:noProof/>
                <w:webHidden/>
                <w:sz w:val="24"/>
                <w:szCs w:val="24"/>
                <w:lang w:val="lt-LT"/>
              </w:rPr>
              <w:fldChar w:fldCharType="end"/>
            </w:r>
          </w:hyperlink>
        </w:p>
        <w:p w:rsidR="00AF08F6" w:rsidRPr="00EC1AB2" w:rsidRDefault="00AF08F6">
          <w:pPr>
            <w:pStyle w:val="TOC1"/>
            <w:tabs>
              <w:tab w:val="left" w:pos="1100"/>
            </w:tabs>
            <w:rPr>
              <w:rFonts w:ascii="Times New Roman" w:eastAsiaTheme="minorEastAsia" w:hAnsi="Times New Roman" w:cs="Times New Roman"/>
              <w:noProof/>
              <w:sz w:val="24"/>
              <w:szCs w:val="24"/>
              <w:lang w:eastAsia="lt-LT"/>
            </w:rPr>
          </w:pPr>
          <w:r w:rsidRPr="00EC1AB2">
            <w:rPr>
              <w:rStyle w:val="Hyperlink"/>
              <w:rFonts w:ascii="Times New Roman" w:hAnsi="Times New Roman" w:cs="Times New Roman"/>
              <w:noProof/>
              <w:sz w:val="24"/>
              <w:szCs w:val="24"/>
            </w:rPr>
            <w:t xml:space="preserve">    </w:t>
          </w:r>
          <w:hyperlink w:anchor="_Toc321092698" w:history="1">
            <w:r w:rsidRPr="00EC1AB2">
              <w:rPr>
                <w:rStyle w:val="Hyperlink"/>
                <w:rFonts w:ascii="Times New Roman" w:hAnsi="Times New Roman" w:cs="Times New Roman"/>
                <w:noProof/>
                <w:sz w:val="24"/>
                <w:szCs w:val="24"/>
              </w:rPr>
              <w:t>1.4.</w:t>
            </w:r>
            <w:r w:rsidRPr="00EC1AB2">
              <w:rPr>
                <w:rFonts w:ascii="Times New Roman" w:eastAsiaTheme="minorEastAsia" w:hAnsi="Times New Roman" w:cs="Times New Roman"/>
                <w:noProof/>
                <w:sz w:val="24"/>
                <w:szCs w:val="24"/>
                <w:lang w:eastAsia="lt-LT"/>
              </w:rPr>
              <w:t xml:space="preserve"> </w:t>
            </w:r>
            <w:r w:rsidR="00677707" w:rsidRPr="00EC1AB2">
              <w:rPr>
                <w:rFonts w:ascii="Times New Roman" w:eastAsiaTheme="minorEastAsia" w:hAnsi="Times New Roman" w:cs="Times New Roman"/>
                <w:noProof/>
                <w:sz w:val="24"/>
                <w:szCs w:val="24"/>
                <w:lang w:eastAsia="lt-LT"/>
              </w:rPr>
              <w:t xml:space="preserve"> </w:t>
            </w:r>
            <w:r w:rsidRPr="00EC1AB2">
              <w:rPr>
                <w:rStyle w:val="Hyperlink"/>
                <w:rFonts w:ascii="Times New Roman" w:hAnsi="Times New Roman" w:cs="Times New Roman"/>
                <w:noProof/>
                <w:sz w:val="24"/>
                <w:szCs w:val="24"/>
              </w:rPr>
              <w:t>Rizikos kapitalo fondų plėtrą lemiantys veiksniai</w:t>
            </w:r>
            <w:r w:rsidRPr="00EC1AB2">
              <w:rPr>
                <w:rFonts w:ascii="Times New Roman" w:hAnsi="Times New Roman" w:cs="Times New Roman"/>
                <w:noProof/>
                <w:webHidden/>
                <w:sz w:val="24"/>
                <w:szCs w:val="24"/>
              </w:rPr>
              <w:tab/>
            </w:r>
            <w:r w:rsidRPr="00EC1AB2">
              <w:rPr>
                <w:rFonts w:ascii="Times New Roman" w:hAnsi="Times New Roman" w:cs="Times New Roman"/>
                <w:noProof/>
                <w:webHidden/>
                <w:sz w:val="24"/>
                <w:szCs w:val="24"/>
              </w:rPr>
              <w:fldChar w:fldCharType="begin"/>
            </w:r>
            <w:r w:rsidRPr="00EC1AB2">
              <w:rPr>
                <w:rFonts w:ascii="Times New Roman" w:hAnsi="Times New Roman" w:cs="Times New Roman"/>
                <w:noProof/>
                <w:webHidden/>
                <w:sz w:val="24"/>
                <w:szCs w:val="24"/>
              </w:rPr>
              <w:instrText xml:space="preserve"> PAGEREF _Toc321092698 \h </w:instrText>
            </w:r>
            <w:r w:rsidRPr="00EC1AB2">
              <w:rPr>
                <w:rFonts w:ascii="Times New Roman" w:hAnsi="Times New Roman" w:cs="Times New Roman"/>
                <w:noProof/>
                <w:webHidden/>
                <w:sz w:val="24"/>
                <w:szCs w:val="24"/>
              </w:rPr>
            </w:r>
            <w:r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22</w:t>
            </w:r>
            <w:r w:rsidRPr="00EC1AB2">
              <w:rPr>
                <w:rFonts w:ascii="Times New Roman" w:hAnsi="Times New Roman" w:cs="Times New Roman"/>
                <w:noProof/>
                <w:webHidden/>
                <w:sz w:val="24"/>
                <w:szCs w:val="24"/>
              </w:rPr>
              <w:fldChar w:fldCharType="end"/>
            </w:r>
          </w:hyperlink>
        </w:p>
        <w:p w:rsidR="00AF08F6" w:rsidRPr="00EC1AB2" w:rsidRDefault="00EC1AB2">
          <w:pPr>
            <w:pStyle w:val="TOC1"/>
            <w:rPr>
              <w:rFonts w:ascii="Times New Roman" w:eastAsiaTheme="minorEastAsia" w:hAnsi="Times New Roman" w:cs="Times New Roman"/>
              <w:noProof/>
              <w:sz w:val="24"/>
              <w:szCs w:val="24"/>
              <w:lang w:eastAsia="lt-LT"/>
            </w:rPr>
          </w:pPr>
          <w:hyperlink w:anchor="_Toc321092699" w:history="1">
            <w:r w:rsidR="00AF08F6" w:rsidRPr="00EC1AB2">
              <w:rPr>
                <w:rStyle w:val="Hyperlink"/>
                <w:rFonts w:ascii="Times New Roman" w:hAnsi="Times New Roman" w:cs="Times New Roman"/>
                <w:noProof/>
                <w:sz w:val="24"/>
                <w:szCs w:val="24"/>
              </w:rPr>
              <w:t>2. RIZIKOS KAPITALO FONDŲ  PLĖTROS PROBLEMŲ LIETUVOJE TYRIMO METODOLOGIJA</w:t>
            </w:r>
            <w:r w:rsidR="00AF08F6" w:rsidRPr="00EC1AB2">
              <w:rPr>
                <w:rFonts w:ascii="Times New Roman" w:hAnsi="Times New Roman" w:cs="Times New Roman"/>
                <w:noProof/>
                <w:webHidden/>
                <w:sz w:val="24"/>
                <w:szCs w:val="24"/>
              </w:rPr>
              <w:tab/>
            </w:r>
            <w:r w:rsidR="00AF08F6" w:rsidRPr="00EC1AB2">
              <w:rPr>
                <w:rFonts w:ascii="Times New Roman" w:hAnsi="Times New Roman" w:cs="Times New Roman"/>
                <w:noProof/>
                <w:webHidden/>
                <w:sz w:val="24"/>
                <w:szCs w:val="24"/>
              </w:rPr>
              <w:fldChar w:fldCharType="begin"/>
            </w:r>
            <w:r w:rsidR="00AF08F6" w:rsidRPr="00EC1AB2">
              <w:rPr>
                <w:rFonts w:ascii="Times New Roman" w:hAnsi="Times New Roman" w:cs="Times New Roman"/>
                <w:noProof/>
                <w:webHidden/>
                <w:sz w:val="24"/>
                <w:szCs w:val="24"/>
              </w:rPr>
              <w:instrText xml:space="preserve"> PAGEREF _Toc321092699 \h </w:instrText>
            </w:r>
            <w:r w:rsidR="00AF08F6" w:rsidRPr="00EC1AB2">
              <w:rPr>
                <w:rFonts w:ascii="Times New Roman" w:hAnsi="Times New Roman" w:cs="Times New Roman"/>
                <w:noProof/>
                <w:webHidden/>
                <w:sz w:val="24"/>
                <w:szCs w:val="24"/>
              </w:rPr>
            </w:r>
            <w:r w:rsidR="00AF08F6"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28</w:t>
            </w:r>
            <w:r w:rsidR="00AF08F6" w:rsidRPr="00EC1AB2">
              <w:rPr>
                <w:rFonts w:ascii="Times New Roman" w:hAnsi="Times New Roman" w:cs="Times New Roman"/>
                <w:noProof/>
                <w:webHidden/>
                <w:sz w:val="24"/>
                <w:szCs w:val="24"/>
              </w:rPr>
              <w:fldChar w:fldCharType="end"/>
            </w:r>
          </w:hyperlink>
        </w:p>
        <w:p w:rsidR="00AF08F6" w:rsidRPr="00EC1AB2" w:rsidRDefault="00EC1AB2">
          <w:pPr>
            <w:pStyle w:val="TOC2"/>
            <w:rPr>
              <w:rFonts w:ascii="Times New Roman" w:eastAsiaTheme="minorEastAsia" w:hAnsi="Times New Roman"/>
              <w:noProof/>
              <w:sz w:val="24"/>
              <w:szCs w:val="24"/>
              <w:lang w:val="lt-LT" w:eastAsia="lt-LT"/>
            </w:rPr>
          </w:pPr>
          <w:hyperlink w:anchor="_Toc321092700" w:history="1">
            <w:r w:rsidR="00AF08F6" w:rsidRPr="00EC1AB2">
              <w:rPr>
                <w:rStyle w:val="Hyperlink"/>
                <w:rFonts w:ascii="Times New Roman" w:hAnsi="Times New Roman"/>
                <w:noProof/>
                <w:sz w:val="24"/>
                <w:szCs w:val="24"/>
                <w:lang w:val="lt-LT"/>
              </w:rPr>
              <w:t>2.1.</w:t>
            </w:r>
            <w:r w:rsidR="00AF08F6" w:rsidRPr="00EC1AB2">
              <w:rPr>
                <w:rFonts w:ascii="Times New Roman" w:eastAsiaTheme="minorEastAsia" w:hAnsi="Times New Roman"/>
                <w:noProof/>
                <w:sz w:val="24"/>
                <w:szCs w:val="24"/>
                <w:lang w:val="lt-LT" w:eastAsia="lt-LT"/>
              </w:rPr>
              <w:tab/>
            </w:r>
            <w:r w:rsidR="00AF08F6" w:rsidRPr="00EC1AB2">
              <w:rPr>
                <w:rStyle w:val="Hyperlink"/>
                <w:rFonts w:ascii="Times New Roman" w:hAnsi="Times New Roman"/>
                <w:noProof/>
                <w:sz w:val="24"/>
                <w:szCs w:val="24"/>
                <w:lang w:val="lt-LT"/>
              </w:rPr>
              <w:t>Rizikos kapitalo fondų plėtros problemų Lietuvoje tyrimo pagrindimas</w:t>
            </w:r>
            <w:r w:rsidR="00AF08F6" w:rsidRPr="00EC1AB2">
              <w:rPr>
                <w:rFonts w:ascii="Times New Roman" w:hAnsi="Times New Roman"/>
                <w:noProof/>
                <w:webHidden/>
                <w:sz w:val="24"/>
                <w:szCs w:val="24"/>
                <w:lang w:val="lt-LT"/>
              </w:rPr>
              <w:tab/>
            </w:r>
            <w:r w:rsidR="00AF08F6" w:rsidRPr="00EC1AB2">
              <w:rPr>
                <w:rFonts w:ascii="Times New Roman" w:hAnsi="Times New Roman"/>
                <w:noProof/>
                <w:webHidden/>
                <w:sz w:val="24"/>
                <w:szCs w:val="24"/>
                <w:lang w:val="lt-LT"/>
              </w:rPr>
              <w:fldChar w:fldCharType="begin"/>
            </w:r>
            <w:r w:rsidR="00AF08F6" w:rsidRPr="00EC1AB2">
              <w:rPr>
                <w:rFonts w:ascii="Times New Roman" w:hAnsi="Times New Roman"/>
                <w:noProof/>
                <w:webHidden/>
                <w:sz w:val="24"/>
                <w:szCs w:val="24"/>
                <w:lang w:val="lt-LT"/>
              </w:rPr>
              <w:instrText xml:space="preserve"> PAGEREF _Toc321092700 \h </w:instrText>
            </w:r>
            <w:r w:rsidR="00AF08F6" w:rsidRPr="00EC1AB2">
              <w:rPr>
                <w:rFonts w:ascii="Times New Roman" w:hAnsi="Times New Roman"/>
                <w:noProof/>
                <w:webHidden/>
                <w:sz w:val="24"/>
                <w:szCs w:val="24"/>
                <w:lang w:val="lt-LT"/>
              </w:rPr>
            </w:r>
            <w:r w:rsidR="00AF08F6" w:rsidRPr="00EC1AB2">
              <w:rPr>
                <w:rFonts w:ascii="Times New Roman" w:hAnsi="Times New Roman"/>
                <w:noProof/>
                <w:webHidden/>
                <w:sz w:val="24"/>
                <w:szCs w:val="24"/>
                <w:lang w:val="lt-LT"/>
              </w:rPr>
              <w:fldChar w:fldCharType="separate"/>
            </w:r>
            <w:r w:rsidR="00EB092C" w:rsidRPr="00EC1AB2">
              <w:rPr>
                <w:rFonts w:ascii="Times New Roman" w:hAnsi="Times New Roman"/>
                <w:noProof/>
                <w:webHidden/>
                <w:sz w:val="24"/>
                <w:szCs w:val="24"/>
                <w:lang w:val="lt-LT"/>
              </w:rPr>
              <w:t>28</w:t>
            </w:r>
            <w:r w:rsidR="00AF08F6" w:rsidRPr="00EC1AB2">
              <w:rPr>
                <w:rFonts w:ascii="Times New Roman" w:hAnsi="Times New Roman"/>
                <w:noProof/>
                <w:webHidden/>
                <w:sz w:val="24"/>
                <w:szCs w:val="24"/>
                <w:lang w:val="lt-LT"/>
              </w:rPr>
              <w:fldChar w:fldCharType="end"/>
            </w:r>
          </w:hyperlink>
        </w:p>
        <w:p w:rsidR="00AF08F6" w:rsidRPr="00EC1AB2" w:rsidRDefault="00EC1AB2">
          <w:pPr>
            <w:pStyle w:val="TOC2"/>
            <w:rPr>
              <w:rFonts w:ascii="Times New Roman" w:eastAsiaTheme="minorEastAsia" w:hAnsi="Times New Roman"/>
              <w:noProof/>
              <w:sz w:val="24"/>
              <w:szCs w:val="24"/>
              <w:lang w:val="lt-LT" w:eastAsia="lt-LT"/>
            </w:rPr>
          </w:pPr>
          <w:hyperlink w:anchor="_Toc321092701" w:history="1">
            <w:r w:rsidR="00AF08F6" w:rsidRPr="00EC1AB2">
              <w:rPr>
                <w:rStyle w:val="Hyperlink"/>
                <w:rFonts w:ascii="Times New Roman" w:hAnsi="Times New Roman"/>
                <w:noProof/>
                <w:sz w:val="24"/>
                <w:szCs w:val="24"/>
                <w:lang w:val="lt-LT"/>
              </w:rPr>
              <w:t>2.2.</w:t>
            </w:r>
            <w:r w:rsidR="00AF08F6" w:rsidRPr="00EC1AB2">
              <w:rPr>
                <w:rFonts w:ascii="Times New Roman" w:eastAsiaTheme="minorEastAsia" w:hAnsi="Times New Roman"/>
                <w:noProof/>
                <w:sz w:val="24"/>
                <w:szCs w:val="24"/>
                <w:lang w:val="lt-LT" w:eastAsia="lt-LT"/>
              </w:rPr>
              <w:tab/>
            </w:r>
            <w:r w:rsidR="00AF08F6" w:rsidRPr="00EC1AB2">
              <w:rPr>
                <w:rStyle w:val="Hyperlink"/>
                <w:rFonts w:ascii="Times New Roman" w:hAnsi="Times New Roman"/>
                <w:noProof/>
                <w:sz w:val="24"/>
                <w:szCs w:val="24"/>
                <w:lang w:val="lt-LT"/>
              </w:rPr>
              <w:t>Tyrimo metodika</w:t>
            </w:r>
            <w:r w:rsidR="00AF08F6" w:rsidRPr="00EC1AB2">
              <w:rPr>
                <w:rFonts w:ascii="Times New Roman" w:hAnsi="Times New Roman"/>
                <w:noProof/>
                <w:webHidden/>
                <w:sz w:val="24"/>
                <w:szCs w:val="24"/>
                <w:lang w:val="lt-LT"/>
              </w:rPr>
              <w:tab/>
            </w:r>
            <w:r w:rsidR="00AF08F6" w:rsidRPr="00EC1AB2">
              <w:rPr>
                <w:rFonts w:ascii="Times New Roman" w:hAnsi="Times New Roman"/>
                <w:noProof/>
                <w:webHidden/>
                <w:sz w:val="24"/>
                <w:szCs w:val="24"/>
                <w:lang w:val="lt-LT"/>
              </w:rPr>
              <w:fldChar w:fldCharType="begin"/>
            </w:r>
            <w:r w:rsidR="00AF08F6" w:rsidRPr="00EC1AB2">
              <w:rPr>
                <w:rFonts w:ascii="Times New Roman" w:hAnsi="Times New Roman"/>
                <w:noProof/>
                <w:webHidden/>
                <w:sz w:val="24"/>
                <w:szCs w:val="24"/>
                <w:lang w:val="lt-LT"/>
              </w:rPr>
              <w:instrText xml:space="preserve"> PAGEREF _Toc321092701 \h </w:instrText>
            </w:r>
            <w:r w:rsidR="00AF08F6" w:rsidRPr="00EC1AB2">
              <w:rPr>
                <w:rFonts w:ascii="Times New Roman" w:hAnsi="Times New Roman"/>
                <w:noProof/>
                <w:webHidden/>
                <w:sz w:val="24"/>
                <w:szCs w:val="24"/>
                <w:lang w:val="lt-LT"/>
              </w:rPr>
            </w:r>
            <w:r w:rsidR="00AF08F6" w:rsidRPr="00EC1AB2">
              <w:rPr>
                <w:rFonts w:ascii="Times New Roman" w:hAnsi="Times New Roman"/>
                <w:noProof/>
                <w:webHidden/>
                <w:sz w:val="24"/>
                <w:szCs w:val="24"/>
                <w:lang w:val="lt-LT"/>
              </w:rPr>
              <w:fldChar w:fldCharType="separate"/>
            </w:r>
            <w:r w:rsidR="00EB092C" w:rsidRPr="00EC1AB2">
              <w:rPr>
                <w:rFonts w:ascii="Times New Roman" w:hAnsi="Times New Roman"/>
                <w:noProof/>
                <w:webHidden/>
                <w:sz w:val="24"/>
                <w:szCs w:val="24"/>
                <w:lang w:val="lt-LT"/>
              </w:rPr>
              <w:t>34</w:t>
            </w:r>
            <w:r w:rsidR="00AF08F6" w:rsidRPr="00EC1AB2">
              <w:rPr>
                <w:rFonts w:ascii="Times New Roman" w:hAnsi="Times New Roman"/>
                <w:noProof/>
                <w:webHidden/>
                <w:sz w:val="24"/>
                <w:szCs w:val="24"/>
                <w:lang w:val="lt-LT"/>
              </w:rPr>
              <w:fldChar w:fldCharType="end"/>
            </w:r>
          </w:hyperlink>
        </w:p>
        <w:p w:rsidR="00AF08F6" w:rsidRPr="00EC1AB2" w:rsidRDefault="00EC1AB2">
          <w:pPr>
            <w:pStyle w:val="TOC1"/>
            <w:rPr>
              <w:rFonts w:ascii="Times New Roman" w:eastAsiaTheme="minorEastAsia" w:hAnsi="Times New Roman" w:cs="Times New Roman"/>
              <w:noProof/>
              <w:sz w:val="24"/>
              <w:szCs w:val="24"/>
              <w:lang w:eastAsia="lt-LT"/>
            </w:rPr>
          </w:pPr>
          <w:hyperlink w:anchor="_Toc321092702" w:history="1">
            <w:r w:rsidR="00AF08F6" w:rsidRPr="00EC1AB2">
              <w:rPr>
                <w:rStyle w:val="Hyperlink"/>
                <w:rFonts w:ascii="Times New Roman" w:eastAsia="+mn-ea" w:hAnsi="Times New Roman" w:cs="Times New Roman"/>
                <w:noProof/>
                <w:sz w:val="24"/>
                <w:szCs w:val="24"/>
              </w:rPr>
              <w:t>3.</w:t>
            </w:r>
            <w:r w:rsidR="00AF08F6" w:rsidRPr="00EC1AB2">
              <w:rPr>
                <w:rFonts w:ascii="Times New Roman" w:eastAsiaTheme="minorEastAsia" w:hAnsi="Times New Roman" w:cs="Times New Roman"/>
                <w:noProof/>
                <w:sz w:val="24"/>
                <w:szCs w:val="24"/>
                <w:lang w:eastAsia="lt-LT"/>
              </w:rPr>
              <w:tab/>
            </w:r>
            <w:r w:rsidR="00AF08F6" w:rsidRPr="00EC1AB2">
              <w:rPr>
                <w:rStyle w:val="Hyperlink"/>
                <w:rFonts w:ascii="Times New Roman" w:hAnsi="Times New Roman" w:cs="Times New Roman"/>
                <w:noProof/>
                <w:sz w:val="24"/>
                <w:szCs w:val="24"/>
              </w:rPr>
              <w:t>RIZIKOS KAPITALO FONDŲ PLĖTROS PROBLEMOS BEI JŲ ŠALINIMO GAIRĖS</w:t>
            </w:r>
            <w:r w:rsidR="00AF08F6" w:rsidRPr="00EC1AB2">
              <w:rPr>
                <w:rFonts w:ascii="Times New Roman" w:hAnsi="Times New Roman" w:cs="Times New Roman"/>
                <w:noProof/>
                <w:webHidden/>
                <w:sz w:val="24"/>
                <w:szCs w:val="24"/>
              </w:rPr>
              <w:tab/>
            </w:r>
            <w:r w:rsidR="00AF08F6" w:rsidRPr="00EC1AB2">
              <w:rPr>
                <w:rFonts w:ascii="Times New Roman" w:hAnsi="Times New Roman" w:cs="Times New Roman"/>
                <w:noProof/>
                <w:webHidden/>
                <w:sz w:val="24"/>
                <w:szCs w:val="24"/>
              </w:rPr>
              <w:fldChar w:fldCharType="begin"/>
            </w:r>
            <w:r w:rsidR="00AF08F6" w:rsidRPr="00EC1AB2">
              <w:rPr>
                <w:rFonts w:ascii="Times New Roman" w:hAnsi="Times New Roman" w:cs="Times New Roman"/>
                <w:noProof/>
                <w:webHidden/>
                <w:sz w:val="24"/>
                <w:szCs w:val="24"/>
              </w:rPr>
              <w:instrText xml:space="preserve"> PAGEREF _Toc321092702 \h </w:instrText>
            </w:r>
            <w:r w:rsidR="00AF08F6" w:rsidRPr="00EC1AB2">
              <w:rPr>
                <w:rFonts w:ascii="Times New Roman" w:hAnsi="Times New Roman" w:cs="Times New Roman"/>
                <w:noProof/>
                <w:webHidden/>
                <w:sz w:val="24"/>
                <w:szCs w:val="24"/>
              </w:rPr>
            </w:r>
            <w:r w:rsidR="00AF08F6"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36</w:t>
            </w:r>
            <w:r w:rsidR="00AF08F6" w:rsidRPr="00EC1AB2">
              <w:rPr>
                <w:rFonts w:ascii="Times New Roman" w:hAnsi="Times New Roman" w:cs="Times New Roman"/>
                <w:noProof/>
                <w:webHidden/>
                <w:sz w:val="24"/>
                <w:szCs w:val="24"/>
              </w:rPr>
              <w:fldChar w:fldCharType="end"/>
            </w:r>
          </w:hyperlink>
        </w:p>
        <w:p w:rsidR="00AF08F6" w:rsidRPr="00EC1AB2" w:rsidRDefault="00EC1AB2">
          <w:pPr>
            <w:pStyle w:val="TOC2"/>
            <w:rPr>
              <w:rFonts w:ascii="Times New Roman" w:eastAsiaTheme="minorEastAsia" w:hAnsi="Times New Roman"/>
              <w:noProof/>
              <w:sz w:val="24"/>
              <w:szCs w:val="24"/>
              <w:lang w:val="lt-LT" w:eastAsia="lt-LT"/>
            </w:rPr>
          </w:pPr>
          <w:hyperlink w:anchor="_Toc321092703" w:history="1">
            <w:r w:rsidR="00AF08F6" w:rsidRPr="00EC1AB2">
              <w:rPr>
                <w:rStyle w:val="Hyperlink"/>
                <w:rFonts w:ascii="Times New Roman" w:hAnsi="Times New Roman"/>
                <w:noProof/>
                <w:sz w:val="24"/>
                <w:szCs w:val="24"/>
                <w:lang w:val="lt-LT"/>
              </w:rPr>
              <w:t>3.1.</w:t>
            </w:r>
            <w:r w:rsidR="00AF08F6" w:rsidRPr="00EC1AB2">
              <w:rPr>
                <w:rFonts w:ascii="Times New Roman" w:eastAsiaTheme="minorEastAsia" w:hAnsi="Times New Roman"/>
                <w:noProof/>
                <w:sz w:val="24"/>
                <w:szCs w:val="24"/>
                <w:lang w:val="lt-LT" w:eastAsia="lt-LT"/>
              </w:rPr>
              <w:tab/>
            </w:r>
            <w:r w:rsidR="00AF08F6" w:rsidRPr="00EC1AB2">
              <w:rPr>
                <w:rStyle w:val="Hyperlink"/>
                <w:rFonts w:ascii="Times New Roman" w:hAnsi="Times New Roman"/>
                <w:noProof/>
                <w:sz w:val="24"/>
                <w:szCs w:val="24"/>
                <w:lang w:val="lt-LT"/>
              </w:rPr>
              <w:t>Lietuvos suminio inovatyvumo indekso analizė ES kontekste</w:t>
            </w:r>
            <w:r w:rsidR="00AF08F6" w:rsidRPr="00EC1AB2">
              <w:rPr>
                <w:rFonts w:ascii="Times New Roman" w:hAnsi="Times New Roman"/>
                <w:noProof/>
                <w:webHidden/>
                <w:sz w:val="24"/>
                <w:szCs w:val="24"/>
                <w:lang w:val="lt-LT"/>
              </w:rPr>
              <w:tab/>
            </w:r>
            <w:r w:rsidR="00AF08F6" w:rsidRPr="00EC1AB2">
              <w:rPr>
                <w:rFonts w:ascii="Times New Roman" w:hAnsi="Times New Roman"/>
                <w:noProof/>
                <w:webHidden/>
                <w:sz w:val="24"/>
                <w:szCs w:val="24"/>
                <w:lang w:val="lt-LT"/>
              </w:rPr>
              <w:fldChar w:fldCharType="begin"/>
            </w:r>
            <w:r w:rsidR="00AF08F6" w:rsidRPr="00EC1AB2">
              <w:rPr>
                <w:rFonts w:ascii="Times New Roman" w:hAnsi="Times New Roman"/>
                <w:noProof/>
                <w:webHidden/>
                <w:sz w:val="24"/>
                <w:szCs w:val="24"/>
                <w:lang w:val="lt-LT"/>
              </w:rPr>
              <w:instrText xml:space="preserve"> PAGEREF _Toc321092703 \h </w:instrText>
            </w:r>
            <w:r w:rsidR="00AF08F6" w:rsidRPr="00EC1AB2">
              <w:rPr>
                <w:rFonts w:ascii="Times New Roman" w:hAnsi="Times New Roman"/>
                <w:noProof/>
                <w:webHidden/>
                <w:sz w:val="24"/>
                <w:szCs w:val="24"/>
                <w:lang w:val="lt-LT"/>
              </w:rPr>
            </w:r>
            <w:r w:rsidR="00AF08F6" w:rsidRPr="00EC1AB2">
              <w:rPr>
                <w:rFonts w:ascii="Times New Roman" w:hAnsi="Times New Roman"/>
                <w:noProof/>
                <w:webHidden/>
                <w:sz w:val="24"/>
                <w:szCs w:val="24"/>
                <w:lang w:val="lt-LT"/>
              </w:rPr>
              <w:fldChar w:fldCharType="separate"/>
            </w:r>
            <w:r w:rsidR="00EB092C" w:rsidRPr="00EC1AB2">
              <w:rPr>
                <w:rFonts w:ascii="Times New Roman" w:hAnsi="Times New Roman"/>
                <w:noProof/>
                <w:webHidden/>
                <w:sz w:val="24"/>
                <w:szCs w:val="24"/>
                <w:lang w:val="lt-LT"/>
              </w:rPr>
              <w:t>36</w:t>
            </w:r>
            <w:r w:rsidR="00AF08F6" w:rsidRPr="00EC1AB2">
              <w:rPr>
                <w:rFonts w:ascii="Times New Roman" w:hAnsi="Times New Roman"/>
                <w:noProof/>
                <w:webHidden/>
                <w:sz w:val="24"/>
                <w:szCs w:val="24"/>
                <w:lang w:val="lt-LT"/>
              </w:rPr>
              <w:fldChar w:fldCharType="end"/>
            </w:r>
          </w:hyperlink>
        </w:p>
        <w:p w:rsidR="00AF08F6" w:rsidRPr="00EC1AB2" w:rsidRDefault="00EC1AB2" w:rsidP="00AF08F6">
          <w:pPr>
            <w:pStyle w:val="TOC2"/>
            <w:tabs>
              <w:tab w:val="left" w:pos="1540"/>
            </w:tabs>
            <w:jc w:val="left"/>
            <w:rPr>
              <w:rFonts w:ascii="Times New Roman" w:eastAsiaTheme="minorEastAsia" w:hAnsi="Times New Roman"/>
              <w:noProof/>
              <w:sz w:val="24"/>
              <w:szCs w:val="24"/>
              <w:lang w:val="lt-LT" w:eastAsia="lt-LT"/>
            </w:rPr>
          </w:pPr>
          <w:hyperlink w:anchor="_Toc321092704" w:history="1">
            <w:r w:rsidR="00AF08F6" w:rsidRPr="00EC1AB2">
              <w:rPr>
                <w:rStyle w:val="Hyperlink"/>
                <w:rFonts w:ascii="Times New Roman" w:hAnsi="Times New Roman"/>
                <w:noProof/>
                <w:sz w:val="24"/>
                <w:szCs w:val="24"/>
                <w:lang w:val="lt-LT"/>
              </w:rPr>
              <w:t>3.2.</w:t>
            </w:r>
            <w:r w:rsidR="00AF08F6" w:rsidRPr="00EC1AB2">
              <w:rPr>
                <w:rFonts w:ascii="Times New Roman" w:eastAsiaTheme="minorEastAsia" w:hAnsi="Times New Roman"/>
                <w:noProof/>
                <w:sz w:val="24"/>
                <w:szCs w:val="24"/>
                <w:lang w:val="lt-LT" w:eastAsia="lt-LT"/>
              </w:rPr>
              <w:tab/>
            </w:r>
            <w:r w:rsidR="00AF08F6" w:rsidRPr="00EC1AB2">
              <w:rPr>
                <w:rStyle w:val="Hyperlink"/>
                <w:rFonts w:ascii="Times New Roman" w:hAnsi="Times New Roman"/>
                <w:noProof/>
                <w:sz w:val="24"/>
                <w:szCs w:val="24"/>
                <w:lang w:val="lt-LT"/>
              </w:rPr>
              <w:t>Rizikos kapitalo fondų  investicijų ir suminio inovatyvumo indekso sudedamųjų dalių koreliacinė analizė…………...</w:t>
            </w:r>
            <w:r w:rsidR="00AF08F6" w:rsidRPr="00EC1AB2">
              <w:rPr>
                <w:rFonts w:ascii="Times New Roman" w:hAnsi="Times New Roman"/>
                <w:noProof/>
                <w:webHidden/>
                <w:sz w:val="24"/>
                <w:szCs w:val="24"/>
                <w:lang w:val="lt-LT"/>
              </w:rPr>
              <w:tab/>
            </w:r>
            <w:r w:rsidR="00AF08F6" w:rsidRPr="00EC1AB2">
              <w:rPr>
                <w:rFonts w:ascii="Times New Roman" w:hAnsi="Times New Roman"/>
                <w:noProof/>
                <w:webHidden/>
                <w:sz w:val="24"/>
                <w:szCs w:val="24"/>
                <w:lang w:val="lt-LT"/>
              </w:rPr>
              <w:fldChar w:fldCharType="begin"/>
            </w:r>
            <w:r w:rsidR="00AF08F6" w:rsidRPr="00EC1AB2">
              <w:rPr>
                <w:rFonts w:ascii="Times New Roman" w:hAnsi="Times New Roman"/>
                <w:noProof/>
                <w:webHidden/>
                <w:sz w:val="24"/>
                <w:szCs w:val="24"/>
                <w:lang w:val="lt-LT"/>
              </w:rPr>
              <w:instrText xml:space="preserve"> PAGEREF _Toc321092704 \h </w:instrText>
            </w:r>
            <w:r w:rsidR="00AF08F6" w:rsidRPr="00EC1AB2">
              <w:rPr>
                <w:rFonts w:ascii="Times New Roman" w:hAnsi="Times New Roman"/>
                <w:noProof/>
                <w:webHidden/>
                <w:sz w:val="24"/>
                <w:szCs w:val="24"/>
                <w:lang w:val="lt-LT"/>
              </w:rPr>
            </w:r>
            <w:r w:rsidR="00AF08F6" w:rsidRPr="00EC1AB2">
              <w:rPr>
                <w:rFonts w:ascii="Times New Roman" w:hAnsi="Times New Roman"/>
                <w:noProof/>
                <w:webHidden/>
                <w:sz w:val="24"/>
                <w:szCs w:val="24"/>
                <w:lang w:val="lt-LT"/>
              </w:rPr>
              <w:fldChar w:fldCharType="separate"/>
            </w:r>
            <w:r w:rsidR="00EB092C" w:rsidRPr="00EC1AB2">
              <w:rPr>
                <w:rFonts w:ascii="Times New Roman" w:hAnsi="Times New Roman"/>
                <w:noProof/>
                <w:webHidden/>
                <w:sz w:val="24"/>
                <w:szCs w:val="24"/>
                <w:lang w:val="lt-LT"/>
              </w:rPr>
              <w:t>44</w:t>
            </w:r>
            <w:r w:rsidR="00AF08F6" w:rsidRPr="00EC1AB2">
              <w:rPr>
                <w:rFonts w:ascii="Times New Roman" w:hAnsi="Times New Roman"/>
                <w:noProof/>
                <w:webHidden/>
                <w:sz w:val="24"/>
                <w:szCs w:val="24"/>
                <w:lang w:val="lt-LT"/>
              </w:rPr>
              <w:fldChar w:fldCharType="end"/>
            </w:r>
          </w:hyperlink>
        </w:p>
        <w:p w:rsidR="00AF08F6" w:rsidRPr="00EC1AB2" w:rsidRDefault="00EC1AB2">
          <w:pPr>
            <w:pStyle w:val="TOC2"/>
            <w:rPr>
              <w:rFonts w:ascii="Times New Roman" w:eastAsiaTheme="minorEastAsia" w:hAnsi="Times New Roman"/>
              <w:noProof/>
              <w:sz w:val="24"/>
              <w:szCs w:val="24"/>
              <w:lang w:val="lt-LT" w:eastAsia="lt-LT"/>
            </w:rPr>
          </w:pPr>
          <w:hyperlink w:anchor="_Toc321092705" w:history="1">
            <w:r w:rsidR="00AF08F6" w:rsidRPr="00EC1AB2">
              <w:rPr>
                <w:rStyle w:val="Hyperlink"/>
                <w:rFonts w:ascii="Times New Roman" w:hAnsi="Times New Roman"/>
                <w:noProof/>
                <w:sz w:val="24"/>
                <w:szCs w:val="24"/>
                <w:lang w:val="lt-LT"/>
              </w:rPr>
              <w:t>3.3.</w:t>
            </w:r>
            <w:r w:rsidR="00AF08F6" w:rsidRPr="00EC1AB2">
              <w:rPr>
                <w:rFonts w:ascii="Times New Roman" w:eastAsiaTheme="minorEastAsia" w:hAnsi="Times New Roman"/>
                <w:noProof/>
                <w:sz w:val="24"/>
                <w:szCs w:val="24"/>
                <w:lang w:val="lt-LT" w:eastAsia="lt-LT"/>
              </w:rPr>
              <w:tab/>
            </w:r>
            <w:r w:rsidR="00AF08F6" w:rsidRPr="00EC1AB2">
              <w:rPr>
                <w:rStyle w:val="Hyperlink"/>
                <w:rFonts w:ascii="Times New Roman" w:hAnsi="Times New Roman"/>
                <w:noProof/>
                <w:sz w:val="24"/>
                <w:szCs w:val="24"/>
                <w:lang w:val="lt-LT"/>
              </w:rPr>
              <w:t>Rizikos kapitalo fondų plėtros problemų tyrimas</w:t>
            </w:r>
            <w:r w:rsidR="00AF08F6" w:rsidRPr="00EC1AB2">
              <w:rPr>
                <w:rFonts w:ascii="Times New Roman" w:hAnsi="Times New Roman"/>
                <w:noProof/>
                <w:webHidden/>
                <w:sz w:val="24"/>
                <w:szCs w:val="24"/>
                <w:lang w:val="lt-LT"/>
              </w:rPr>
              <w:tab/>
            </w:r>
            <w:r w:rsidR="00AF08F6" w:rsidRPr="00EC1AB2">
              <w:rPr>
                <w:rFonts w:ascii="Times New Roman" w:hAnsi="Times New Roman"/>
                <w:noProof/>
                <w:webHidden/>
                <w:sz w:val="24"/>
                <w:szCs w:val="24"/>
                <w:lang w:val="lt-LT"/>
              </w:rPr>
              <w:fldChar w:fldCharType="begin"/>
            </w:r>
            <w:r w:rsidR="00AF08F6" w:rsidRPr="00EC1AB2">
              <w:rPr>
                <w:rFonts w:ascii="Times New Roman" w:hAnsi="Times New Roman"/>
                <w:noProof/>
                <w:webHidden/>
                <w:sz w:val="24"/>
                <w:szCs w:val="24"/>
                <w:lang w:val="lt-LT"/>
              </w:rPr>
              <w:instrText xml:space="preserve"> PAGEREF _Toc321092705 \h </w:instrText>
            </w:r>
            <w:r w:rsidR="00AF08F6" w:rsidRPr="00EC1AB2">
              <w:rPr>
                <w:rFonts w:ascii="Times New Roman" w:hAnsi="Times New Roman"/>
                <w:noProof/>
                <w:webHidden/>
                <w:sz w:val="24"/>
                <w:szCs w:val="24"/>
                <w:lang w:val="lt-LT"/>
              </w:rPr>
            </w:r>
            <w:r w:rsidR="00AF08F6" w:rsidRPr="00EC1AB2">
              <w:rPr>
                <w:rFonts w:ascii="Times New Roman" w:hAnsi="Times New Roman"/>
                <w:noProof/>
                <w:webHidden/>
                <w:sz w:val="24"/>
                <w:szCs w:val="24"/>
                <w:lang w:val="lt-LT"/>
              </w:rPr>
              <w:fldChar w:fldCharType="separate"/>
            </w:r>
            <w:r w:rsidR="00EB092C" w:rsidRPr="00EC1AB2">
              <w:rPr>
                <w:rFonts w:ascii="Times New Roman" w:hAnsi="Times New Roman"/>
                <w:noProof/>
                <w:webHidden/>
                <w:sz w:val="24"/>
                <w:szCs w:val="24"/>
                <w:lang w:val="lt-LT"/>
              </w:rPr>
              <w:t>47</w:t>
            </w:r>
            <w:r w:rsidR="00AF08F6" w:rsidRPr="00EC1AB2">
              <w:rPr>
                <w:rFonts w:ascii="Times New Roman" w:hAnsi="Times New Roman"/>
                <w:noProof/>
                <w:webHidden/>
                <w:sz w:val="24"/>
                <w:szCs w:val="24"/>
                <w:lang w:val="lt-LT"/>
              </w:rPr>
              <w:fldChar w:fldCharType="end"/>
            </w:r>
          </w:hyperlink>
        </w:p>
        <w:p w:rsidR="00AF08F6" w:rsidRPr="00EC1AB2" w:rsidRDefault="00EC1AB2">
          <w:pPr>
            <w:pStyle w:val="TOC1"/>
            <w:rPr>
              <w:rFonts w:ascii="Times New Roman" w:eastAsiaTheme="minorEastAsia" w:hAnsi="Times New Roman" w:cs="Times New Roman"/>
              <w:noProof/>
              <w:sz w:val="24"/>
              <w:szCs w:val="24"/>
              <w:lang w:eastAsia="lt-LT"/>
            </w:rPr>
          </w:pPr>
          <w:hyperlink w:anchor="_Toc321092706" w:history="1">
            <w:r w:rsidR="00AF08F6" w:rsidRPr="00EC1AB2">
              <w:rPr>
                <w:rStyle w:val="Hyperlink"/>
                <w:rFonts w:ascii="Times New Roman" w:hAnsi="Times New Roman" w:cs="Times New Roman"/>
                <w:noProof/>
                <w:sz w:val="24"/>
                <w:szCs w:val="24"/>
              </w:rPr>
              <w:t>IŠVADOS IR SIŪLYMAI</w:t>
            </w:r>
            <w:r w:rsidR="00AF08F6" w:rsidRPr="00EC1AB2">
              <w:rPr>
                <w:rFonts w:ascii="Times New Roman" w:hAnsi="Times New Roman" w:cs="Times New Roman"/>
                <w:noProof/>
                <w:webHidden/>
                <w:sz w:val="24"/>
                <w:szCs w:val="24"/>
              </w:rPr>
              <w:tab/>
            </w:r>
            <w:r w:rsidR="00AF08F6" w:rsidRPr="00EC1AB2">
              <w:rPr>
                <w:rFonts w:ascii="Times New Roman" w:hAnsi="Times New Roman" w:cs="Times New Roman"/>
                <w:noProof/>
                <w:webHidden/>
                <w:sz w:val="24"/>
                <w:szCs w:val="24"/>
              </w:rPr>
              <w:fldChar w:fldCharType="begin"/>
            </w:r>
            <w:r w:rsidR="00AF08F6" w:rsidRPr="00EC1AB2">
              <w:rPr>
                <w:rFonts w:ascii="Times New Roman" w:hAnsi="Times New Roman" w:cs="Times New Roman"/>
                <w:noProof/>
                <w:webHidden/>
                <w:sz w:val="24"/>
                <w:szCs w:val="24"/>
              </w:rPr>
              <w:instrText xml:space="preserve"> PAGEREF _Toc321092706 \h </w:instrText>
            </w:r>
            <w:r w:rsidR="00AF08F6" w:rsidRPr="00EC1AB2">
              <w:rPr>
                <w:rFonts w:ascii="Times New Roman" w:hAnsi="Times New Roman" w:cs="Times New Roman"/>
                <w:noProof/>
                <w:webHidden/>
                <w:sz w:val="24"/>
                <w:szCs w:val="24"/>
              </w:rPr>
            </w:r>
            <w:r w:rsidR="00AF08F6"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53</w:t>
            </w:r>
            <w:r w:rsidR="00AF08F6" w:rsidRPr="00EC1AB2">
              <w:rPr>
                <w:rFonts w:ascii="Times New Roman" w:hAnsi="Times New Roman" w:cs="Times New Roman"/>
                <w:noProof/>
                <w:webHidden/>
                <w:sz w:val="24"/>
                <w:szCs w:val="24"/>
              </w:rPr>
              <w:fldChar w:fldCharType="end"/>
            </w:r>
          </w:hyperlink>
        </w:p>
        <w:p w:rsidR="00AF08F6" w:rsidRPr="00EC1AB2" w:rsidRDefault="00EC1AB2">
          <w:pPr>
            <w:pStyle w:val="TOC1"/>
            <w:rPr>
              <w:rFonts w:ascii="Times New Roman" w:eastAsiaTheme="minorEastAsia" w:hAnsi="Times New Roman" w:cs="Times New Roman"/>
              <w:noProof/>
              <w:sz w:val="24"/>
              <w:szCs w:val="24"/>
              <w:lang w:eastAsia="lt-LT"/>
            </w:rPr>
          </w:pPr>
          <w:hyperlink w:anchor="_Toc321092707" w:history="1">
            <w:r w:rsidR="00AF08F6" w:rsidRPr="00EC1AB2">
              <w:rPr>
                <w:rStyle w:val="Hyperlink"/>
                <w:rFonts w:ascii="Times New Roman" w:hAnsi="Times New Roman" w:cs="Times New Roman"/>
                <w:noProof/>
                <w:sz w:val="24"/>
                <w:szCs w:val="24"/>
              </w:rPr>
              <w:t>LITERATŪRA</w:t>
            </w:r>
            <w:r w:rsidR="00AF08F6" w:rsidRPr="00EC1AB2">
              <w:rPr>
                <w:rFonts w:ascii="Times New Roman" w:hAnsi="Times New Roman" w:cs="Times New Roman"/>
                <w:noProof/>
                <w:webHidden/>
                <w:sz w:val="24"/>
                <w:szCs w:val="24"/>
              </w:rPr>
              <w:tab/>
            </w:r>
            <w:r w:rsidR="00AF08F6" w:rsidRPr="00EC1AB2">
              <w:rPr>
                <w:rFonts w:ascii="Times New Roman" w:hAnsi="Times New Roman" w:cs="Times New Roman"/>
                <w:noProof/>
                <w:webHidden/>
                <w:sz w:val="24"/>
                <w:szCs w:val="24"/>
              </w:rPr>
              <w:fldChar w:fldCharType="begin"/>
            </w:r>
            <w:r w:rsidR="00AF08F6" w:rsidRPr="00EC1AB2">
              <w:rPr>
                <w:rFonts w:ascii="Times New Roman" w:hAnsi="Times New Roman" w:cs="Times New Roman"/>
                <w:noProof/>
                <w:webHidden/>
                <w:sz w:val="24"/>
                <w:szCs w:val="24"/>
              </w:rPr>
              <w:instrText xml:space="preserve"> PAGEREF _Toc321092707 \h </w:instrText>
            </w:r>
            <w:r w:rsidR="00AF08F6" w:rsidRPr="00EC1AB2">
              <w:rPr>
                <w:rFonts w:ascii="Times New Roman" w:hAnsi="Times New Roman" w:cs="Times New Roman"/>
                <w:noProof/>
                <w:webHidden/>
                <w:sz w:val="24"/>
                <w:szCs w:val="24"/>
              </w:rPr>
            </w:r>
            <w:r w:rsidR="00AF08F6"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55</w:t>
            </w:r>
            <w:r w:rsidR="00AF08F6" w:rsidRPr="00EC1AB2">
              <w:rPr>
                <w:rFonts w:ascii="Times New Roman" w:hAnsi="Times New Roman" w:cs="Times New Roman"/>
                <w:noProof/>
                <w:webHidden/>
                <w:sz w:val="24"/>
                <w:szCs w:val="24"/>
              </w:rPr>
              <w:fldChar w:fldCharType="end"/>
            </w:r>
          </w:hyperlink>
        </w:p>
        <w:p w:rsidR="00AF08F6" w:rsidRPr="00EC1AB2" w:rsidRDefault="00EC1AB2">
          <w:pPr>
            <w:pStyle w:val="TOC1"/>
            <w:rPr>
              <w:rFonts w:ascii="Times New Roman" w:eastAsiaTheme="minorEastAsia" w:hAnsi="Times New Roman" w:cs="Times New Roman"/>
              <w:noProof/>
              <w:sz w:val="24"/>
              <w:szCs w:val="24"/>
              <w:lang w:eastAsia="lt-LT"/>
            </w:rPr>
          </w:pPr>
          <w:hyperlink w:anchor="_Toc321092708" w:history="1">
            <w:r w:rsidR="00AF08F6" w:rsidRPr="00EC1AB2">
              <w:rPr>
                <w:rStyle w:val="Hyperlink"/>
                <w:rFonts w:ascii="Times New Roman" w:eastAsia="TimesNewRomanPSMT" w:hAnsi="Times New Roman" w:cs="Times New Roman"/>
                <w:noProof/>
                <w:sz w:val="24"/>
                <w:szCs w:val="24"/>
              </w:rPr>
              <w:t>ANOTACIJA</w:t>
            </w:r>
            <w:r w:rsidR="00AF08F6" w:rsidRPr="00EC1AB2">
              <w:rPr>
                <w:rFonts w:ascii="Times New Roman" w:hAnsi="Times New Roman" w:cs="Times New Roman"/>
                <w:noProof/>
                <w:webHidden/>
                <w:sz w:val="24"/>
                <w:szCs w:val="24"/>
              </w:rPr>
              <w:tab/>
            </w:r>
            <w:r w:rsidR="00AF08F6" w:rsidRPr="00EC1AB2">
              <w:rPr>
                <w:rFonts w:ascii="Times New Roman" w:hAnsi="Times New Roman" w:cs="Times New Roman"/>
                <w:noProof/>
                <w:webHidden/>
                <w:sz w:val="24"/>
                <w:szCs w:val="24"/>
              </w:rPr>
              <w:fldChar w:fldCharType="begin"/>
            </w:r>
            <w:r w:rsidR="00AF08F6" w:rsidRPr="00EC1AB2">
              <w:rPr>
                <w:rFonts w:ascii="Times New Roman" w:hAnsi="Times New Roman" w:cs="Times New Roman"/>
                <w:noProof/>
                <w:webHidden/>
                <w:sz w:val="24"/>
                <w:szCs w:val="24"/>
              </w:rPr>
              <w:instrText xml:space="preserve"> PAGEREF _Toc321092708 \h </w:instrText>
            </w:r>
            <w:r w:rsidR="00AF08F6" w:rsidRPr="00EC1AB2">
              <w:rPr>
                <w:rFonts w:ascii="Times New Roman" w:hAnsi="Times New Roman" w:cs="Times New Roman"/>
                <w:noProof/>
                <w:webHidden/>
                <w:sz w:val="24"/>
                <w:szCs w:val="24"/>
              </w:rPr>
            </w:r>
            <w:r w:rsidR="00AF08F6"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60</w:t>
            </w:r>
            <w:r w:rsidR="00AF08F6" w:rsidRPr="00EC1AB2">
              <w:rPr>
                <w:rFonts w:ascii="Times New Roman" w:hAnsi="Times New Roman" w:cs="Times New Roman"/>
                <w:noProof/>
                <w:webHidden/>
                <w:sz w:val="24"/>
                <w:szCs w:val="24"/>
              </w:rPr>
              <w:fldChar w:fldCharType="end"/>
            </w:r>
          </w:hyperlink>
        </w:p>
        <w:p w:rsidR="00AF08F6" w:rsidRPr="00EC1AB2" w:rsidRDefault="00EC1AB2">
          <w:pPr>
            <w:pStyle w:val="TOC1"/>
            <w:rPr>
              <w:rFonts w:ascii="Times New Roman" w:eastAsiaTheme="minorEastAsia" w:hAnsi="Times New Roman" w:cs="Times New Roman"/>
              <w:noProof/>
              <w:sz w:val="24"/>
              <w:szCs w:val="24"/>
              <w:lang w:eastAsia="lt-LT"/>
            </w:rPr>
          </w:pPr>
          <w:hyperlink w:anchor="_Toc321092709" w:history="1">
            <w:r w:rsidR="00AF08F6" w:rsidRPr="00EC1AB2">
              <w:rPr>
                <w:rStyle w:val="Hyperlink"/>
                <w:rFonts w:ascii="Times New Roman" w:eastAsia="TimesNewRomanPSMT" w:hAnsi="Times New Roman" w:cs="Times New Roman"/>
                <w:noProof/>
                <w:sz w:val="24"/>
                <w:szCs w:val="24"/>
              </w:rPr>
              <w:t>ANNOTATION</w:t>
            </w:r>
            <w:r w:rsidR="00AF08F6" w:rsidRPr="00EC1AB2">
              <w:rPr>
                <w:rFonts w:ascii="Times New Roman" w:hAnsi="Times New Roman" w:cs="Times New Roman"/>
                <w:noProof/>
                <w:webHidden/>
                <w:sz w:val="24"/>
                <w:szCs w:val="24"/>
              </w:rPr>
              <w:tab/>
            </w:r>
            <w:r w:rsidR="00AF08F6" w:rsidRPr="00EC1AB2">
              <w:rPr>
                <w:rFonts w:ascii="Times New Roman" w:hAnsi="Times New Roman" w:cs="Times New Roman"/>
                <w:noProof/>
                <w:webHidden/>
                <w:sz w:val="24"/>
                <w:szCs w:val="24"/>
              </w:rPr>
              <w:fldChar w:fldCharType="begin"/>
            </w:r>
            <w:r w:rsidR="00AF08F6" w:rsidRPr="00EC1AB2">
              <w:rPr>
                <w:rFonts w:ascii="Times New Roman" w:hAnsi="Times New Roman" w:cs="Times New Roman"/>
                <w:noProof/>
                <w:webHidden/>
                <w:sz w:val="24"/>
                <w:szCs w:val="24"/>
              </w:rPr>
              <w:instrText xml:space="preserve"> PAGEREF _Toc321092709 \h </w:instrText>
            </w:r>
            <w:r w:rsidR="00AF08F6" w:rsidRPr="00EC1AB2">
              <w:rPr>
                <w:rFonts w:ascii="Times New Roman" w:hAnsi="Times New Roman" w:cs="Times New Roman"/>
                <w:noProof/>
                <w:webHidden/>
                <w:sz w:val="24"/>
                <w:szCs w:val="24"/>
              </w:rPr>
            </w:r>
            <w:r w:rsidR="00AF08F6"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61</w:t>
            </w:r>
            <w:r w:rsidR="00AF08F6" w:rsidRPr="00EC1AB2">
              <w:rPr>
                <w:rFonts w:ascii="Times New Roman" w:hAnsi="Times New Roman" w:cs="Times New Roman"/>
                <w:noProof/>
                <w:webHidden/>
                <w:sz w:val="24"/>
                <w:szCs w:val="24"/>
              </w:rPr>
              <w:fldChar w:fldCharType="end"/>
            </w:r>
          </w:hyperlink>
        </w:p>
        <w:p w:rsidR="00AF08F6" w:rsidRPr="00EC1AB2" w:rsidRDefault="00EC1AB2">
          <w:pPr>
            <w:pStyle w:val="TOC1"/>
            <w:rPr>
              <w:rFonts w:ascii="Times New Roman" w:eastAsiaTheme="minorEastAsia" w:hAnsi="Times New Roman" w:cs="Times New Roman"/>
              <w:noProof/>
              <w:sz w:val="24"/>
              <w:szCs w:val="24"/>
              <w:lang w:eastAsia="lt-LT"/>
            </w:rPr>
          </w:pPr>
          <w:hyperlink w:anchor="_Toc321092711" w:history="1">
            <w:r w:rsidR="00AF08F6" w:rsidRPr="00EC1AB2">
              <w:rPr>
                <w:rStyle w:val="Hyperlink"/>
                <w:rFonts w:ascii="Times New Roman" w:eastAsia="TimesNewRomanPSMT" w:hAnsi="Times New Roman" w:cs="Times New Roman"/>
                <w:noProof/>
                <w:sz w:val="24"/>
                <w:szCs w:val="24"/>
              </w:rPr>
              <w:t>SANTRAUKA</w:t>
            </w:r>
            <w:r w:rsidR="00AF08F6" w:rsidRPr="00EC1AB2">
              <w:rPr>
                <w:rFonts w:ascii="Times New Roman" w:hAnsi="Times New Roman" w:cs="Times New Roman"/>
                <w:noProof/>
                <w:webHidden/>
                <w:sz w:val="24"/>
                <w:szCs w:val="24"/>
              </w:rPr>
              <w:tab/>
            </w:r>
            <w:r w:rsidR="00AF08F6" w:rsidRPr="00EC1AB2">
              <w:rPr>
                <w:rFonts w:ascii="Times New Roman" w:hAnsi="Times New Roman" w:cs="Times New Roman"/>
                <w:noProof/>
                <w:webHidden/>
                <w:sz w:val="24"/>
                <w:szCs w:val="24"/>
              </w:rPr>
              <w:fldChar w:fldCharType="begin"/>
            </w:r>
            <w:r w:rsidR="00AF08F6" w:rsidRPr="00EC1AB2">
              <w:rPr>
                <w:rFonts w:ascii="Times New Roman" w:hAnsi="Times New Roman" w:cs="Times New Roman"/>
                <w:noProof/>
                <w:webHidden/>
                <w:sz w:val="24"/>
                <w:szCs w:val="24"/>
              </w:rPr>
              <w:instrText xml:space="preserve"> PAGEREF _Toc321092711 \h </w:instrText>
            </w:r>
            <w:r w:rsidR="00AF08F6" w:rsidRPr="00EC1AB2">
              <w:rPr>
                <w:rFonts w:ascii="Times New Roman" w:hAnsi="Times New Roman" w:cs="Times New Roman"/>
                <w:noProof/>
                <w:webHidden/>
                <w:sz w:val="24"/>
                <w:szCs w:val="24"/>
              </w:rPr>
            </w:r>
            <w:r w:rsidR="00AF08F6"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62</w:t>
            </w:r>
            <w:r w:rsidR="00AF08F6" w:rsidRPr="00EC1AB2">
              <w:rPr>
                <w:rFonts w:ascii="Times New Roman" w:hAnsi="Times New Roman" w:cs="Times New Roman"/>
                <w:noProof/>
                <w:webHidden/>
                <w:sz w:val="24"/>
                <w:szCs w:val="24"/>
              </w:rPr>
              <w:fldChar w:fldCharType="end"/>
            </w:r>
          </w:hyperlink>
        </w:p>
        <w:p w:rsidR="00AF08F6" w:rsidRPr="00EC1AB2" w:rsidRDefault="00EC1AB2">
          <w:pPr>
            <w:pStyle w:val="TOC1"/>
            <w:rPr>
              <w:rFonts w:ascii="Times New Roman" w:eastAsiaTheme="minorEastAsia" w:hAnsi="Times New Roman" w:cs="Times New Roman"/>
              <w:noProof/>
              <w:sz w:val="24"/>
              <w:szCs w:val="24"/>
              <w:lang w:eastAsia="lt-LT"/>
            </w:rPr>
          </w:pPr>
          <w:hyperlink w:anchor="_Toc321092712" w:history="1">
            <w:r w:rsidR="00AF08F6" w:rsidRPr="00EC1AB2">
              <w:rPr>
                <w:rStyle w:val="Hyperlink"/>
                <w:rFonts w:ascii="Times New Roman" w:eastAsia="TimesNewRomanPSMT" w:hAnsi="Times New Roman" w:cs="Times New Roman"/>
                <w:noProof/>
                <w:sz w:val="24"/>
                <w:szCs w:val="24"/>
              </w:rPr>
              <w:t>SUMMARY</w:t>
            </w:r>
            <w:r w:rsidR="00AF08F6" w:rsidRPr="00EC1AB2">
              <w:rPr>
                <w:rFonts w:ascii="Times New Roman" w:hAnsi="Times New Roman" w:cs="Times New Roman"/>
                <w:noProof/>
                <w:webHidden/>
                <w:sz w:val="24"/>
                <w:szCs w:val="24"/>
              </w:rPr>
              <w:tab/>
            </w:r>
            <w:r w:rsidR="00AF08F6" w:rsidRPr="00EC1AB2">
              <w:rPr>
                <w:rFonts w:ascii="Times New Roman" w:hAnsi="Times New Roman" w:cs="Times New Roman"/>
                <w:noProof/>
                <w:webHidden/>
                <w:sz w:val="24"/>
                <w:szCs w:val="24"/>
              </w:rPr>
              <w:fldChar w:fldCharType="begin"/>
            </w:r>
            <w:r w:rsidR="00AF08F6" w:rsidRPr="00EC1AB2">
              <w:rPr>
                <w:rFonts w:ascii="Times New Roman" w:hAnsi="Times New Roman" w:cs="Times New Roman"/>
                <w:noProof/>
                <w:webHidden/>
                <w:sz w:val="24"/>
                <w:szCs w:val="24"/>
              </w:rPr>
              <w:instrText xml:space="preserve"> PAGEREF _Toc321092712 \h </w:instrText>
            </w:r>
            <w:r w:rsidR="00AF08F6" w:rsidRPr="00EC1AB2">
              <w:rPr>
                <w:rFonts w:ascii="Times New Roman" w:hAnsi="Times New Roman" w:cs="Times New Roman"/>
                <w:noProof/>
                <w:webHidden/>
                <w:sz w:val="24"/>
                <w:szCs w:val="24"/>
              </w:rPr>
            </w:r>
            <w:r w:rsidR="00AF08F6"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64</w:t>
            </w:r>
            <w:r w:rsidR="00AF08F6" w:rsidRPr="00EC1AB2">
              <w:rPr>
                <w:rFonts w:ascii="Times New Roman" w:hAnsi="Times New Roman" w:cs="Times New Roman"/>
                <w:noProof/>
                <w:webHidden/>
                <w:sz w:val="24"/>
                <w:szCs w:val="24"/>
              </w:rPr>
              <w:fldChar w:fldCharType="end"/>
            </w:r>
          </w:hyperlink>
        </w:p>
        <w:p w:rsidR="00AF08F6" w:rsidRPr="00EC1AB2" w:rsidRDefault="00EC1AB2">
          <w:pPr>
            <w:pStyle w:val="TOC1"/>
            <w:rPr>
              <w:rFonts w:ascii="Times New Roman" w:eastAsiaTheme="minorEastAsia" w:hAnsi="Times New Roman" w:cs="Times New Roman"/>
              <w:noProof/>
              <w:sz w:val="24"/>
              <w:szCs w:val="24"/>
              <w:lang w:eastAsia="lt-LT"/>
            </w:rPr>
          </w:pPr>
          <w:hyperlink w:anchor="_Toc321092714" w:history="1">
            <w:r w:rsidR="00AF08F6" w:rsidRPr="00EC1AB2">
              <w:rPr>
                <w:rStyle w:val="Hyperlink"/>
                <w:rFonts w:ascii="Times New Roman" w:hAnsi="Times New Roman" w:cs="Times New Roman"/>
                <w:noProof/>
                <w:sz w:val="24"/>
                <w:szCs w:val="24"/>
              </w:rPr>
              <w:t>PRIEDAI</w:t>
            </w:r>
            <w:r w:rsidR="00AF08F6" w:rsidRPr="00EC1AB2">
              <w:rPr>
                <w:rFonts w:ascii="Times New Roman" w:hAnsi="Times New Roman" w:cs="Times New Roman"/>
                <w:noProof/>
                <w:webHidden/>
                <w:sz w:val="24"/>
                <w:szCs w:val="24"/>
              </w:rPr>
              <w:tab/>
            </w:r>
            <w:r w:rsidR="00AF08F6" w:rsidRPr="00EC1AB2">
              <w:rPr>
                <w:rFonts w:ascii="Times New Roman" w:hAnsi="Times New Roman" w:cs="Times New Roman"/>
                <w:noProof/>
                <w:webHidden/>
                <w:sz w:val="24"/>
                <w:szCs w:val="24"/>
              </w:rPr>
              <w:fldChar w:fldCharType="begin"/>
            </w:r>
            <w:r w:rsidR="00AF08F6" w:rsidRPr="00EC1AB2">
              <w:rPr>
                <w:rFonts w:ascii="Times New Roman" w:hAnsi="Times New Roman" w:cs="Times New Roman"/>
                <w:noProof/>
                <w:webHidden/>
                <w:sz w:val="24"/>
                <w:szCs w:val="24"/>
              </w:rPr>
              <w:instrText xml:space="preserve"> PAGEREF _Toc321092714 \h </w:instrText>
            </w:r>
            <w:r w:rsidR="00AF08F6" w:rsidRPr="00EC1AB2">
              <w:rPr>
                <w:rFonts w:ascii="Times New Roman" w:hAnsi="Times New Roman" w:cs="Times New Roman"/>
                <w:noProof/>
                <w:webHidden/>
                <w:sz w:val="24"/>
                <w:szCs w:val="24"/>
              </w:rPr>
            </w:r>
            <w:r w:rsidR="00AF08F6"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66</w:t>
            </w:r>
            <w:r w:rsidR="00AF08F6" w:rsidRPr="00EC1AB2">
              <w:rPr>
                <w:rFonts w:ascii="Times New Roman" w:hAnsi="Times New Roman" w:cs="Times New Roman"/>
                <w:noProof/>
                <w:webHidden/>
                <w:sz w:val="24"/>
                <w:szCs w:val="24"/>
              </w:rPr>
              <w:fldChar w:fldCharType="end"/>
            </w:r>
          </w:hyperlink>
        </w:p>
        <w:p w:rsidR="00BA5BE2" w:rsidRPr="00EC1AB2" w:rsidRDefault="00091BB8" w:rsidP="007A02A8">
          <w:pPr>
            <w:spacing w:after="0" w:line="360" w:lineRule="auto"/>
            <w:rPr>
              <w:rFonts w:ascii="Times New Roman" w:hAnsi="Times New Roman" w:cs="Times New Roman"/>
              <w:sz w:val="24"/>
              <w:szCs w:val="24"/>
            </w:rPr>
          </w:pPr>
          <w:r w:rsidRPr="00EC1AB2">
            <w:rPr>
              <w:rFonts w:ascii="Times New Roman" w:hAnsi="Times New Roman" w:cs="Times New Roman"/>
              <w:b/>
              <w:bCs/>
              <w:noProof/>
              <w:sz w:val="24"/>
              <w:szCs w:val="24"/>
            </w:rPr>
            <w:fldChar w:fldCharType="end"/>
          </w:r>
        </w:p>
      </w:sdtContent>
    </w:sdt>
    <w:bookmarkStart w:id="0" w:name="_Toc320567175" w:displacedByCustomXml="prev"/>
    <w:bookmarkStart w:id="1" w:name="_Toc320567029" w:displacedByCustomXml="prev"/>
    <w:bookmarkStart w:id="2" w:name="_Toc320566989" w:displacedByCustomXml="prev"/>
    <w:p w:rsidR="00FA1D9A" w:rsidRPr="00EC1AB2" w:rsidRDefault="00FA1D9A" w:rsidP="007A02A8">
      <w:pPr>
        <w:pStyle w:val="Heading1"/>
        <w:spacing w:before="0" w:after="0" w:line="360" w:lineRule="auto"/>
        <w:rPr>
          <w:sz w:val="28"/>
          <w:szCs w:val="28"/>
        </w:rPr>
      </w:pPr>
      <w:bookmarkStart w:id="3" w:name="_Toc320759760"/>
      <w:bookmarkStart w:id="4" w:name="_Toc320761758"/>
      <w:r w:rsidRPr="00EC1AB2">
        <w:rPr>
          <w:sz w:val="28"/>
          <w:szCs w:val="28"/>
        </w:rPr>
        <w:br w:type="page"/>
      </w:r>
    </w:p>
    <w:p w:rsidR="00FA1D9A" w:rsidRPr="00EC1AB2" w:rsidRDefault="00BA5BE2" w:rsidP="007A02A8">
      <w:pPr>
        <w:pStyle w:val="Heading1"/>
        <w:spacing w:before="0" w:after="0" w:line="360" w:lineRule="auto"/>
        <w:rPr>
          <w:sz w:val="24"/>
          <w:szCs w:val="24"/>
        </w:rPr>
      </w:pPr>
      <w:bookmarkStart w:id="5" w:name="_Toc320761900"/>
      <w:bookmarkStart w:id="6" w:name="_Toc320762135"/>
      <w:bookmarkStart w:id="7" w:name="_Toc320762537"/>
      <w:bookmarkStart w:id="8" w:name="_Toc321092692"/>
      <w:r w:rsidRPr="00EC1AB2">
        <w:rPr>
          <w:sz w:val="28"/>
          <w:szCs w:val="28"/>
        </w:rPr>
        <w:lastRenderedPageBreak/>
        <w:t>LENTELĖS</w:t>
      </w:r>
      <w:bookmarkEnd w:id="3"/>
      <w:bookmarkEnd w:id="4"/>
      <w:bookmarkEnd w:id="5"/>
      <w:bookmarkEnd w:id="6"/>
      <w:bookmarkEnd w:id="7"/>
      <w:bookmarkEnd w:id="8"/>
      <w:r w:rsidR="00FA1D9A" w:rsidRPr="00EC1AB2">
        <w:rPr>
          <w:sz w:val="24"/>
          <w:szCs w:val="24"/>
        </w:rPr>
        <w:fldChar w:fldCharType="begin"/>
      </w:r>
      <w:r w:rsidR="00FA1D9A" w:rsidRPr="00EC1AB2">
        <w:rPr>
          <w:sz w:val="24"/>
          <w:szCs w:val="24"/>
        </w:rPr>
        <w:instrText xml:space="preserve"> TOC \o "1-5" \h \z \u </w:instrText>
      </w:r>
      <w:r w:rsidR="00FA1D9A" w:rsidRPr="00EC1AB2">
        <w:rPr>
          <w:sz w:val="24"/>
          <w:szCs w:val="24"/>
        </w:rPr>
        <w:fldChar w:fldCharType="separate"/>
      </w:r>
    </w:p>
    <w:p w:rsidR="00FA1D9A" w:rsidRPr="00EC1AB2" w:rsidRDefault="00FA1D9A" w:rsidP="0034081A">
      <w:pPr>
        <w:pStyle w:val="TOC2"/>
        <w:rPr>
          <w:rFonts w:ascii="Times New Roman" w:hAnsi="Times New Roman"/>
          <w:noProof/>
          <w:lang w:val="lt-LT" w:eastAsia="lt-LT"/>
        </w:rPr>
      </w:pPr>
    </w:p>
    <w:p w:rsidR="00FA1D9A" w:rsidRPr="00EC1AB2" w:rsidRDefault="00EC1AB2" w:rsidP="007A02A8">
      <w:pPr>
        <w:pStyle w:val="TOC4"/>
        <w:rPr>
          <w:rFonts w:ascii="Times New Roman" w:hAnsi="Times New Roman" w:cs="Times New Roman"/>
          <w:noProof/>
          <w:sz w:val="24"/>
          <w:szCs w:val="24"/>
        </w:rPr>
      </w:pPr>
      <w:hyperlink w:anchor="_Toc320761905" w:history="1">
        <w:r w:rsidR="00487EDC" w:rsidRPr="00EC1AB2">
          <w:rPr>
            <w:rStyle w:val="Hyperlink"/>
            <w:rFonts w:ascii="Times New Roman" w:hAnsi="Times New Roman" w:cs="Times New Roman"/>
            <w:noProof/>
            <w:sz w:val="24"/>
            <w:szCs w:val="24"/>
          </w:rPr>
          <w:t>1 lentelė. Rizikos kapitalo t</w:t>
        </w:r>
        <w:r w:rsidR="00FA1D9A" w:rsidRPr="00EC1AB2">
          <w:rPr>
            <w:rStyle w:val="Hyperlink"/>
            <w:rFonts w:ascii="Times New Roman" w:hAnsi="Times New Roman" w:cs="Times New Roman"/>
            <w:noProof/>
            <w:sz w:val="24"/>
            <w:szCs w:val="24"/>
          </w:rPr>
          <w:t>erminologijos skirtumai Europoje bei JAV</w:t>
        </w:r>
        <w:r w:rsidR="00FA1D9A" w:rsidRPr="00EC1AB2">
          <w:rPr>
            <w:rFonts w:ascii="Times New Roman" w:hAnsi="Times New Roman" w:cs="Times New Roman"/>
            <w:noProof/>
            <w:webHidden/>
            <w:sz w:val="24"/>
            <w:szCs w:val="24"/>
          </w:rPr>
          <w:tab/>
        </w:r>
        <w:r w:rsidR="00FA1D9A" w:rsidRPr="00EC1AB2">
          <w:rPr>
            <w:rFonts w:ascii="Times New Roman" w:hAnsi="Times New Roman" w:cs="Times New Roman"/>
            <w:noProof/>
            <w:webHidden/>
            <w:sz w:val="24"/>
            <w:szCs w:val="24"/>
          </w:rPr>
          <w:fldChar w:fldCharType="begin"/>
        </w:r>
        <w:r w:rsidR="00FA1D9A" w:rsidRPr="00EC1AB2">
          <w:rPr>
            <w:rFonts w:ascii="Times New Roman" w:hAnsi="Times New Roman" w:cs="Times New Roman"/>
            <w:noProof/>
            <w:webHidden/>
            <w:sz w:val="24"/>
            <w:szCs w:val="24"/>
          </w:rPr>
          <w:instrText xml:space="preserve"> PAGEREF _Toc320761905 \h </w:instrText>
        </w:r>
        <w:r w:rsidR="00FA1D9A" w:rsidRPr="00EC1AB2">
          <w:rPr>
            <w:rFonts w:ascii="Times New Roman" w:hAnsi="Times New Roman" w:cs="Times New Roman"/>
            <w:noProof/>
            <w:webHidden/>
            <w:sz w:val="24"/>
            <w:szCs w:val="24"/>
          </w:rPr>
        </w:r>
        <w:r w:rsidR="00FA1D9A"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2</w:t>
        </w:r>
        <w:r w:rsidR="00FA1D9A" w:rsidRPr="00EC1AB2">
          <w:rPr>
            <w:rFonts w:ascii="Times New Roman" w:hAnsi="Times New Roman" w:cs="Times New Roman"/>
            <w:noProof/>
            <w:webHidden/>
            <w:sz w:val="24"/>
            <w:szCs w:val="24"/>
          </w:rPr>
          <w:fldChar w:fldCharType="end"/>
        </w:r>
      </w:hyperlink>
    </w:p>
    <w:p w:rsidR="00FA1D9A" w:rsidRPr="00EC1AB2" w:rsidRDefault="00EC1AB2" w:rsidP="007A02A8">
      <w:pPr>
        <w:pStyle w:val="TOC4"/>
        <w:rPr>
          <w:rFonts w:ascii="Times New Roman" w:hAnsi="Times New Roman" w:cs="Times New Roman"/>
          <w:noProof/>
          <w:sz w:val="24"/>
          <w:szCs w:val="24"/>
        </w:rPr>
      </w:pPr>
      <w:hyperlink w:anchor="_Toc320761913" w:history="1">
        <w:r w:rsidR="00FA1D9A" w:rsidRPr="00EC1AB2">
          <w:rPr>
            <w:rStyle w:val="Hyperlink"/>
            <w:rFonts w:ascii="Times New Roman" w:hAnsi="Times New Roman" w:cs="Times New Roman"/>
            <w:noProof/>
            <w:sz w:val="24"/>
            <w:szCs w:val="24"/>
          </w:rPr>
          <w:t>2 lentelė. Veiksniai, svarbūs rizikos kapitalo plėtrai, bei jų įvertinimo rodikliai</w:t>
        </w:r>
        <w:r w:rsidR="00FA1D9A" w:rsidRPr="00EC1AB2">
          <w:rPr>
            <w:rFonts w:ascii="Times New Roman" w:hAnsi="Times New Roman" w:cs="Times New Roman"/>
            <w:noProof/>
            <w:webHidden/>
            <w:sz w:val="24"/>
            <w:szCs w:val="24"/>
          </w:rPr>
          <w:tab/>
        </w:r>
        <w:r w:rsidR="00FA1D9A" w:rsidRPr="00EC1AB2">
          <w:rPr>
            <w:rFonts w:ascii="Times New Roman" w:hAnsi="Times New Roman" w:cs="Times New Roman"/>
            <w:noProof/>
            <w:webHidden/>
            <w:sz w:val="24"/>
            <w:szCs w:val="24"/>
          </w:rPr>
          <w:fldChar w:fldCharType="begin"/>
        </w:r>
        <w:r w:rsidR="00FA1D9A" w:rsidRPr="00EC1AB2">
          <w:rPr>
            <w:rFonts w:ascii="Times New Roman" w:hAnsi="Times New Roman" w:cs="Times New Roman"/>
            <w:noProof/>
            <w:webHidden/>
            <w:sz w:val="24"/>
            <w:szCs w:val="24"/>
          </w:rPr>
          <w:instrText xml:space="preserve"> PAGEREF _Toc320761913 \h </w:instrText>
        </w:r>
        <w:r w:rsidR="00FA1D9A" w:rsidRPr="00EC1AB2">
          <w:rPr>
            <w:rFonts w:ascii="Times New Roman" w:hAnsi="Times New Roman" w:cs="Times New Roman"/>
            <w:noProof/>
            <w:webHidden/>
            <w:sz w:val="24"/>
            <w:szCs w:val="24"/>
          </w:rPr>
        </w:r>
        <w:r w:rsidR="00FA1D9A"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2</w:t>
        </w:r>
        <w:r w:rsidR="00FA1D9A" w:rsidRPr="00EC1AB2">
          <w:rPr>
            <w:rFonts w:ascii="Times New Roman" w:hAnsi="Times New Roman" w:cs="Times New Roman"/>
            <w:noProof/>
            <w:webHidden/>
            <w:sz w:val="24"/>
            <w:szCs w:val="24"/>
          </w:rPr>
          <w:fldChar w:fldCharType="end"/>
        </w:r>
      </w:hyperlink>
    </w:p>
    <w:p w:rsidR="00FA1D9A" w:rsidRPr="00EC1AB2" w:rsidRDefault="00EC1AB2" w:rsidP="007A02A8">
      <w:pPr>
        <w:pStyle w:val="TOC4"/>
        <w:rPr>
          <w:rFonts w:ascii="Times New Roman" w:hAnsi="Times New Roman" w:cs="Times New Roman"/>
          <w:noProof/>
          <w:sz w:val="24"/>
          <w:szCs w:val="24"/>
        </w:rPr>
      </w:pPr>
      <w:hyperlink w:anchor="_Toc320761914" w:history="1">
        <w:r w:rsidR="00FA1D9A" w:rsidRPr="00EC1AB2">
          <w:rPr>
            <w:rStyle w:val="Hyperlink"/>
            <w:rFonts w:ascii="Times New Roman" w:eastAsia="MinionPro-Regular" w:hAnsi="Times New Roman" w:cs="Times New Roman"/>
            <w:noProof/>
            <w:sz w:val="24"/>
            <w:szCs w:val="24"/>
            <w:lang w:eastAsia="lt-LT"/>
          </w:rPr>
          <w:t>3 lentelė. Rizikos kapitalo fondų investavimo pobūdis pagal finansavimo šaltinius</w:t>
        </w:r>
        <w:r w:rsidR="00FA1D9A" w:rsidRPr="00EC1AB2">
          <w:rPr>
            <w:rFonts w:ascii="Times New Roman" w:hAnsi="Times New Roman" w:cs="Times New Roman"/>
            <w:noProof/>
            <w:webHidden/>
            <w:sz w:val="24"/>
            <w:szCs w:val="24"/>
          </w:rPr>
          <w:tab/>
        </w:r>
        <w:r w:rsidR="00FA1D9A" w:rsidRPr="00EC1AB2">
          <w:rPr>
            <w:rFonts w:ascii="Times New Roman" w:hAnsi="Times New Roman" w:cs="Times New Roman"/>
            <w:noProof/>
            <w:webHidden/>
            <w:sz w:val="24"/>
            <w:szCs w:val="24"/>
          </w:rPr>
          <w:fldChar w:fldCharType="begin"/>
        </w:r>
        <w:r w:rsidR="00FA1D9A" w:rsidRPr="00EC1AB2">
          <w:rPr>
            <w:rFonts w:ascii="Times New Roman" w:hAnsi="Times New Roman" w:cs="Times New Roman"/>
            <w:noProof/>
            <w:webHidden/>
            <w:sz w:val="24"/>
            <w:szCs w:val="24"/>
          </w:rPr>
          <w:instrText xml:space="preserve"> PAGEREF _Toc320761914 \h </w:instrText>
        </w:r>
        <w:r w:rsidR="00FA1D9A" w:rsidRPr="00EC1AB2">
          <w:rPr>
            <w:rFonts w:ascii="Times New Roman" w:hAnsi="Times New Roman" w:cs="Times New Roman"/>
            <w:noProof/>
            <w:webHidden/>
            <w:sz w:val="24"/>
            <w:szCs w:val="24"/>
          </w:rPr>
        </w:r>
        <w:r w:rsidR="00FA1D9A"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2</w:t>
        </w:r>
        <w:r w:rsidR="00FA1D9A" w:rsidRPr="00EC1AB2">
          <w:rPr>
            <w:rFonts w:ascii="Times New Roman" w:hAnsi="Times New Roman" w:cs="Times New Roman"/>
            <w:noProof/>
            <w:webHidden/>
            <w:sz w:val="24"/>
            <w:szCs w:val="24"/>
          </w:rPr>
          <w:fldChar w:fldCharType="end"/>
        </w:r>
      </w:hyperlink>
    </w:p>
    <w:p w:rsidR="00FA1D9A" w:rsidRPr="00EC1AB2" w:rsidRDefault="00EC1AB2" w:rsidP="007A02A8">
      <w:pPr>
        <w:pStyle w:val="TOC4"/>
        <w:rPr>
          <w:rFonts w:ascii="Times New Roman" w:hAnsi="Times New Roman" w:cs="Times New Roman"/>
          <w:noProof/>
          <w:sz w:val="24"/>
          <w:szCs w:val="24"/>
        </w:rPr>
      </w:pPr>
      <w:hyperlink w:anchor="_Toc320761915" w:history="1">
        <w:r w:rsidR="00FA1D9A" w:rsidRPr="00EC1AB2">
          <w:rPr>
            <w:rStyle w:val="Hyperlink"/>
            <w:rFonts w:ascii="Times New Roman" w:eastAsia="MinionPro-Regular" w:hAnsi="Times New Roman" w:cs="Times New Roman"/>
            <w:noProof/>
            <w:sz w:val="24"/>
            <w:szCs w:val="24"/>
            <w:lang w:eastAsia="lt-LT"/>
          </w:rPr>
          <w:t>4 lentelė. Pagrindiniai empiriniai rizikos kapitalo veiksnių vertinimo tyrimai</w:t>
        </w:r>
        <w:r w:rsidR="00FA1D9A" w:rsidRPr="00EC1AB2">
          <w:rPr>
            <w:rFonts w:ascii="Times New Roman" w:hAnsi="Times New Roman" w:cs="Times New Roman"/>
            <w:noProof/>
            <w:webHidden/>
            <w:sz w:val="24"/>
            <w:szCs w:val="24"/>
          </w:rPr>
          <w:tab/>
        </w:r>
        <w:r w:rsidR="00FA1D9A" w:rsidRPr="00EC1AB2">
          <w:rPr>
            <w:rFonts w:ascii="Times New Roman" w:hAnsi="Times New Roman" w:cs="Times New Roman"/>
            <w:noProof/>
            <w:webHidden/>
            <w:sz w:val="24"/>
            <w:szCs w:val="24"/>
          </w:rPr>
          <w:fldChar w:fldCharType="begin"/>
        </w:r>
        <w:r w:rsidR="00FA1D9A" w:rsidRPr="00EC1AB2">
          <w:rPr>
            <w:rFonts w:ascii="Times New Roman" w:hAnsi="Times New Roman" w:cs="Times New Roman"/>
            <w:noProof/>
            <w:webHidden/>
            <w:sz w:val="24"/>
            <w:szCs w:val="24"/>
          </w:rPr>
          <w:instrText xml:space="preserve"> PAGEREF _Toc320761915 \h </w:instrText>
        </w:r>
        <w:r w:rsidR="00FA1D9A" w:rsidRPr="00EC1AB2">
          <w:rPr>
            <w:rFonts w:ascii="Times New Roman" w:hAnsi="Times New Roman" w:cs="Times New Roman"/>
            <w:noProof/>
            <w:webHidden/>
            <w:sz w:val="24"/>
            <w:szCs w:val="24"/>
          </w:rPr>
        </w:r>
        <w:r w:rsidR="00FA1D9A"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2</w:t>
        </w:r>
        <w:r w:rsidR="00FA1D9A" w:rsidRPr="00EC1AB2">
          <w:rPr>
            <w:rFonts w:ascii="Times New Roman" w:hAnsi="Times New Roman" w:cs="Times New Roman"/>
            <w:noProof/>
            <w:webHidden/>
            <w:sz w:val="24"/>
            <w:szCs w:val="24"/>
          </w:rPr>
          <w:fldChar w:fldCharType="end"/>
        </w:r>
      </w:hyperlink>
    </w:p>
    <w:p w:rsidR="00FA1D9A" w:rsidRPr="00EC1AB2" w:rsidRDefault="00EC1AB2" w:rsidP="007A02A8">
      <w:pPr>
        <w:pStyle w:val="TOC4"/>
        <w:rPr>
          <w:rFonts w:ascii="Times New Roman" w:hAnsi="Times New Roman" w:cs="Times New Roman"/>
          <w:noProof/>
          <w:sz w:val="24"/>
          <w:szCs w:val="24"/>
        </w:rPr>
      </w:pPr>
      <w:hyperlink w:anchor="_Toc320761934" w:history="1">
        <w:r w:rsidR="0050598E" w:rsidRPr="00EC1AB2">
          <w:rPr>
            <w:rStyle w:val="Hyperlink"/>
            <w:rFonts w:ascii="Times New Roman" w:hAnsi="Times New Roman" w:cs="Times New Roman"/>
            <w:noProof/>
            <w:sz w:val="24"/>
            <w:szCs w:val="24"/>
          </w:rPr>
          <w:t>5 lentelė. Rizikos kapitalo fondų</w:t>
        </w:r>
        <w:r w:rsidR="00FA1D9A" w:rsidRPr="00EC1AB2">
          <w:rPr>
            <w:rStyle w:val="Hyperlink"/>
            <w:rFonts w:ascii="Times New Roman" w:hAnsi="Times New Roman" w:cs="Times New Roman"/>
            <w:noProof/>
            <w:sz w:val="24"/>
            <w:szCs w:val="24"/>
          </w:rPr>
          <w:t xml:space="preserve"> investicijų proc. nuo BVP ir suminio inovatyvumo indekso nuolatinės veiklos kategorijos rodiklių koreliacija</w:t>
        </w:r>
        <w:r w:rsidR="00FA1D9A" w:rsidRPr="00EC1AB2">
          <w:rPr>
            <w:rFonts w:ascii="Times New Roman" w:hAnsi="Times New Roman" w:cs="Times New Roman"/>
            <w:noProof/>
            <w:webHidden/>
            <w:sz w:val="24"/>
            <w:szCs w:val="24"/>
          </w:rPr>
          <w:tab/>
        </w:r>
        <w:r w:rsidR="00FA1D9A" w:rsidRPr="00EC1AB2">
          <w:rPr>
            <w:rFonts w:ascii="Times New Roman" w:hAnsi="Times New Roman" w:cs="Times New Roman"/>
            <w:noProof/>
            <w:webHidden/>
            <w:sz w:val="24"/>
            <w:szCs w:val="24"/>
          </w:rPr>
          <w:fldChar w:fldCharType="begin"/>
        </w:r>
        <w:r w:rsidR="00FA1D9A" w:rsidRPr="00EC1AB2">
          <w:rPr>
            <w:rFonts w:ascii="Times New Roman" w:hAnsi="Times New Roman" w:cs="Times New Roman"/>
            <w:noProof/>
            <w:webHidden/>
            <w:sz w:val="24"/>
            <w:szCs w:val="24"/>
          </w:rPr>
          <w:instrText xml:space="preserve"> PAGEREF _Toc320761934 \h </w:instrText>
        </w:r>
        <w:r w:rsidR="00FA1D9A" w:rsidRPr="00EC1AB2">
          <w:rPr>
            <w:rFonts w:ascii="Times New Roman" w:hAnsi="Times New Roman" w:cs="Times New Roman"/>
            <w:noProof/>
            <w:webHidden/>
            <w:sz w:val="24"/>
            <w:szCs w:val="24"/>
          </w:rPr>
        </w:r>
        <w:r w:rsidR="00FA1D9A"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2</w:t>
        </w:r>
        <w:r w:rsidR="00FA1D9A" w:rsidRPr="00EC1AB2">
          <w:rPr>
            <w:rFonts w:ascii="Times New Roman" w:hAnsi="Times New Roman" w:cs="Times New Roman"/>
            <w:noProof/>
            <w:webHidden/>
            <w:sz w:val="24"/>
            <w:szCs w:val="24"/>
          </w:rPr>
          <w:fldChar w:fldCharType="end"/>
        </w:r>
      </w:hyperlink>
    </w:p>
    <w:p w:rsidR="00FA1D9A" w:rsidRPr="00EC1AB2" w:rsidRDefault="00EC1AB2" w:rsidP="007A02A8">
      <w:pPr>
        <w:pStyle w:val="TOC4"/>
        <w:rPr>
          <w:rFonts w:ascii="Times New Roman" w:hAnsi="Times New Roman" w:cs="Times New Roman"/>
          <w:noProof/>
          <w:sz w:val="24"/>
          <w:szCs w:val="24"/>
        </w:rPr>
      </w:pPr>
      <w:hyperlink w:anchor="_Toc320761935" w:history="1">
        <w:r w:rsidR="0050598E" w:rsidRPr="00EC1AB2">
          <w:rPr>
            <w:rStyle w:val="Hyperlink"/>
            <w:rFonts w:ascii="Times New Roman" w:hAnsi="Times New Roman" w:cs="Times New Roman"/>
            <w:noProof/>
            <w:sz w:val="24"/>
            <w:szCs w:val="24"/>
          </w:rPr>
          <w:t>6 lentelė. Rizikos kapitalo fondų</w:t>
        </w:r>
        <w:r w:rsidR="00FA1D9A" w:rsidRPr="00EC1AB2">
          <w:rPr>
            <w:rStyle w:val="Hyperlink"/>
            <w:rFonts w:ascii="Times New Roman" w:hAnsi="Times New Roman" w:cs="Times New Roman"/>
            <w:noProof/>
            <w:sz w:val="24"/>
            <w:szCs w:val="24"/>
          </w:rPr>
          <w:t xml:space="preserve"> investicijų apimties ir suminio inovatyvumo indekso rezultatų kategorijos rodiklių koreliacija</w:t>
        </w:r>
        <w:r w:rsidR="00FA1D9A" w:rsidRPr="00EC1AB2">
          <w:rPr>
            <w:rFonts w:ascii="Times New Roman" w:hAnsi="Times New Roman" w:cs="Times New Roman"/>
            <w:noProof/>
            <w:webHidden/>
            <w:sz w:val="24"/>
            <w:szCs w:val="24"/>
          </w:rPr>
          <w:tab/>
        </w:r>
        <w:r w:rsidR="00FA1D9A" w:rsidRPr="00EC1AB2">
          <w:rPr>
            <w:rFonts w:ascii="Times New Roman" w:hAnsi="Times New Roman" w:cs="Times New Roman"/>
            <w:noProof/>
            <w:webHidden/>
            <w:sz w:val="24"/>
            <w:szCs w:val="24"/>
          </w:rPr>
          <w:fldChar w:fldCharType="begin"/>
        </w:r>
        <w:r w:rsidR="00FA1D9A" w:rsidRPr="00EC1AB2">
          <w:rPr>
            <w:rFonts w:ascii="Times New Roman" w:hAnsi="Times New Roman" w:cs="Times New Roman"/>
            <w:noProof/>
            <w:webHidden/>
            <w:sz w:val="24"/>
            <w:szCs w:val="24"/>
          </w:rPr>
          <w:instrText xml:space="preserve"> PAGEREF _Toc320761935 \h </w:instrText>
        </w:r>
        <w:r w:rsidR="00FA1D9A" w:rsidRPr="00EC1AB2">
          <w:rPr>
            <w:rFonts w:ascii="Times New Roman" w:hAnsi="Times New Roman" w:cs="Times New Roman"/>
            <w:noProof/>
            <w:webHidden/>
            <w:sz w:val="24"/>
            <w:szCs w:val="24"/>
          </w:rPr>
        </w:r>
        <w:r w:rsidR="00FA1D9A"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2</w:t>
        </w:r>
        <w:r w:rsidR="00FA1D9A" w:rsidRPr="00EC1AB2">
          <w:rPr>
            <w:rFonts w:ascii="Times New Roman" w:hAnsi="Times New Roman" w:cs="Times New Roman"/>
            <w:noProof/>
            <w:webHidden/>
            <w:sz w:val="24"/>
            <w:szCs w:val="24"/>
          </w:rPr>
          <w:fldChar w:fldCharType="end"/>
        </w:r>
      </w:hyperlink>
    </w:p>
    <w:p w:rsidR="00FA1D9A" w:rsidRPr="00EC1AB2" w:rsidRDefault="00EC1AB2" w:rsidP="007A02A8">
      <w:pPr>
        <w:pStyle w:val="TOC4"/>
        <w:rPr>
          <w:rFonts w:ascii="Times New Roman" w:hAnsi="Times New Roman" w:cs="Times New Roman"/>
          <w:noProof/>
          <w:sz w:val="24"/>
          <w:szCs w:val="24"/>
        </w:rPr>
      </w:pPr>
      <w:hyperlink w:anchor="_Toc320761937" w:history="1">
        <w:r w:rsidR="00FA1D9A" w:rsidRPr="00EC1AB2">
          <w:rPr>
            <w:rStyle w:val="Hyperlink"/>
            <w:rFonts w:ascii="Times New Roman" w:eastAsia="Times New Roman" w:hAnsi="Times New Roman" w:cs="Times New Roman"/>
            <w:noProof/>
            <w:sz w:val="24"/>
            <w:szCs w:val="24"/>
            <w:lang w:eastAsia="lt-LT"/>
          </w:rPr>
          <w:t>7 lentelė. Ekspertų vertinimo rangų lentelė</w:t>
        </w:r>
        <w:r w:rsidR="00FA1D9A" w:rsidRPr="00EC1AB2">
          <w:rPr>
            <w:rFonts w:ascii="Times New Roman" w:hAnsi="Times New Roman" w:cs="Times New Roman"/>
            <w:noProof/>
            <w:webHidden/>
            <w:sz w:val="24"/>
            <w:szCs w:val="24"/>
          </w:rPr>
          <w:tab/>
        </w:r>
        <w:r w:rsidR="00FA1D9A" w:rsidRPr="00EC1AB2">
          <w:rPr>
            <w:rFonts w:ascii="Times New Roman" w:hAnsi="Times New Roman" w:cs="Times New Roman"/>
            <w:noProof/>
            <w:webHidden/>
            <w:sz w:val="24"/>
            <w:szCs w:val="24"/>
          </w:rPr>
          <w:fldChar w:fldCharType="begin"/>
        </w:r>
        <w:r w:rsidR="00FA1D9A" w:rsidRPr="00EC1AB2">
          <w:rPr>
            <w:rFonts w:ascii="Times New Roman" w:hAnsi="Times New Roman" w:cs="Times New Roman"/>
            <w:noProof/>
            <w:webHidden/>
            <w:sz w:val="24"/>
            <w:szCs w:val="24"/>
          </w:rPr>
          <w:instrText xml:space="preserve"> PAGEREF _Toc320761937 \h </w:instrText>
        </w:r>
        <w:r w:rsidR="00FA1D9A" w:rsidRPr="00EC1AB2">
          <w:rPr>
            <w:rFonts w:ascii="Times New Roman" w:hAnsi="Times New Roman" w:cs="Times New Roman"/>
            <w:noProof/>
            <w:webHidden/>
            <w:sz w:val="24"/>
            <w:szCs w:val="24"/>
          </w:rPr>
        </w:r>
        <w:r w:rsidR="00FA1D9A"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2</w:t>
        </w:r>
        <w:r w:rsidR="00FA1D9A" w:rsidRPr="00EC1AB2">
          <w:rPr>
            <w:rFonts w:ascii="Times New Roman" w:hAnsi="Times New Roman" w:cs="Times New Roman"/>
            <w:noProof/>
            <w:webHidden/>
            <w:sz w:val="24"/>
            <w:szCs w:val="24"/>
          </w:rPr>
          <w:fldChar w:fldCharType="end"/>
        </w:r>
      </w:hyperlink>
    </w:p>
    <w:p w:rsidR="00FA1D9A" w:rsidRPr="00EC1AB2" w:rsidRDefault="00EC1AB2" w:rsidP="007A02A8">
      <w:pPr>
        <w:pStyle w:val="TOC4"/>
        <w:rPr>
          <w:rFonts w:ascii="Times New Roman" w:hAnsi="Times New Roman" w:cs="Times New Roman"/>
          <w:noProof/>
          <w:sz w:val="24"/>
          <w:szCs w:val="24"/>
        </w:rPr>
      </w:pPr>
      <w:hyperlink w:anchor="_Toc320761938" w:history="1">
        <w:r w:rsidR="00FA1D9A" w:rsidRPr="00EC1AB2">
          <w:rPr>
            <w:rStyle w:val="Hyperlink"/>
            <w:rFonts w:ascii="Times New Roman" w:eastAsia="Times New Roman" w:hAnsi="Times New Roman" w:cs="Times New Roman"/>
            <w:noProof/>
            <w:sz w:val="24"/>
            <w:szCs w:val="24"/>
            <w:lang w:eastAsia="lt-LT"/>
          </w:rPr>
          <w:t>8 lentelė. Ekspertų vertinimo rangų vidurkiai</w:t>
        </w:r>
        <w:r w:rsidR="00FA1D9A" w:rsidRPr="00EC1AB2">
          <w:rPr>
            <w:rFonts w:ascii="Times New Roman" w:hAnsi="Times New Roman" w:cs="Times New Roman"/>
            <w:noProof/>
            <w:webHidden/>
            <w:sz w:val="24"/>
            <w:szCs w:val="24"/>
          </w:rPr>
          <w:tab/>
        </w:r>
        <w:r w:rsidR="00FA1D9A" w:rsidRPr="00EC1AB2">
          <w:rPr>
            <w:rFonts w:ascii="Times New Roman" w:hAnsi="Times New Roman" w:cs="Times New Roman"/>
            <w:noProof/>
            <w:webHidden/>
            <w:sz w:val="24"/>
            <w:szCs w:val="24"/>
          </w:rPr>
          <w:fldChar w:fldCharType="begin"/>
        </w:r>
        <w:r w:rsidR="00FA1D9A" w:rsidRPr="00EC1AB2">
          <w:rPr>
            <w:rFonts w:ascii="Times New Roman" w:hAnsi="Times New Roman" w:cs="Times New Roman"/>
            <w:noProof/>
            <w:webHidden/>
            <w:sz w:val="24"/>
            <w:szCs w:val="24"/>
          </w:rPr>
          <w:instrText xml:space="preserve"> PAGEREF _Toc320761938 \h </w:instrText>
        </w:r>
        <w:r w:rsidR="00FA1D9A" w:rsidRPr="00EC1AB2">
          <w:rPr>
            <w:rFonts w:ascii="Times New Roman" w:hAnsi="Times New Roman" w:cs="Times New Roman"/>
            <w:noProof/>
            <w:webHidden/>
            <w:sz w:val="24"/>
            <w:szCs w:val="24"/>
          </w:rPr>
        </w:r>
        <w:r w:rsidR="00FA1D9A"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2</w:t>
        </w:r>
        <w:r w:rsidR="00FA1D9A" w:rsidRPr="00EC1AB2">
          <w:rPr>
            <w:rFonts w:ascii="Times New Roman" w:hAnsi="Times New Roman" w:cs="Times New Roman"/>
            <w:noProof/>
            <w:webHidden/>
            <w:sz w:val="24"/>
            <w:szCs w:val="24"/>
          </w:rPr>
          <w:fldChar w:fldCharType="end"/>
        </w:r>
      </w:hyperlink>
    </w:p>
    <w:p w:rsidR="00FA1D9A" w:rsidRPr="00EC1AB2" w:rsidRDefault="00EC1AB2" w:rsidP="007A02A8">
      <w:pPr>
        <w:pStyle w:val="TOC4"/>
        <w:rPr>
          <w:rFonts w:ascii="Times New Roman" w:hAnsi="Times New Roman" w:cs="Times New Roman"/>
          <w:noProof/>
          <w:sz w:val="24"/>
          <w:szCs w:val="24"/>
        </w:rPr>
      </w:pPr>
      <w:hyperlink w:anchor="_Toc320761939" w:history="1">
        <w:r w:rsidR="00FA1D9A" w:rsidRPr="00EC1AB2">
          <w:rPr>
            <w:rStyle w:val="Hyperlink"/>
            <w:rFonts w:ascii="Times New Roman" w:hAnsi="Times New Roman" w:cs="Times New Roman"/>
            <w:noProof/>
            <w:sz w:val="24"/>
            <w:szCs w:val="24"/>
          </w:rPr>
          <w:t>9 lentelė. Kendall‘s testo rezultatai</w:t>
        </w:r>
        <w:r w:rsidR="00FA1D9A" w:rsidRPr="00EC1AB2">
          <w:rPr>
            <w:rFonts w:ascii="Times New Roman" w:hAnsi="Times New Roman" w:cs="Times New Roman"/>
            <w:noProof/>
            <w:webHidden/>
            <w:sz w:val="24"/>
            <w:szCs w:val="24"/>
          </w:rPr>
          <w:tab/>
        </w:r>
        <w:r w:rsidR="00FA1D9A" w:rsidRPr="00EC1AB2">
          <w:rPr>
            <w:rFonts w:ascii="Times New Roman" w:hAnsi="Times New Roman" w:cs="Times New Roman"/>
            <w:noProof/>
            <w:webHidden/>
            <w:sz w:val="24"/>
            <w:szCs w:val="24"/>
          </w:rPr>
          <w:fldChar w:fldCharType="begin"/>
        </w:r>
        <w:r w:rsidR="00FA1D9A" w:rsidRPr="00EC1AB2">
          <w:rPr>
            <w:rFonts w:ascii="Times New Roman" w:hAnsi="Times New Roman" w:cs="Times New Roman"/>
            <w:noProof/>
            <w:webHidden/>
            <w:sz w:val="24"/>
            <w:szCs w:val="24"/>
          </w:rPr>
          <w:instrText xml:space="preserve"> PAGEREF _Toc320761939 \h </w:instrText>
        </w:r>
        <w:r w:rsidR="00FA1D9A" w:rsidRPr="00EC1AB2">
          <w:rPr>
            <w:rFonts w:ascii="Times New Roman" w:hAnsi="Times New Roman" w:cs="Times New Roman"/>
            <w:noProof/>
            <w:webHidden/>
            <w:sz w:val="24"/>
            <w:szCs w:val="24"/>
          </w:rPr>
        </w:r>
        <w:r w:rsidR="00FA1D9A"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2</w:t>
        </w:r>
        <w:r w:rsidR="00FA1D9A" w:rsidRPr="00EC1AB2">
          <w:rPr>
            <w:rFonts w:ascii="Times New Roman" w:hAnsi="Times New Roman" w:cs="Times New Roman"/>
            <w:noProof/>
            <w:webHidden/>
            <w:sz w:val="24"/>
            <w:szCs w:val="24"/>
          </w:rPr>
          <w:fldChar w:fldCharType="end"/>
        </w:r>
      </w:hyperlink>
    </w:p>
    <w:p w:rsidR="00FA1D9A" w:rsidRPr="00EC1AB2" w:rsidRDefault="00EC1AB2" w:rsidP="007A02A8">
      <w:pPr>
        <w:pStyle w:val="TOC4"/>
        <w:rPr>
          <w:rFonts w:ascii="Times New Roman" w:hAnsi="Times New Roman" w:cs="Times New Roman"/>
          <w:noProof/>
          <w:sz w:val="24"/>
          <w:szCs w:val="24"/>
        </w:rPr>
      </w:pPr>
      <w:hyperlink w:anchor="_Toc320761940" w:history="1">
        <w:r w:rsidR="00FA1D9A" w:rsidRPr="00EC1AB2">
          <w:rPr>
            <w:rStyle w:val="Hyperlink"/>
            <w:rFonts w:ascii="Times New Roman" w:hAnsi="Times New Roman" w:cs="Times New Roman"/>
            <w:noProof/>
            <w:sz w:val="24"/>
            <w:szCs w:val="24"/>
          </w:rPr>
          <w:t>10 lentelė. The Global Venture Capital and Private Equity Country Attractiveness Index</w:t>
        </w:r>
        <w:r w:rsidR="00FA1D9A" w:rsidRPr="00EC1AB2">
          <w:rPr>
            <w:rFonts w:ascii="Times New Roman" w:hAnsi="Times New Roman" w:cs="Times New Roman"/>
            <w:noProof/>
            <w:webHidden/>
            <w:sz w:val="24"/>
            <w:szCs w:val="24"/>
          </w:rPr>
          <w:tab/>
        </w:r>
        <w:r w:rsidR="00FA1D9A" w:rsidRPr="00EC1AB2">
          <w:rPr>
            <w:rFonts w:ascii="Times New Roman" w:hAnsi="Times New Roman" w:cs="Times New Roman"/>
            <w:noProof/>
            <w:webHidden/>
            <w:sz w:val="24"/>
            <w:szCs w:val="24"/>
          </w:rPr>
          <w:fldChar w:fldCharType="begin"/>
        </w:r>
        <w:r w:rsidR="00FA1D9A" w:rsidRPr="00EC1AB2">
          <w:rPr>
            <w:rFonts w:ascii="Times New Roman" w:hAnsi="Times New Roman" w:cs="Times New Roman"/>
            <w:noProof/>
            <w:webHidden/>
            <w:sz w:val="24"/>
            <w:szCs w:val="24"/>
          </w:rPr>
          <w:instrText xml:space="preserve"> PAGEREF _Toc320761940 \h </w:instrText>
        </w:r>
        <w:r w:rsidR="00FA1D9A" w:rsidRPr="00EC1AB2">
          <w:rPr>
            <w:rFonts w:ascii="Times New Roman" w:hAnsi="Times New Roman" w:cs="Times New Roman"/>
            <w:noProof/>
            <w:webHidden/>
            <w:sz w:val="24"/>
            <w:szCs w:val="24"/>
          </w:rPr>
        </w:r>
        <w:r w:rsidR="00FA1D9A"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2</w:t>
        </w:r>
        <w:r w:rsidR="00FA1D9A" w:rsidRPr="00EC1AB2">
          <w:rPr>
            <w:rFonts w:ascii="Times New Roman" w:hAnsi="Times New Roman" w:cs="Times New Roman"/>
            <w:noProof/>
            <w:webHidden/>
            <w:sz w:val="24"/>
            <w:szCs w:val="24"/>
          </w:rPr>
          <w:fldChar w:fldCharType="end"/>
        </w:r>
      </w:hyperlink>
    </w:p>
    <w:p w:rsidR="00FA1D9A" w:rsidRPr="00EC1AB2" w:rsidRDefault="00EC1AB2" w:rsidP="007A02A8">
      <w:pPr>
        <w:pStyle w:val="TOC4"/>
        <w:rPr>
          <w:rFonts w:ascii="Times New Roman" w:hAnsi="Times New Roman" w:cs="Times New Roman"/>
          <w:noProof/>
          <w:sz w:val="24"/>
          <w:szCs w:val="24"/>
        </w:rPr>
      </w:pPr>
      <w:hyperlink w:anchor="_Toc320761941" w:history="1">
        <w:r w:rsidR="00FA1D9A" w:rsidRPr="00EC1AB2">
          <w:rPr>
            <w:rStyle w:val="Hyperlink"/>
            <w:rFonts w:ascii="Times New Roman" w:hAnsi="Times New Roman" w:cs="Times New Roman"/>
            <w:noProof/>
            <w:sz w:val="24"/>
            <w:szCs w:val="24"/>
          </w:rPr>
          <w:t xml:space="preserve">11 lentelė. Rizikos kapitalo </w:t>
        </w:r>
        <w:r w:rsidR="004C3994" w:rsidRPr="00EC1AB2">
          <w:rPr>
            <w:rStyle w:val="Hyperlink"/>
            <w:rFonts w:ascii="Times New Roman" w:hAnsi="Times New Roman" w:cs="Times New Roman"/>
            <w:noProof/>
            <w:sz w:val="24"/>
            <w:szCs w:val="24"/>
          </w:rPr>
          <w:t xml:space="preserve">fondų </w:t>
        </w:r>
        <w:r w:rsidR="00F350BA" w:rsidRPr="00EC1AB2">
          <w:rPr>
            <w:rStyle w:val="Hyperlink"/>
            <w:rFonts w:ascii="Times New Roman" w:hAnsi="Times New Roman" w:cs="Times New Roman"/>
            <w:noProof/>
            <w:sz w:val="24"/>
            <w:szCs w:val="24"/>
          </w:rPr>
          <w:t>plėtros Lietuvoje</w:t>
        </w:r>
        <w:r w:rsidR="00FA1D9A" w:rsidRPr="00EC1AB2">
          <w:rPr>
            <w:rStyle w:val="Hyperlink"/>
            <w:rFonts w:ascii="Times New Roman" w:hAnsi="Times New Roman" w:cs="Times New Roman"/>
            <w:noProof/>
            <w:sz w:val="24"/>
            <w:szCs w:val="24"/>
          </w:rPr>
          <w:t xml:space="preserve"> SWOT analizė</w:t>
        </w:r>
        <w:r w:rsidR="00FA1D9A" w:rsidRPr="00EC1AB2">
          <w:rPr>
            <w:rFonts w:ascii="Times New Roman" w:hAnsi="Times New Roman" w:cs="Times New Roman"/>
            <w:noProof/>
            <w:webHidden/>
            <w:sz w:val="24"/>
            <w:szCs w:val="24"/>
          </w:rPr>
          <w:tab/>
        </w:r>
        <w:r w:rsidR="00FA1D9A" w:rsidRPr="00EC1AB2">
          <w:rPr>
            <w:rFonts w:ascii="Times New Roman" w:hAnsi="Times New Roman" w:cs="Times New Roman"/>
            <w:noProof/>
            <w:webHidden/>
            <w:sz w:val="24"/>
            <w:szCs w:val="24"/>
          </w:rPr>
          <w:fldChar w:fldCharType="begin"/>
        </w:r>
        <w:r w:rsidR="00FA1D9A" w:rsidRPr="00EC1AB2">
          <w:rPr>
            <w:rFonts w:ascii="Times New Roman" w:hAnsi="Times New Roman" w:cs="Times New Roman"/>
            <w:noProof/>
            <w:webHidden/>
            <w:sz w:val="24"/>
            <w:szCs w:val="24"/>
          </w:rPr>
          <w:instrText xml:space="preserve"> PAGEREF _Toc320761941 \h </w:instrText>
        </w:r>
        <w:r w:rsidR="00FA1D9A" w:rsidRPr="00EC1AB2">
          <w:rPr>
            <w:rFonts w:ascii="Times New Roman" w:hAnsi="Times New Roman" w:cs="Times New Roman"/>
            <w:noProof/>
            <w:webHidden/>
            <w:sz w:val="24"/>
            <w:szCs w:val="24"/>
          </w:rPr>
        </w:r>
        <w:r w:rsidR="00FA1D9A"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2</w:t>
        </w:r>
        <w:r w:rsidR="00FA1D9A" w:rsidRPr="00EC1AB2">
          <w:rPr>
            <w:rFonts w:ascii="Times New Roman" w:hAnsi="Times New Roman" w:cs="Times New Roman"/>
            <w:noProof/>
            <w:webHidden/>
            <w:sz w:val="24"/>
            <w:szCs w:val="24"/>
          </w:rPr>
          <w:fldChar w:fldCharType="end"/>
        </w:r>
      </w:hyperlink>
    </w:p>
    <w:p w:rsidR="00FA1D9A" w:rsidRPr="00EC1AB2" w:rsidRDefault="00FA1D9A" w:rsidP="00890D8C">
      <w:pPr>
        <w:spacing w:after="0" w:line="360" w:lineRule="auto"/>
        <w:rPr>
          <w:sz w:val="28"/>
          <w:szCs w:val="28"/>
        </w:rPr>
      </w:pPr>
      <w:r w:rsidRPr="00EC1AB2">
        <w:rPr>
          <w:rFonts w:ascii="Times New Roman" w:hAnsi="Times New Roman" w:cs="Times New Roman"/>
          <w:sz w:val="24"/>
          <w:szCs w:val="24"/>
          <w:lang w:eastAsia="x-none"/>
        </w:rPr>
        <w:fldChar w:fldCharType="end"/>
      </w:r>
      <w:bookmarkStart w:id="9" w:name="_Toc320759761"/>
      <w:bookmarkStart w:id="10" w:name="_Toc320761759"/>
      <w:bookmarkStart w:id="11" w:name="_Toc320761901"/>
      <w:r w:rsidRPr="00EC1AB2">
        <w:rPr>
          <w:sz w:val="28"/>
          <w:szCs w:val="28"/>
        </w:rPr>
        <w:br w:type="page"/>
      </w:r>
    </w:p>
    <w:p w:rsidR="005E02A0" w:rsidRPr="00EC1AB2" w:rsidRDefault="00FB742D" w:rsidP="007A02A8">
      <w:pPr>
        <w:pStyle w:val="Heading1"/>
        <w:spacing w:before="0" w:after="0" w:line="360" w:lineRule="auto"/>
        <w:rPr>
          <w:sz w:val="24"/>
          <w:szCs w:val="24"/>
        </w:rPr>
      </w:pPr>
      <w:bookmarkStart w:id="12" w:name="_Toc320762136"/>
      <w:bookmarkStart w:id="13" w:name="_Toc320762538"/>
      <w:bookmarkStart w:id="14" w:name="_Toc321092693"/>
      <w:r w:rsidRPr="00EC1AB2">
        <w:rPr>
          <w:sz w:val="28"/>
          <w:szCs w:val="28"/>
        </w:rPr>
        <w:lastRenderedPageBreak/>
        <w:t>PAVEIKSLA</w:t>
      </w:r>
      <w:bookmarkEnd w:id="2"/>
      <w:bookmarkEnd w:id="1"/>
      <w:bookmarkEnd w:id="0"/>
      <w:r w:rsidR="00BA5BE2" w:rsidRPr="00EC1AB2">
        <w:rPr>
          <w:sz w:val="28"/>
          <w:szCs w:val="28"/>
        </w:rPr>
        <w:t>I</w:t>
      </w:r>
      <w:bookmarkEnd w:id="9"/>
      <w:bookmarkEnd w:id="10"/>
      <w:bookmarkEnd w:id="11"/>
      <w:bookmarkEnd w:id="12"/>
      <w:bookmarkEnd w:id="13"/>
      <w:bookmarkEnd w:id="14"/>
      <w:r w:rsidR="005E02A0" w:rsidRPr="00EC1AB2">
        <w:rPr>
          <w:b w:val="0"/>
          <w:sz w:val="24"/>
          <w:szCs w:val="24"/>
        </w:rPr>
        <w:fldChar w:fldCharType="begin"/>
      </w:r>
      <w:r w:rsidR="005E02A0" w:rsidRPr="00EC1AB2">
        <w:rPr>
          <w:b w:val="0"/>
          <w:sz w:val="24"/>
          <w:szCs w:val="24"/>
        </w:rPr>
        <w:instrText xml:space="preserve"> TOC \o "1-5" \h \z \u </w:instrText>
      </w:r>
      <w:r w:rsidR="005E02A0" w:rsidRPr="00EC1AB2">
        <w:rPr>
          <w:b w:val="0"/>
          <w:sz w:val="24"/>
          <w:szCs w:val="24"/>
        </w:rPr>
        <w:fldChar w:fldCharType="separate"/>
      </w:r>
    </w:p>
    <w:p w:rsidR="005E02A0" w:rsidRPr="00EC1AB2" w:rsidRDefault="005E02A0" w:rsidP="007A02A8">
      <w:pPr>
        <w:pStyle w:val="TOC1"/>
        <w:rPr>
          <w:rFonts w:ascii="Times New Roman" w:eastAsiaTheme="minorEastAsia" w:hAnsi="Times New Roman" w:cs="Times New Roman"/>
          <w:noProof/>
          <w:sz w:val="24"/>
          <w:szCs w:val="24"/>
          <w:lang w:eastAsia="lt-LT"/>
        </w:rPr>
      </w:pPr>
    </w:p>
    <w:p w:rsidR="005E02A0" w:rsidRPr="00EC1AB2" w:rsidRDefault="00EC1AB2" w:rsidP="007A02A8">
      <w:pPr>
        <w:pStyle w:val="TOC5"/>
        <w:rPr>
          <w:rFonts w:ascii="Times New Roman" w:eastAsiaTheme="minorEastAsia" w:hAnsi="Times New Roman" w:cs="Times New Roman"/>
          <w:noProof/>
          <w:sz w:val="24"/>
          <w:szCs w:val="24"/>
          <w:lang w:eastAsia="lt-LT"/>
        </w:rPr>
      </w:pPr>
      <w:hyperlink w:anchor="_Toc320762543" w:history="1">
        <w:r w:rsidR="005E02A0" w:rsidRPr="00EC1AB2">
          <w:rPr>
            <w:rStyle w:val="Hyperlink"/>
            <w:rFonts w:ascii="Times New Roman" w:hAnsi="Times New Roman" w:cs="Times New Roman"/>
            <w:noProof/>
            <w:sz w:val="24"/>
            <w:szCs w:val="24"/>
          </w:rPr>
          <w:t>1 pav. Įmonės veiklos etapai ir finansavimo šaltiniai</w:t>
        </w:r>
        <w:r w:rsidR="005E02A0" w:rsidRPr="00EC1AB2">
          <w:rPr>
            <w:rFonts w:ascii="Times New Roman" w:hAnsi="Times New Roman" w:cs="Times New Roman"/>
            <w:noProof/>
            <w:webHidden/>
            <w:sz w:val="24"/>
            <w:szCs w:val="24"/>
          </w:rPr>
          <w:tab/>
        </w:r>
        <w:r w:rsidR="005E02A0" w:rsidRPr="00EC1AB2">
          <w:rPr>
            <w:rFonts w:ascii="Times New Roman" w:hAnsi="Times New Roman" w:cs="Times New Roman"/>
            <w:noProof/>
            <w:webHidden/>
            <w:sz w:val="24"/>
            <w:szCs w:val="24"/>
          </w:rPr>
          <w:fldChar w:fldCharType="begin"/>
        </w:r>
        <w:r w:rsidR="005E02A0" w:rsidRPr="00EC1AB2">
          <w:rPr>
            <w:rFonts w:ascii="Times New Roman" w:hAnsi="Times New Roman" w:cs="Times New Roman"/>
            <w:noProof/>
            <w:webHidden/>
            <w:sz w:val="24"/>
            <w:szCs w:val="24"/>
          </w:rPr>
          <w:instrText xml:space="preserve"> PAGEREF _Toc320762543 \h </w:instrText>
        </w:r>
        <w:r w:rsidR="005E02A0" w:rsidRPr="00EC1AB2">
          <w:rPr>
            <w:rFonts w:ascii="Times New Roman" w:hAnsi="Times New Roman" w:cs="Times New Roman"/>
            <w:noProof/>
            <w:webHidden/>
            <w:sz w:val="24"/>
            <w:szCs w:val="24"/>
          </w:rPr>
        </w:r>
        <w:r w:rsidR="005E02A0"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2</w:t>
        </w:r>
        <w:r w:rsidR="005E02A0" w:rsidRPr="00EC1AB2">
          <w:rPr>
            <w:rFonts w:ascii="Times New Roman" w:hAnsi="Times New Roman" w:cs="Times New Roman"/>
            <w:noProof/>
            <w:webHidden/>
            <w:sz w:val="24"/>
            <w:szCs w:val="24"/>
          </w:rPr>
          <w:fldChar w:fldCharType="end"/>
        </w:r>
      </w:hyperlink>
    </w:p>
    <w:p w:rsidR="005E02A0" w:rsidRPr="00EC1AB2" w:rsidRDefault="00EC1AB2" w:rsidP="007A02A8">
      <w:pPr>
        <w:pStyle w:val="TOC5"/>
        <w:rPr>
          <w:rFonts w:ascii="Times New Roman" w:eastAsiaTheme="minorEastAsia" w:hAnsi="Times New Roman" w:cs="Times New Roman"/>
          <w:noProof/>
          <w:sz w:val="24"/>
          <w:szCs w:val="24"/>
          <w:lang w:eastAsia="lt-LT"/>
        </w:rPr>
      </w:pPr>
      <w:hyperlink w:anchor="_Toc320762545" w:history="1">
        <w:r w:rsidR="005E02A0" w:rsidRPr="00EC1AB2">
          <w:rPr>
            <w:rStyle w:val="Hyperlink"/>
            <w:rFonts w:ascii="Times New Roman" w:hAnsi="Times New Roman" w:cs="Times New Roman"/>
            <w:noProof/>
            <w:sz w:val="24"/>
            <w:szCs w:val="24"/>
          </w:rPr>
          <w:t>2 pav. Rizikos kapitalo fondo struktūra</w:t>
        </w:r>
        <w:r w:rsidR="005E02A0" w:rsidRPr="00EC1AB2">
          <w:rPr>
            <w:rFonts w:ascii="Times New Roman" w:hAnsi="Times New Roman" w:cs="Times New Roman"/>
            <w:noProof/>
            <w:webHidden/>
            <w:sz w:val="24"/>
            <w:szCs w:val="24"/>
          </w:rPr>
          <w:tab/>
        </w:r>
        <w:r w:rsidR="005E02A0" w:rsidRPr="00EC1AB2">
          <w:rPr>
            <w:rFonts w:ascii="Times New Roman" w:hAnsi="Times New Roman" w:cs="Times New Roman"/>
            <w:noProof/>
            <w:webHidden/>
            <w:sz w:val="24"/>
            <w:szCs w:val="24"/>
          </w:rPr>
          <w:fldChar w:fldCharType="begin"/>
        </w:r>
        <w:r w:rsidR="005E02A0" w:rsidRPr="00EC1AB2">
          <w:rPr>
            <w:rFonts w:ascii="Times New Roman" w:hAnsi="Times New Roman" w:cs="Times New Roman"/>
            <w:noProof/>
            <w:webHidden/>
            <w:sz w:val="24"/>
            <w:szCs w:val="24"/>
          </w:rPr>
          <w:instrText xml:space="preserve"> PAGEREF _Toc320762545 \h </w:instrText>
        </w:r>
        <w:r w:rsidR="005E02A0" w:rsidRPr="00EC1AB2">
          <w:rPr>
            <w:rFonts w:ascii="Times New Roman" w:hAnsi="Times New Roman" w:cs="Times New Roman"/>
            <w:noProof/>
            <w:webHidden/>
            <w:sz w:val="24"/>
            <w:szCs w:val="24"/>
          </w:rPr>
        </w:r>
        <w:r w:rsidR="005E02A0"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2</w:t>
        </w:r>
        <w:r w:rsidR="005E02A0" w:rsidRPr="00EC1AB2">
          <w:rPr>
            <w:rFonts w:ascii="Times New Roman" w:hAnsi="Times New Roman" w:cs="Times New Roman"/>
            <w:noProof/>
            <w:webHidden/>
            <w:sz w:val="24"/>
            <w:szCs w:val="24"/>
          </w:rPr>
          <w:fldChar w:fldCharType="end"/>
        </w:r>
      </w:hyperlink>
    </w:p>
    <w:p w:rsidR="005E02A0" w:rsidRPr="00EC1AB2" w:rsidRDefault="00EC1AB2" w:rsidP="007A02A8">
      <w:pPr>
        <w:pStyle w:val="TOC5"/>
        <w:rPr>
          <w:rFonts w:ascii="Times New Roman" w:eastAsiaTheme="minorEastAsia" w:hAnsi="Times New Roman" w:cs="Times New Roman"/>
          <w:noProof/>
          <w:sz w:val="24"/>
          <w:szCs w:val="24"/>
          <w:lang w:eastAsia="lt-LT"/>
        </w:rPr>
      </w:pPr>
      <w:hyperlink w:anchor="_Toc320762547" w:history="1">
        <w:r w:rsidR="005E02A0" w:rsidRPr="00EC1AB2">
          <w:rPr>
            <w:rStyle w:val="Hyperlink"/>
            <w:rFonts w:ascii="Times New Roman" w:hAnsi="Times New Roman" w:cs="Times New Roman"/>
            <w:noProof/>
            <w:sz w:val="24"/>
            <w:szCs w:val="24"/>
          </w:rPr>
          <w:t>3 pav. Rizikos kapitalo įtaka regiono konkurencingumui</w:t>
        </w:r>
        <w:r w:rsidR="005E02A0" w:rsidRPr="00EC1AB2">
          <w:rPr>
            <w:rFonts w:ascii="Times New Roman" w:hAnsi="Times New Roman" w:cs="Times New Roman"/>
            <w:noProof/>
            <w:webHidden/>
            <w:sz w:val="24"/>
            <w:szCs w:val="24"/>
          </w:rPr>
          <w:tab/>
        </w:r>
        <w:r w:rsidR="005E02A0" w:rsidRPr="00EC1AB2">
          <w:rPr>
            <w:rFonts w:ascii="Times New Roman" w:hAnsi="Times New Roman" w:cs="Times New Roman"/>
            <w:noProof/>
            <w:webHidden/>
            <w:sz w:val="24"/>
            <w:szCs w:val="24"/>
          </w:rPr>
          <w:fldChar w:fldCharType="begin"/>
        </w:r>
        <w:r w:rsidR="005E02A0" w:rsidRPr="00EC1AB2">
          <w:rPr>
            <w:rFonts w:ascii="Times New Roman" w:hAnsi="Times New Roman" w:cs="Times New Roman"/>
            <w:noProof/>
            <w:webHidden/>
            <w:sz w:val="24"/>
            <w:szCs w:val="24"/>
          </w:rPr>
          <w:instrText xml:space="preserve"> PAGEREF _Toc320762547 \h </w:instrText>
        </w:r>
        <w:r w:rsidR="005E02A0" w:rsidRPr="00EC1AB2">
          <w:rPr>
            <w:rFonts w:ascii="Times New Roman" w:hAnsi="Times New Roman" w:cs="Times New Roman"/>
            <w:noProof/>
            <w:webHidden/>
            <w:sz w:val="24"/>
            <w:szCs w:val="24"/>
          </w:rPr>
        </w:r>
        <w:r w:rsidR="005E02A0"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2</w:t>
        </w:r>
        <w:r w:rsidR="005E02A0" w:rsidRPr="00EC1AB2">
          <w:rPr>
            <w:rFonts w:ascii="Times New Roman" w:hAnsi="Times New Roman" w:cs="Times New Roman"/>
            <w:noProof/>
            <w:webHidden/>
            <w:sz w:val="24"/>
            <w:szCs w:val="24"/>
          </w:rPr>
          <w:fldChar w:fldCharType="end"/>
        </w:r>
      </w:hyperlink>
    </w:p>
    <w:p w:rsidR="005E02A0" w:rsidRPr="00EC1AB2" w:rsidRDefault="00EC1AB2" w:rsidP="007A02A8">
      <w:pPr>
        <w:pStyle w:val="TOC5"/>
        <w:rPr>
          <w:rFonts w:ascii="Times New Roman" w:eastAsiaTheme="minorEastAsia" w:hAnsi="Times New Roman" w:cs="Times New Roman"/>
          <w:noProof/>
          <w:sz w:val="24"/>
          <w:szCs w:val="24"/>
          <w:lang w:eastAsia="lt-LT"/>
        </w:rPr>
      </w:pPr>
      <w:hyperlink w:anchor="_Toc320762548" w:history="1">
        <w:r w:rsidR="005E02A0" w:rsidRPr="00EC1AB2">
          <w:rPr>
            <w:rStyle w:val="Hyperlink"/>
            <w:rFonts w:ascii="Times New Roman" w:hAnsi="Times New Roman" w:cs="Times New Roman"/>
            <w:noProof/>
            <w:sz w:val="24"/>
            <w:szCs w:val="24"/>
          </w:rPr>
          <w:t xml:space="preserve">4 pav. </w:t>
        </w:r>
        <w:r w:rsidR="00487EDC" w:rsidRPr="00EC1AB2">
          <w:rPr>
            <w:rStyle w:val="Hyperlink"/>
            <w:rFonts w:ascii="Times New Roman" w:hAnsi="Times New Roman" w:cs="Times New Roman"/>
            <w:noProof/>
            <w:sz w:val="24"/>
            <w:szCs w:val="24"/>
          </w:rPr>
          <w:t>Rizikos kapitalo fondų veiklos fin</w:t>
        </w:r>
        <w:r w:rsidR="005E02A0" w:rsidRPr="00EC1AB2">
          <w:rPr>
            <w:rStyle w:val="Hyperlink"/>
            <w:rFonts w:ascii="Times New Roman" w:hAnsi="Times New Roman" w:cs="Times New Roman"/>
            <w:noProof/>
            <w:sz w:val="24"/>
            <w:szCs w:val="24"/>
          </w:rPr>
          <w:t>ansinis ciklas</w:t>
        </w:r>
        <w:r w:rsidR="005E02A0" w:rsidRPr="00EC1AB2">
          <w:rPr>
            <w:rFonts w:ascii="Times New Roman" w:hAnsi="Times New Roman" w:cs="Times New Roman"/>
            <w:noProof/>
            <w:webHidden/>
            <w:sz w:val="24"/>
            <w:szCs w:val="24"/>
          </w:rPr>
          <w:tab/>
        </w:r>
        <w:r w:rsidR="005E02A0" w:rsidRPr="00EC1AB2">
          <w:rPr>
            <w:rFonts w:ascii="Times New Roman" w:hAnsi="Times New Roman" w:cs="Times New Roman"/>
            <w:noProof/>
            <w:webHidden/>
            <w:sz w:val="24"/>
            <w:szCs w:val="24"/>
          </w:rPr>
          <w:fldChar w:fldCharType="begin"/>
        </w:r>
        <w:r w:rsidR="005E02A0" w:rsidRPr="00EC1AB2">
          <w:rPr>
            <w:rFonts w:ascii="Times New Roman" w:hAnsi="Times New Roman" w:cs="Times New Roman"/>
            <w:noProof/>
            <w:webHidden/>
            <w:sz w:val="24"/>
            <w:szCs w:val="24"/>
          </w:rPr>
          <w:instrText xml:space="preserve"> PAGEREF _Toc320762548 \h </w:instrText>
        </w:r>
        <w:r w:rsidR="005E02A0" w:rsidRPr="00EC1AB2">
          <w:rPr>
            <w:rFonts w:ascii="Times New Roman" w:hAnsi="Times New Roman" w:cs="Times New Roman"/>
            <w:noProof/>
            <w:webHidden/>
            <w:sz w:val="24"/>
            <w:szCs w:val="24"/>
          </w:rPr>
        </w:r>
        <w:r w:rsidR="005E02A0"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2</w:t>
        </w:r>
        <w:r w:rsidR="005E02A0" w:rsidRPr="00EC1AB2">
          <w:rPr>
            <w:rFonts w:ascii="Times New Roman" w:hAnsi="Times New Roman" w:cs="Times New Roman"/>
            <w:noProof/>
            <w:webHidden/>
            <w:sz w:val="24"/>
            <w:szCs w:val="24"/>
          </w:rPr>
          <w:fldChar w:fldCharType="end"/>
        </w:r>
      </w:hyperlink>
    </w:p>
    <w:p w:rsidR="005E02A0" w:rsidRPr="00EC1AB2" w:rsidRDefault="00EC1AB2" w:rsidP="007A02A8">
      <w:pPr>
        <w:pStyle w:val="TOC5"/>
        <w:rPr>
          <w:rFonts w:ascii="Times New Roman" w:eastAsiaTheme="minorEastAsia" w:hAnsi="Times New Roman" w:cs="Times New Roman"/>
          <w:noProof/>
          <w:sz w:val="24"/>
          <w:szCs w:val="24"/>
          <w:lang w:eastAsia="lt-LT"/>
        </w:rPr>
      </w:pPr>
      <w:hyperlink w:anchor="_Toc320762555" w:history="1">
        <w:r w:rsidR="004C3994" w:rsidRPr="00EC1AB2">
          <w:rPr>
            <w:rStyle w:val="Hyperlink"/>
            <w:rFonts w:ascii="Times New Roman" w:hAnsi="Times New Roman" w:cs="Times New Roman"/>
            <w:noProof/>
            <w:sz w:val="24"/>
            <w:szCs w:val="24"/>
          </w:rPr>
          <w:t>5 pav. Rizikos kapitalo fondų</w:t>
        </w:r>
        <w:r w:rsidR="005E02A0" w:rsidRPr="00EC1AB2">
          <w:rPr>
            <w:rStyle w:val="Hyperlink"/>
            <w:rFonts w:ascii="Times New Roman" w:hAnsi="Times New Roman" w:cs="Times New Roman"/>
            <w:noProof/>
            <w:sz w:val="24"/>
            <w:szCs w:val="24"/>
          </w:rPr>
          <w:t xml:space="preserve"> investicijų santykis su BVP ES 2010 m., proc.</w:t>
        </w:r>
        <w:r w:rsidR="005E02A0" w:rsidRPr="00EC1AB2">
          <w:rPr>
            <w:rFonts w:ascii="Times New Roman" w:hAnsi="Times New Roman" w:cs="Times New Roman"/>
            <w:noProof/>
            <w:webHidden/>
            <w:sz w:val="24"/>
            <w:szCs w:val="24"/>
          </w:rPr>
          <w:tab/>
        </w:r>
        <w:r w:rsidR="005E02A0" w:rsidRPr="00EC1AB2">
          <w:rPr>
            <w:rFonts w:ascii="Times New Roman" w:hAnsi="Times New Roman" w:cs="Times New Roman"/>
            <w:noProof/>
            <w:webHidden/>
            <w:sz w:val="24"/>
            <w:szCs w:val="24"/>
          </w:rPr>
          <w:fldChar w:fldCharType="begin"/>
        </w:r>
        <w:r w:rsidR="005E02A0" w:rsidRPr="00EC1AB2">
          <w:rPr>
            <w:rFonts w:ascii="Times New Roman" w:hAnsi="Times New Roman" w:cs="Times New Roman"/>
            <w:noProof/>
            <w:webHidden/>
            <w:sz w:val="24"/>
            <w:szCs w:val="24"/>
          </w:rPr>
          <w:instrText xml:space="preserve"> PAGEREF _Toc320762555 \h </w:instrText>
        </w:r>
        <w:r w:rsidR="005E02A0" w:rsidRPr="00EC1AB2">
          <w:rPr>
            <w:rFonts w:ascii="Times New Roman" w:hAnsi="Times New Roman" w:cs="Times New Roman"/>
            <w:noProof/>
            <w:webHidden/>
            <w:sz w:val="24"/>
            <w:szCs w:val="24"/>
          </w:rPr>
        </w:r>
        <w:r w:rsidR="005E02A0"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2</w:t>
        </w:r>
        <w:r w:rsidR="005E02A0" w:rsidRPr="00EC1AB2">
          <w:rPr>
            <w:rFonts w:ascii="Times New Roman" w:hAnsi="Times New Roman" w:cs="Times New Roman"/>
            <w:noProof/>
            <w:webHidden/>
            <w:sz w:val="24"/>
            <w:szCs w:val="24"/>
          </w:rPr>
          <w:fldChar w:fldCharType="end"/>
        </w:r>
      </w:hyperlink>
    </w:p>
    <w:p w:rsidR="005E02A0" w:rsidRPr="00EC1AB2" w:rsidRDefault="00EC1AB2" w:rsidP="007A02A8">
      <w:pPr>
        <w:pStyle w:val="TOC5"/>
        <w:rPr>
          <w:rFonts w:ascii="Times New Roman" w:eastAsiaTheme="minorEastAsia" w:hAnsi="Times New Roman" w:cs="Times New Roman"/>
          <w:noProof/>
          <w:sz w:val="24"/>
          <w:szCs w:val="24"/>
          <w:lang w:eastAsia="lt-LT"/>
        </w:rPr>
      </w:pPr>
      <w:hyperlink w:anchor="_Toc320762556" w:history="1">
        <w:r w:rsidR="004C3994" w:rsidRPr="00EC1AB2">
          <w:rPr>
            <w:rStyle w:val="Hyperlink"/>
            <w:rFonts w:ascii="Times New Roman" w:hAnsi="Times New Roman" w:cs="Times New Roman"/>
            <w:noProof/>
            <w:sz w:val="24"/>
            <w:szCs w:val="24"/>
          </w:rPr>
          <w:t>6 pav. Rizikos kapitalo fondų</w:t>
        </w:r>
        <w:r w:rsidR="005E02A0" w:rsidRPr="00EC1AB2">
          <w:rPr>
            <w:rStyle w:val="Hyperlink"/>
            <w:rFonts w:ascii="Times New Roman" w:hAnsi="Times New Roman" w:cs="Times New Roman"/>
            <w:noProof/>
            <w:sz w:val="24"/>
            <w:szCs w:val="24"/>
          </w:rPr>
          <w:t xml:space="preserve"> investicijos Baltijos valstybėse 2004-2010 m., mln. EUR</w:t>
        </w:r>
        <w:r w:rsidR="005E02A0" w:rsidRPr="00EC1AB2">
          <w:rPr>
            <w:rFonts w:ascii="Times New Roman" w:hAnsi="Times New Roman" w:cs="Times New Roman"/>
            <w:noProof/>
            <w:webHidden/>
            <w:sz w:val="24"/>
            <w:szCs w:val="24"/>
          </w:rPr>
          <w:tab/>
        </w:r>
        <w:r w:rsidR="005E02A0" w:rsidRPr="00EC1AB2">
          <w:rPr>
            <w:rFonts w:ascii="Times New Roman" w:hAnsi="Times New Roman" w:cs="Times New Roman"/>
            <w:noProof/>
            <w:webHidden/>
            <w:sz w:val="24"/>
            <w:szCs w:val="24"/>
          </w:rPr>
          <w:fldChar w:fldCharType="begin"/>
        </w:r>
        <w:r w:rsidR="005E02A0" w:rsidRPr="00EC1AB2">
          <w:rPr>
            <w:rFonts w:ascii="Times New Roman" w:hAnsi="Times New Roman" w:cs="Times New Roman"/>
            <w:noProof/>
            <w:webHidden/>
            <w:sz w:val="24"/>
            <w:szCs w:val="24"/>
          </w:rPr>
          <w:instrText xml:space="preserve"> PAGEREF _Toc320762556 \h </w:instrText>
        </w:r>
        <w:r w:rsidR="005E02A0" w:rsidRPr="00EC1AB2">
          <w:rPr>
            <w:rFonts w:ascii="Times New Roman" w:hAnsi="Times New Roman" w:cs="Times New Roman"/>
            <w:noProof/>
            <w:webHidden/>
            <w:sz w:val="24"/>
            <w:szCs w:val="24"/>
          </w:rPr>
        </w:r>
        <w:r w:rsidR="005E02A0"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2</w:t>
        </w:r>
        <w:r w:rsidR="005E02A0" w:rsidRPr="00EC1AB2">
          <w:rPr>
            <w:rFonts w:ascii="Times New Roman" w:hAnsi="Times New Roman" w:cs="Times New Roman"/>
            <w:noProof/>
            <w:webHidden/>
            <w:sz w:val="24"/>
            <w:szCs w:val="24"/>
          </w:rPr>
          <w:fldChar w:fldCharType="end"/>
        </w:r>
      </w:hyperlink>
    </w:p>
    <w:p w:rsidR="005E02A0" w:rsidRPr="00EC1AB2" w:rsidRDefault="00EC1AB2" w:rsidP="007A02A8">
      <w:pPr>
        <w:pStyle w:val="TOC5"/>
        <w:rPr>
          <w:rFonts w:ascii="Times New Roman" w:eastAsiaTheme="minorEastAsia" w:hAnsi="Times New Roman" w:cs="Times New Roman"/>
          <w:noProof/>
          <w:sz w:val="24"/>
          <w:szCs w:val="24"/>
          <w:lang w:eastAsia="lt-LT"/>
        </w:rPr>
      </w:pPr>
      <w:hyperlink w:anchor="_Toc320762557" w:history="1">
        <w:r w:rsidR="005E02A0" w:rsidRPr="00EC1AB2">
          <w:rPr>
            <w:rStyle w:val="Hyperlink"/>
            <w:rFonts w:ascii="Times New Roman" w:eastAsia="Batang" w:hAnsi="Times New Roman" w:cs="Times New Roman"/>
            <w:noProof/>
            <w:sz w:val="24"/>
            <w:szCs w:val="24"/>
          </w:rPr>
          <w:t>7 pav. Rizikos kapitalo investicijos ES ir Baltijos valstybėse pagal investicijų tipą 2010 m., proc.</w:t>
        </w:r>
        <w:r w:rsidR="005E02A0" w:rsidRPr="00EC1AB2">
          <w:rPr>
            <w:rFonts w:ascii="Times New Roman" w:hAnsi="Times New Roman" w:cs="Times New Roman"/>
            <w:noProof/>
            <w:webHidden/>
            <w:sz w:val="24"/>
            <w:szCs w:val="24"/>
          </w:rPr>
          <w:tab/>
        </w:r>
        <w:r w:rsidR="005E02A0" w:rsidRPr="00EC1AB2">
          <w:rPr>
            <w:rFonts w:ascii="Times New Roman" w:hAnsi="Times New Roman" w:cs="Times New Roman"/>
            <w:noProof/>
            <w:webHidden/>
            <w:sz w:val="24"/>
            <w:szCs w:val="24"/>
          </w:rPr>
          <w:fldChar w:fldCharType="begin"/>
        </w:r>
        <w:r w:rsidR="005E02A0" w:rsidRPr="00EC1AB2">
          <w:rPr>
            <w:rFonts w:ascii="Times New Roman" w:hAnsi="Times New Roman" w:cs="Times New Roman"/>
            <w:noProof/>
            <w:webHidden/>
            <w:sz w:val="24"/>
            <w:szCs w:val="24"/>
          </w:rPr>
          <w:instrText xml:space="preserve"> PAGEREF _Toc320762557 \h </w:instrText>
        </w:r>
        <w:r w:rsidR="005E02A0" w:rsidRPr="00EC1AB2">
          <w:rPr>
            <w:rFonts w:ascii="Times New Roman" w:hAnsi="Times New Roman" w:cs="Times New Roman"/>
            <w:noProof/>
            <w:webHidden/>
            <w:sz w:val="24"/>
            <w:szCs w:val="24"/>
          </w:rPr>
        </w:r>
        <w:r w:rsidR="005E02A0"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2</w:t>
        </w:r>
        <w:r w:rsidR="005E02A0" w:rsidRPr="00EC1AB2">
          <w:rPr>
            <w:rFonts w:ascii="Times New Roman" w:hAnsi="Times New Roman" w:cs="Times New Roman"/>
            <w:noProof/>
            <w:webHidden/>
            <w:sz w:val="24"/>
            <w:szCs w:val="24"/>
          </w:rPr>
          <w:fldChar w:fldCharType="end"/>
        </w:r>
      </w:hyperlink>
    </w:p>
    <w:p w:rsidR="005E02A0" w:rsidRPr="00EC1AB2" w:rsidRDefault="00EC1AB2" w:rsidP="007A02A8">
      <w:pPr>
        <w:pStyle w:val="TOC5"/>
        <w:rPr>
          <w:rFonts w:ascii="Times New Roman" w:eastAsiaTheme="minorEastAsia" w:hAnsi="Times New Roman" w:cs="Times New Roman"/>
          <w:noProof/>
          <w:sz w:val="24"/>
          <w:szCs w:val="24"/>
          <w:lang w:eastAsia="lt-LT"/>
        </w:rPr>
      </w:pPr>
      <w:hyperlink w:anchor="_Toc320762558" w:history="1">
        <w:r w:rsidR="004C3994" w:rsidRPr="00EC1AB2">
          <w:rPr>
            <w:rStyle w:val="Hyperlink"/>
            <w:rFonts w:ascii="Times New Roman" w:hAnsi="Times New Roman" w:cs="Times New Roman"/>
            <w:noProof/>
            <w:sz w:val="24"/>
            <w:szCs w:val="24"/>
          </w:rPr>
          <w:t>8 pav. Rizikos kapitalo fondų</w:t>
        </w:r>
        <w:r w:rsidR="005E02A0" w:rsidRPr="00EC1AB2">
          <w:rPr>
            <w:rStyle w:val="Hyperlink"/>
            <w:rFonts w:ascii="Times New Roman" w:hAnsi="Times New Roman" w:cs="Times New Roman"/>
            <w:noProof/>
            <w:sz w:val="24"/>
            <w:szCs w:val="24"/>
          </w:rPr>
          <w:t xml:space="preserve"> investicijos pagal sektorių, 2010 m., proc.</w:t>
        </w:r>
        <w:r w:rsidR="005E02A0" w:rsidRPr="00EC1AB2">
          <w:rPr>
            <w:rFonts w:ascii="Times New Roman" w:hAnsi="Times New Roman" w:cs="Times New Roman"/>
            <w:noProof/>
            <w:webHidden/>
            <w:sz w:val="24"/>
            <w:szCs w:val="24"/>
          </w:rPr>
          <w:tab/>
        </w:r>
        <w:r w:rsidR="005E02A0" w:rsidRPr="00EC1AB2">
          <w:rPr>
            <w:rFonts w:ascii="Times New Roman" w:hAnsi="Times New Roman" w:cs="Times New Roman"/>
            <w:noProof/>
            <w:webHidden/>
            <w:sz w:val="24"/>
            <w:szCs w:val="24"/>
          </w:rPr>
          <w:fldChar w:fldCharType="begin"/>
        </w:r>
        <w:r w:rsidR="005E02A0" w:rsidRPr="00EC1AB2">
          <w:rPr>
            <w:rFonts w:ascii="Times New Roman" w:hAnsi="Times New Roman" w:cs="Times New Roman"/>
            <w:noProof/>
            <w:webHidden/>
            <w:sz w:val="24"/>
            <w:szCs w:val="24"/>
          </w:rPr>
          <w:instrText xml:space="preserve"> PAGEREF _Toc320762558 \h </w:instrText>
        </w:r>
        <w:r w:rsidR="005E02A0" w:rsidRPr="00EC1AB2">
          <w:rPr>
            <w:rFonts w:ascii="Times New Roman" w:hAnsi="Times New Roman" w:cs="Times New Roman"/>
            <w:noProof/>
            <w:webHidden/>
            <w:sz w:val="24"/>
            <w:szCs w:val="24"/>
          </w:rPr>
        </w:r>
        <w:r w:rsidR="005E02A0"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2</w:t>
        </w:r>
        <w:r w:rsidR="005E02A0" w:rsidRPr="00EC1AB2">
          <w:rPr>
            <w:rFonts w:ascii="Times New Roman" w:hAnsi="Times New Roman" w:cs="Times New Roman"/>
            <w:noProof/>
            <w:webHidden/>
            <w:sz w:val="24"/>
            <w:szCs w:val="24"/>
          </w:rPr>
          <w:fldChar w:fldCharType="end"/>
        </w:r>
      </w:hyperlink>
    </w:p>
    <w:p w:rsidR="005E02A0" w:rsidRPr="00EC1AB2" w:rsidRDefault="00EC1AB2" w:rsidP="007A02A8">
      <w:pPr>
        <w:pStyle w:val="TOC5"/>
        <w:rPr>
          <w:rFonts w:ascii="Times New Roman" w:eastAsiaTheme="minorEastAsia" w:hAnsi="Times New Roman" w:cs="Times New Roman"/>
          <w:noProof/>
          <w:sz w:val="24"/>
          <w:szCs w:val="24"/>
          <w:lang w:eastAsia="lt-LT"/>
        </w:rPr>
      </w:pPr>
      <w:hyperlink w:anchor="_Toc320762559" w:history="1">
        <w:r w:rsidR="004C3994" w:rsidRPr="00EC1AB2">
          <w:rPr>
            <w:rStyle w:val="Hyperlink"/>
            <w:rFonts w:ascii="Times New Roman" w:hAnsi="Times New Roman" w:cs="Times New Roman"/>
            <w:noProof/>
            <w:sz w:val="24"/>
            <w:szCs w:val="24"/>
          </w:rPr>
          <w:t>9 pav. Rizikos kapitalo fondų</w:t>
        </w:r>
        <w:r w:rsidR="005E02A0" w:rsidRPr="00EC1AB2">
          <w:rPr>
            <w:rStyle w:val="Hyperlink"/>
            <w:rFonts w:ascii="Times New Roman" w:hAnsi="Times New Roman" w:cs="Times New Roman"/>
            <w:noProof/>
            <w:sz w:val="24"/>
            <w:szCs w:val="24"/>
          </w:rPr>
          <w:t xml:space="preserve"> investuotojai ES ir Baltijos valstybėse, 2010 m., proc.</w:t>
        </w:r>
        <w:r w:rsidR="005E02A0" w:rsidRPr="00EC1AB2">
          <w:rPr>
            <w:rFonts w:ascii="Times New Roman" w:hAnsi="Times New Roman" w:cs="Times New Roman"/>
            <w:noProof/>
            <w:webHidden/>
            <w:sz w:val="24"/>
            <w:szCs w:val="24"/>
          </w:rPr>
          <w:tab/>
        </w:r>
        <w:r w:rsidR="005E02A0" w:rsidRPr="00EC1AB2">
          <w:rPr>
            <w:rFonts w:ascii="Times New Roman" w:hAnsi="Times New Roman" w:cs="Times New Roman"/>
            <w:noProof/>
            <w:webHidden/>
            <w:sz w:val="24"/>
            <w:szCs w:val="24"/>
          </w:rPr>
          <w:fldChar w:fldCharType="begin"/>
        </w:r>
        <w:r w:rsidR="005E02A0" w:rsidRPr="00EC1AB2">
          <w:rPr>
            <w:rFonts w:ascii="Times New Roman" w:hAnsi="Times New Roman" w:cs="Times New Roman"/>
            <w:noProof/>
            <w:webHidden/>
            <w:sz w:val="24"/>
            <w:szCs w:val="24"/>
          </w:rPr>
          <w:instrText xml:space="preserve"> PAGEREF _Toc320762559 \h </w:instrText>
        </w:r>
        <w:r w:rsidR="005E02A0" w:rsidRPr="00EC1AB2">
          <w:rPr>
            <w:rFonts w:ascii="Times New Roman" w:hAnsi="Times New Roman" w:cs="Times New Roman"/>
            <w:noProof/>
            <w:webHidden/>
            <w:sz w:val="24"/>
            <w:szCs w:val="24"/>
          </w:rPr>
        </w:r>
        <w:r w:rsidR="005E02A0"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2</w:t>
        </w:r>
        <w:r w:rsidR="005E02A0" w:rsidRPr="00EC1AB2">
          <w:rPr>
            <w:rFonts w:ascii="Times New Roman" w:hAnsi="Times New Roman" w:cs="Times New Roman"/>
            <w:noProof/>
            <w:webHidden/>
            <w:sz w:val="24"/>
            <w:szCs w:val="24"/>
          </w:rPr>
          <w:fldChar w:fldCharType="end"/>
        </w:r>
      </w:hyperlink>
    </w:p>
    <w:p w:rsidR="005E02A0" w:rsidRPr="00EC1AB2" w:rsidRDefault="00EC1AB2" w:rsidP="007A02A8">
      <w:pPr>
        <w:pStyle w:val="TOC5"/>
        <w:rPr>
          <w:rFonts w:ascii="Times New Roman" w:eastAsiaTheme="minorEastAsia" w:hAnsi="Times New Roman" w:cs="Times New Roman"/>
          <w:noProof/>
          <w:sz w:val="24"/>
          <w:szCs w:val="24"/>
          <w:lang w:eastAsia="lt-LT"/>
        </w:rPr>
      </w:pPr>
      <w:hyperlink w:anchor="_Toc320762560" w:history="1">
        <w:r w:rsidR="004C3994" w:rsidRPr="00EC1AB2">
          <w:rPr>
            <w:rStyle w:val="Hyperlink"/>
            <w:rFonts w:ascii="Times New Roman" w:hAnsi="Times New Roman" w:cs="Times New Roman"/>
            <w:noProof/>
            <w:sz w:val="24"/>
            <w:szCs w:val="24"/>
          </w:rPr>
          <w:t>10 pav. Rizikos kapitalo fondų</w:t>
        </w:r>
        <w:r w:rsidR="005E02A0" w:rsidRPr="00EC1AB2">
          <w:rPr>
            <w:rStyle w:val="Hyperlink"/>
            <w:rFonts w:ascii="Times New Roman" w:hAnsi="Times New Roman" w:cs="Times New Roman"/>
            <w:noProof/>
            <w:sz w:val="24"/>
            <w:szCs w:val="24"/>
          </w:rPr>
          <w:t xml:space="preserve"> investicijų realizavimas Baltijos valstybėse 2007-2010 m., mln. EUR</w:t>
        </w:r>
        <w:r w:rsidR="005E02A0" w:rsidRPr="00EC1AB2">
          <w:rPr>
            <w:rFonts w:ascii="Times New Roman" w:hAnsi="Times New Roman" w:cs="Times New Roman"/>
            <w:noProof/>
            <w:webHidden/>
            <w:sz w:val="24"/>
            <w:szCs w:val="24"/>
          </w:rPr>
          <w:tab/>
        </w:r>
        <w:r w:rsidR="005E02A0" w:rsidRPr="00EC1AB2">
          <w:rPr>
            <w:rFonts w:ascii="Times New Roman" w:hAnsi="Times New Roman" w:cs="Times New Roman"/>
            <w:noProof/>
            <w:webHidden/>
            <w:sz w:val="24"/>
            <w:szCs w:val="24"/>
          </w:rPr>
          <w:fldChar w:fldCharType="begin"/>
        </w:r>
        <w:r w:rsidR="005E02A0" w:rsidRPr="00EC1AB2">
          <w:rPr>
            <w:rFonts w:ascii="Times New Roman" w:hAnsi="Times New Roman" w:cs="Times New Roman"/>
            <w:noProof/>
            <w:webHidden/>
            <w:sz w:val="24"/>
            <w:szCs w:val="24"/>
          </w:rPr>
          <w:instrText xml:space="preserve"> PAGEREF _Toc320762560 \h </w:instrText>
        </w:r>
        <w:r w:rsidR="005E02A0" w:rsidRPr="00EC1AB2">
          <w:rPr>
            <w:rFonts w:ascii="Times New Roman" w:hAnsi="Times New Roman" w:cs="Times New Roman"/>
            <w:noProof/>
            <w:webHidden/>
            <w:sz w:val="24"/>
            <w:szCs w:val="24"/>
          </w:rPr>
        </w:r>
        <w:r w:rsidR="005E02A0"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2</w:t>
        </w:r>
        <w:r w:rsidR="005E02A0" w:rsidRPr="00EC1AB2">
          <w:rPr>
            <w:rFonts w:ascii="Times New Roman" w:hAnsi="Times New Roman" w:cs="Times New Roman"/>
            <w:noProof/>
            <w:webHidden/>
            <w:sz w:val="24"/>
            <w:szCs w:val="24"/>
          </w:rPr>
          <w:fldChar w:fldCharType="end"/>
        </w:r>
      </w:hyperlink>
    </w:p>
    <w:p w:rsidR="005E02A0" w:rsidRPr="00EC1AB2" w:rsidRDefault="00EC1AB2" w:rsidP="007A02A8">
      <w:pPr>
        <w:pStyle w:val="TOC5"/>
        <w:rPr>
          <w:rFonts w:ascii="Times New Roman" w:eastAsiaTheme="minorEastAsia" w:hAnsi="Times New Roman" w:cs="Times New Roman"/>
          <w:noProof/>
          <w:sz w:val="24"/>
          <w:szCs w:val="24"/>
          <w:lang w:eastAsia="lt-LT"/>
        </w:rPr>
      </w:pPr>
      <w:hyperlink w:anchor="_Toc320762562" w:history="1">
        <w:r w:rsidR="005E02A0" w:rsidRPr="00EC1AB2">
          <w:rPr>
            <w:rStyle w:val="Hyperlink"/>
            <w:rFonts w:ascii="Times New Roman" w:hAnsi="Times New Roman" w:cs="Times New Roman"/>
            <w:noProof/>
            <w:sz w:val="24"/>
            <w:szCs w:val="24"/>
          </w:rPr>
          <w:t xml:space="preserve">11 pav. </w:t>
        </w:r>
        <w:r w:rsidR="004C3994" w:rsidRPr="00EC1AB2">
          <w:rPr>
            <w:rStyle w:val="Hyperlink"/>
            <w:rFonts w:ascii="Times New Roman" w:hAnsi="Times New Roman" w:cs="Times New Roman"/>
            <w:noProof/>
            <w:sz w:val="24"/>
            <w:szCs w:val="24"/>
          </w:rPr>
          <w:t>R</w:t>
        </w:r>
        <w:r w:rsidR="0045673D" w:rsidRPr="00EC1AB2">
          <w:rPr>
            <w:rStyle w:val="Hyperlink"/>
            <w:rFonts w:ascii="Times New Roman" w:hAnsi="Times New Roman" w:cs="Times New Roman"/>
            <w:noProof/>
            <w:sz w:val="24"/>
            <w:szCs w:val="24"/>
          </w:rPr>
          <w:t>i</w:t>
        </w:r>
        <w:r w:rsidR="004C3994" w:rsidRPr="00EC1AB2">
          <w:rPr>
            <w:rStyle w:val="Hyperlink"/>
            <w:rFonts w:ascii="Times New Roman" w:hAnsi="Times New Roman" w:cs="Times New Roman"/>
            <w:noProof/>
            <w:sz w:val="24"/>
            <w:szCs w:val="24"/>
          </w:rPr>
          <w:t>zikos kapitalo fondų plėtros problemų Lietuvoje t</w:t>
        </w:r>
        <w:r w:rsidR="005E02A0" w:rsidRPr="00EC1AB2">
          <w:rPr>
            <w:rStyle w:val="Hyperlink"/>
            <w:rFonts w:ascii="Times New Roman" w:hAnsi="Times New Roman" w:cs="Times New Roman"/>
            <w:noProof/>
            <w:sz w:val="24"/>
            <w:szCs w:val="24"/>
          </w:rPr>
          <w:t>yrimo nuoseklumo schema</w:t>
        </w:r>
        <w:r w:rsidR="005E02A0" w:rsidRPr="00EC1AB2">
          <w:rPr>
            <w:rFonts w:ascii="Times New Roman" w:hAnsi="Times New Roman" w:cs="Times New Roman"/>
            <w:noProof/>
            <w:webHidden/>
            <w:sz w:val="24"/>
            <w:szCs w:val="24"/>
          </w:rPr>
          <w:tab/>
        </w:r>
        <w:r w:rsidR="005E02A0" w:rsidRPr="00EC1AB2">
          <w:rPr>
            <w:rFonts w:ascii="Times New Roman" w:hAnsi="Times New Roman" w:cs="Times New Roman"/>
            <w:noProof/>
            <w:webHidden/>
            <w:sz w:val="24"/>
            <w:szCs w:val="24"/>
          </w:rPr>
          <w:fldChar w:fldCharType="begin"/>
        </w:r>
        <w:r w:rsidR="005E02A0" w:rsidRPr="00EC1AB2">
          <w:rPr>
            <w:rFonts w:ascii="Times New Roman" w:hAnsi="Times New Roman" w:cs="Times New Roman"/>
            <w:noProof/>
            <w:webHidden/>
            <w:sz w:val="24"/>
            <w:szCs w:val="24"/>
          </w:rPr>
          <w:instrText xml:space="preserve"> PAGEREF _Toc320762562 \h </w:instrText>
        </w:r>
        <w:r w:rsidR="005E02A0" w:rsidRPr="00EC1AB2">
          <w:rPr>
            <w:rFonts w:ascii="Times New Roman" w:hAnsi="Times New Roman" w:cs="Times New Roman"/>
            <w:noProof/>
            <w:webHidden/>
            <w:sz w:val="24"/>
            <w:szCs w:val="24"/>
          </w:rPr>
        </w:r>
        <w:r w:rsidR="005E02A0"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2</w:t>
        </w:r>
        <w:r w:rsidR="005E02A0" w:rsidRPr="00EC1AB2">
          <w:rPr>
            <w:rFonts w:ascii="Times New Roman" w:hAnsi="Times New Roman" w:cs="Times New Roman"/>
            <w:noProof/>
            <w:webHidden/>
            <w:sz w:val="24"/>
            <w:szCs w:val="24"/>
          </w:rPr>
          <w:fldChar w:fldCharType="end"/>
        </w:r>
      </w:hyperlink>
    </w:p>
    <w:p w:rsidR="005E02A0" w:rsidRPr="00EC1AB2" w:rsidRDefault="00EC1AB2" w:rsidP="007A02A8">
      <w:pPr>
        <w:pStyle w:val="TOC5"/>
        <w:rPr>
          <w:rFonts w:ascii="Times New Roman" w:eastAsiaTheme="minorEastAsia" w:hAnsi="Times New Roman" w:cs="Times New Roman"/>
          <w:noProof/>
          <w:sz w:val="24"/>
          <w:szCs w:val="24"/>
          <w:lang w:eastAsia="lt-LT"/>
        </w:rPr>
      </w:pPr>
      <w:hyperlink w:anchor="_Toc320762565" w:history="1">
        <w:r w:rsidR="005E02A0" w:rsidRPr="00EC1AB2">
          <w:rPr>
            <w:rStyle w:val="Hyperlink"/>
            <w:rFonts w:ascii="Times New Roman" w:hAnsi="Times New Roman" w:cs="Times New Roman"/>
            <w:noProof/>
            <w:sz w:val="24"/>
            <w:szCs w:val="24"/>
          </w:rPr>
          <w:t>12 pav. Suminis inovatyvumo indeksas ES 2011 m.</w:t>
        </w:r>
        <w:r w:rsidR="005E02A0" w:rsidRPr="00EC1AB2">
          <w:rPr>
            <w:rFonts w:ascii="Times New Roman" w:hAnsi="Times New Roman" w:cs="Times New Roman"/>
            <w:noProof/>
            <w:webHidden/>
            <w:sz w:val="24"/>
            <w:szCs w:val="24"/>
          </w:rPr>
          <w:tab/>
        </w:r>
        <w:r w:rsidR="005E02A0" w:rsidRPr="00EC1AB2">
          <w:rPr>
            <w:rFonts w:ascii="Times New Roman" w:hAnsi="Times New Roman" w:cs="Times New Roman"/>
            <w:noProof/>
            <w:webHidden/>
            <w:sz w:val="24"/>
            <w:szCs w:val="24"/>
          </w:rPr>
          <w:fldChar w:fldCharType="begin"/>
        </w:r>
        <w:r w:rsidR="005E02A0" w:rsidRPr="00EC1AB2">
          <w:rPr>
            <w:rFonts w:ascii="Times New Roman" w:hAnsi="Times New Roman" w:cs="Times New Roman"/>
            <w:noProof/>
            <w:webHidden/>
            <w:sz w:val="24"/>
            <w:szCs w:val="24"/>
          </w:rPr>
          <w:instrText xml:space="preserve"> PAGEREF _Toc320762565 \h </w:instrText>
        </w:r>
        <w:r w:rsidR="005E02A0" w:rsidRPr="00EC1AB2">
          <w:rPr>
            <w:rFonts w:ascii="Times New Roman" w:hAnsi="Times New Roman" w:cs="Times New Roman"/>
            <w:noProof/>
            <w:webHidden/>
            <w:sz w:val="24"/>
            <w:szCs w:val="24"/>
          </w:rPr>
        </w:r>
        <w:r w:rsidR="005E02A0"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2</w:t>
        </w:r>
        <w:r w:rsidR="005E02A0" w:rsidRPr="00EC1AB2">
          <w:rPr>
            <w:rFonts w:ascii="Times New Roman" w:hAnsi="Times New Roman" w:cs="Times New Roman"/>
            <w:noProof/>
            <w:webHidden/>
            <w:sz w:val="24"/>
            <w:szCs w:val="24"/>
          </w:rPr>
          <w:fldChar w:fldCharType="end"/>
        </w:r>
      </w:hyperlink>
    </w:p>
    <w:p w:rsidR="005E02A0" w:rsidRPr="00EC1AB2" w:rsidRDefault="00EC1AB2" w:rsidP="007A02A8">
      <w:pPr>
        <w:pStyle w:val="TOC5"/>
        <w:rPr>
          <w:rFonts w:ascii="Times New Roman" w:eastAsiaTheme="minorEastAsia" w:hAnsi="Times New Roman" w:cs="Times New Roman"/>
          <w:noProof/>
          <w:sz w:val="24"/>
          <w:szCs w:val="24"/>
          <w:lang w:eastAsia="lt-LT"/>
        </w:rPr>
      </w:pPr>
      <w:hyperlink w:anchor="_Toc320762566" w:history="1">
        <w:r w:rsidR="005E02A0" w:rsidRPr="00EC1AB2">
          <w:rPr>
            <w:rStyle w:val="Hyperlink"/>
            <w:rFonts w:ascii="Times New Roman" w:hAnsi="Times New Roman" w:cs="Times New Roman"/>
            <w:noProof/>
            <w:sz w:val="24"/>
            <w:szCs w:val="24"/>
          </w:rPr>
          <w:t>13 pav. Vidutinis metinis mokslininko atlyginimas išreikštas PGS, 2006 m.</w:t>
        </w:r>
        <w:r w:rsidR="005E02A0" w:rsidRPr="00EC1AB2">
          <w:rPr>
            <w:rFonts w:ascii="Times New Roman" w:hAnsi="Times New Roman" w:cs="Times New Roman"/>
            <w:noProof/>
            <w:webHidden/>
            <w:sz w:val="24"/>
            <w:szCs w:val="24"/>
          </w:rPr>
          <w:tab/>
        </w:r>
        <w:r w:rsidR="005E02A0" w:rsidRPr="00EC1AB2">
          <w:rPr>
            <w:rFonts w:ascii="Times New Roman" w:hAnsi="Times New Roman" w:cs="Times New Roman"/>
            <w:noProof/>
            <w:webHidden/>
            <w:sz w:val="24"/>
            <w:szCs w:val="24"/>
          </w:rPr>
          <w:fldChar w:fldCharType="begin"/>
        </w:r>
        <w:r w:rsidR="005E02A0" w:rsidRPr="00EC1AB2">
          <w:rPr>
            <w:rFonts w:ascii="Times New Roman" w:hAnsi="Times New Roman" w:cs="Times New Roman"/>
            <w:noProof/>
            <w:webHidden/>
            <w:sz w:val="24"/>
            <w:szCs w:val="24"/>
          </w:rPr>
          <w:instrText xml:space="preserve"> PAGEREF _Toc320762566 \h </w:instrText>
        </w:r>
        <w:r w:rsidR="005E02A0" w:rsidRPr="00EC1AB2">
          <w:rPr>
            <w:rFonts w:ascii="Times New Roman" w:hAnsi="Times New Roman" w:cs="Times New Roman"/>
            <w:noProof/>
            <w:webHidden/>
            <w:sz w:val="24"/>
            <w:szCs w:val="24"/>
          </w:rPr>
        </w:r>
        <w:r w:rsidR="005E02A0"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2</w:t>
        </w:r>
        <w:r w:rsidR="005E02A0" w:rsidRPr="00EC1AB2">
          <w:rPr>
            <w:rFonts w:ascii="Times New Roman" w:hAnsi="Times New Roman" w:cs="Times New Roman"/>
            <w:noProof/>
            <w:webHidden/>
            <w:sz w:val="24"/>
            <w:szCs w:val="24"/>
          </w:rPr>
          <w:fldChar w:fldCharType="end"/>
        </w:r>
      </w:hyperlink>
    </w:p>
    <w:p w:rsidR="005E02A0" w:rsidRPr="00EC1AB2" w:rsidRDefault="00EC1AB2" w:rsidP="007A02A8">
      <w:pPr>
        <w:pStyle w:val="TOC5"/>
        <w:rPr>
          <w:rFonts w:ascii="Times New Roman" w:eastAsiaTheme="minorEastAsia" w:hAnsi="Times New Roman" w:cs="Times New Roman"/>
          <w:noProof/>
          <w:sz w:val="24"/>
          <w:szCs w:val="24"/>
          <w:lang w:eastAsia="lt-LT"/>
        </w:rPr>
      </w:pPr>
      <w:hyperlink w:anchor="_Toc320762567" w:history="1">
        <w:r w:rsidR="004C3994" w:rsidRPr="00EC1AB2">
          <w:rPr>
            <w:rStyle w:val="Hyperlink"/>
            <w:rFonts w:ascii="Times New Roman" w:hAnsi="Times New Roman" w:cs="Times New Roman"/>
            <w:noProof/>
            <w:sz w:val="24"/>
            <w:szCs w:val="24"/>
          </w:rPr>
          <w:t>14 pav. Išlaidų moksliniams tyrimams ir eksperimentinei plėtrai</w:t>
        </w:r>
        <w:r w:rsidR="005E02A0" w:rsidRPr="00EC1AB2">
          <w:rPr>
            <w:rStyle w:val="Hyperlink"/>
            <w:rFonts w:ascii="Times New Roman" w:hAnsi="Times New Roman" w:cs="Times New Roman"/>
            <w:noProof/>
            <w:sz w:val="24"/>
            <w:szCs w:val="24"/>
          </w:rPr>
          <w:t xml:space="preserve"> santykis su BVP ES 2010 m., proc.</w:t>
        </w:r>
        <w:r w:rsidR="005E02A0" w:rsidRPr="00EC1AB2">
          <w:rPr>
            <w:rFonts w:ascii="Times New Roman" w:hAnsi="Times New Roman" w:cs="Times New Roman"/>
            <w:noProof/>
            <w:webHidden/>
            <w:sz w:val="24"/>
            <w:szCs w:val="24"/>
          </w:rPr>
          <w:tab/>
        </w:r>
        <w:r w:rsidR="005E02A0" w:rsidRPr="00EC1AB2">
          <w:rPr>
            <w:rFonts w:ascii="Times New Roman" w:hAnsi="Times New Roman" w:cs="Times New Roman"/>
            <w:noProof/>
            <w:webHidden/>
            <w:sz w:val="24"/>
            <w:szCs w:val="24"/>
          </w:rPr>
          <w:fldChar w:fldCharType="begin"/>
        </w:r>
        <w:r w:rsidR="005E02A0" w:rsidRPr="00EC1AB2">
          <w:rPr>
            <w:rFonts w:ascii="Times New Roman" w:hAnsi="Times New Roman" w:cs="Times New Roman"/>
            <w:noProof/>
            <w:webHidden/>
            <w:sz w:val="24"/>
            <w:szCs w:val="24"/>
          </w:rPr>
          <w:instrText xml:space="preserve"> PAGEREF _Toc320762567 \h </w:instrText>
        </w:r>
        <w:r w:rsidR="005E02A0" w:rsidRPr="00EC1AB2">
          <w:rPr>
            <w:rFonts w:ascii="Times New Roman" w:hAnsi="Times New Roman" w:cs="Times New Roman"/>
            <w:noProof/>
            <w:webHidden/>
            <w:sz w:val="24"/>
            <w:szCs w:val="24"/>
          </w:rPr>
        </w:r>
        <w:r w:rsidR="005E02A0"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2</w:t>
        </w:r>
        <w:r w:rsidR="005E02A0" w:rsidRPr="00EC1AB2">
          <w:rPr>
            <w:rFonts w:ascii="Times New Roman" w:hAnsi="Times New Roman" w:cs="Times New Roman"/>
            <w:noProof/>
            <w:webHidden/>
            <w:sz w:val="24"/>
            <w:szCs w:val="24"/>
          </w:rPr>
          <w:fldChar w:fldCharType="end"/>
        </w:r>
      </w:hyperlink>
    </w:p>
    <w:p w:rsidR="005E02A0" w:rsidRPr="00EC1AB2" w:rsidRDefault="00EC1AB2" w:rsidP="007A02A8">
      <w:pPr>
        <w:pStyle w:val="TOC5"/>
        <w:rPr>
          <w:rFonts w:ascii="Times New Roman" w:eastAsiaTheme="minorEastAsia" w:hAnsi="Times New Roman" w:cs="Times New Roman"/>
          <w:noProof/>
          <w:sz w:val="24"/>
          <w:szCs w:val="24"/>
          <w:lang w:eastAsia="lt-LT"/>
        </w:rPr>
      </w:pPr>
      <w:hyperlink w:anchor="_Toc320762568" w:history="1">
        <w:r w:rsidR="005E02A0" w:rsidRPr="00EC1AB2">
          <w:rPr>
            <w:rStyle w:val="Hyperlink"/>
            <w:rFonts w:ascii="Times New Roman" w:hAnsi="Times New Roman" w:cs="Times New Roman"/>
            <w:noProof/>
            <w:sz w:val="24"/>
            <w:szCs w:val="24"/>
          </w:rPr>
          <w:t>15 pav. Verslo</w:t>
        </w:r>
        <w:r w:rsidR="004C3994" w:rsidRPr="00EC1AB2">
          <w:rPr>
            <w:rStyle w:val="Hyperlink"/>
            <w:rFonts w:ascii="Times New Roman" w:hAnsi="Times New Roman" w:cs="Times New Roman"/>
            <w:noProof/>
            <w:sz w:val="24"/>
            <w:szCs w:val="24"/>
          </w:rPr>
          <w:t xml:space="preserve"> įmonių sektoriaus išlaidos mokslinaims tyrimams ir eksperimentinei plėtrai</w:t>
        </w:r>
        <w:r w:rsidR="005E02A0" w:rsidRPr="00EC1AB2">
          <w:rPr>
            <w:rStyle w:val="Hyperlink"/>
            <w:rFonts w:ascii="Times New Roman" w:hAnsi="Times New Roman" w:cs="Times New Roman"/>
            <w:noProof/>
            <w:sz w:val="24"/>
            <w:szCs w:val="24"/>
          </w:rPr>
          <w:t xml:space="preserve"> 2002-2010, mln. Lt</w:t>
        </w:r>
        <w:r w:rsidR="005E02A0" w:rsidRPr="00EC1AB2">
          <w:rPr>
            <w:rFonts w:ascii="Times New Roman" w:hAnsi="Times New Roman" w:cs="Times New Roman"/>
            <w:noProof/>
            <w:webHidden/>
            <w:sz w:val="24"/>
            <w:szCs w:val="24"/>
          </w:rPr>
          <w:tab/>
        </w:r>
        <w:r w:rsidR="005E02A0" w:rsidRPr="00EC1AB2">
          <w:rPr>
            <w:rFonts w:ascii="Times New Roman" w:hAnsi="Times New Roman" w:cs="Times New Roman"/>
            <w:noProof/>
            <w:webHidden/>
            <w:sz w:val="24"/>
            <w:szCs w:val="24"/>
          </w:rPr>
          <w:fldChar w:fldCharType="begin"/>
        </w:r>
        <w:r w:rsidR="005E02A0" w:rsidRPr="00EC1AB2">
          <w:rPr>
            <w:rFonts w:ascii="Times New Roman" w:hAnsi="Times New Roman" w:cs="Times New Roman"/>
            <w:noProof/>
            <w:webHidden/>
            <w:sz w:val="24"/>
            <w:szCs w:val="24"/>
          </w:rPr>
          <w:instrText xml:space="preserve"> PAGEREF _Toc320762568 \h </w:instrText>
        </w:r>
        <w:r w:rsidR="005E02A0" w:rsidRPr="00EC1AB2">
          <w:rPr>
            <w:rFonts w:ascii="Times New Roman" w:hAnsi="Times New Roman" w:cs="Times New Roman"/>
            <w:noProof/>
            <w:webHidden/>
            <w:sz w:val="24"/>
            <w:szCs w:val="24"/>
          </w:rPr>
        </w:r>
        <w:r w:rsidR="005E02A0"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2</w:t>
        </w:r>
        <w:r w:rsidR="005E02A0" w:rsidRPr="00EC1AB2">
          <w:rPr>
            <w:rFonts w:ascii="Times New Roman" w:hAnsi="Times New Roman" w:cs="Times New Roman"/>
            <w:noProof/>
            <w:webHidden/>
            <w:sz w:val="24"/>
            <w:szCs w:val="24"/>
          </w:rPr>
          <w:fldChar w:fldCharType="end"/>
        </w:r>
      </w:hyperlink>
    </w:p>
    <w:p w:rsidR="005E02A0" w:rsidRPr="00EC1AB2" w:rsidRDefault="00EC1AB2" w:rsidP="007A02A8">
      <w:pPr>
        <w:pStyle w:val="TOC5"/>
        <w:rPr>
          <w:rFonts w:ascii="Times New Roman" w:eastAsiaTheme="minorEastAsia" w:hAnsi="Times New Roman" w:cs="Times New Roman"/>
          <w:noProof/>
          <w:sz w:val="24"/>
          <w:szCs w:val="24"/>
          <w:lang w:eastAsia="lt-LT"/>
        </w:rPr>
      </w:pPr>
      <w:hyperlink w:anchor="_Toc320762569" w:history="1">
        <w:r w:rsidR="005E02A0" w:rsidRPr="00EC1AB2">
          <w:rPr>
            <w:rStyle w:val="Hyperlink"/>
            <w:rFonts w:ascii="Times New Roman" w:hAnsi="Times New Roman" w:cs="Times New Roman"/>
            <w:noProof/>
            <w:sz w:val="24"/>
            <w:szCs w:val="24"/>
          </w:rPr>
          <w:t>16 pav. Inovacinių įmonių santykis su visomis įmonėmis Lietuvoje, proc</w:t>
        </w:r>
        <w:r w:rsidR="005E02A0" w:rsidRPr="00EC1AB2">
          <w:rPr>
            <w:rFonts w:ascii="Times New Roman" w:hAnsi="Times New Roman" w:cs="Times New Roman"/>
            <w:noProof/>
            <w:webHidden/>
            <w:sz w:val="24"/>
            <w:szCs w:val="24"/>
          </w:rPr>
          <w:tab/>
        </w:r>
        <w:r w:rsidR="005E02A0" w:rsidRPr="00EC1AB2">
          <w:rPr>
            <w:rFonts w:ascii="Times New Roman" w:hAnsi="Times New Roman" w:cs="Times New Roman"/>
            <w:noProof/>
            <w:webHidden/>
            <w:sz w:val="24"/>
            <w:szCs w:val="24"/>
          </w:rPr>
          <w:fldChar w:fldCharType="begin"/>
        </w:r>
        <w:r w:rsidR="005E02A0" w:rsidRPr="00EC1AB2">
          <w:rPr>
            <w:rFonts w:ascii="Times New Roman" w:hAnsi="Times New Roman" w:cs="Times New Roman"/>
            <w:noProof/>
            <w:webHidden/>
            <w:sz w:val="24"/>
            <w:szCs w:val="24"/>
          </w:rPr>
          <w:instrText xml:space="preserve"> PAGEREF _Toc320762569 \h </w:instrText>
        </w:r>
        <w:r w:rsidR="005E02A0" w:rsidRPr="00EC1AB2">
          <w:rPr>
            <w:rFonts w:ascii="Times New Roman" w:hAnsi="Times New Roman" w:cs="Times New Roman"/>
            <w:noProof/>
            <w:webHidden/>
            <w:sz w:val="24"/>
            <w:szCs w:val="24"/>
          </w:rPr>
        </w:r>
        <w:r w:rsidR="005E02A0"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2</w:t>
        </w:r>
        <w:r w:rsidR="005E02A0" w:rsidRPr="00EC1AB2">
          <w:rPr>
            <w:rFonts w:ascii="Times New Roman" w:hAnsi="Times New Roman" w:cs="Times New Roman"/>
            <w:noProof/>
            <w:webHidden/>
            <w:sz w:val="24"/>
            <w:szCs w:val="24"/>
          </w:rPr>
          <w:fldChar w:fldCharType="end"/>
        </w:r>
      </w:hyperlink>
    </w:p>
    <w:p w:rsidR="005E02A0" w:rsidRPr="00EC1AB2" w:rsidRDefault="00EC1AB2" w:rsidP="007A02A8">
      <w:pPr>
        <w:pStyle w:val="TOC5"/>
        <w:rPr>
          <w:rFonts w:ascii="Times New Roman" w:eastAsiaTheme="minorEastAsia" w:hAnsi="Times New Roman" w:cs="Times New Roman"/>
          <w:noProof/>
          <w:sz w:val="24"/>
          <w:szCs w:val="24"/>
          <w:lang w:eastAsia="lt-LT"/>
        </w:rPr>
      </w:pPr>
      <w:hyperlink w:anchor="_Toc320762570" w:history="1">
        <w:r w:rsidR="005E02A0" w:rsidRPr="00EC1AB2">
          <w:rPr>
            <w:rStyle w:val="Hyperlink"/>
            <w:rFonts w:ascii="Times New Roman" w:hAnsi="Times New Roman" w:cs="Times New Roman"/>
            <w:noProof/>
            <w:sz w:val="24"/>
            <w:szCs w:val="24"/>
          </w:rPr>
          <w:t>17 pav. Inovacijų pardavimai rin</w:t>
        </w:r>
        <w:r w:rsidR="004C3994" w:rsidRPr="00EC1AB2">
          <w:rPr>
            <w:rStyle w:val="Hyperlink"/>
            <w:rFonts w:ascii="Times New Roman" w:hAnsi="Times New Roman" w:cs="Times New Roman"/>
            <w:noProof/>
            <w:sz w:val="24"/>
            <w:szCs w:val="24"/>
          </w:rPr>
          <w:t>kai ir įmonėms bei išlaidos moksliniams tyrimam ir eksperimentinei plėtrai</w:t>
        </w:r>
        <w:r w:rsidR="005E02A0" w:rsidRPr="00EC1AB2">
          <w:rPr>
            <w:rFonts w:ascii="Times New Roman" w:hAnsi="Times New Roman" w:cs="Times New Roman"/>
            <w:noProof/>
            <w:webHidden/>
            <w:sz w:val="24"/>
            <w:szCs w:val="24"/>
          </w:rPr>
          <w:tab/>
        </w:r>
        <w:r w:rsidR="005E02A0" w:rsidRPr="00EC1AB2">
          <w:rPr>
            <w:rFonts w:ascii="Times New Roman" w:hAnsi="Times New Roman" w:cs="Times New Roman"/>
            <w:noProof/>
            <w:webHidden/>
            <w:sz w:val="24"/>
            <w:szCs w:val="24"/>
          </w:rPr>
          <w:fldChar w:fldCharType="begin"/>
        </w:r>
        <w:r w:rsidR="005E02A0" w:rsidRPr="00EC1AB2">
          <w:rPr>
            <w:rFonts w:ascii="Times New Roman" w:hAnsi="Times New Roman" w:cs="Times New Roman"/>
            <w:noProof/>
            <w:webHidden/>
            <w:sz w:val="24"/>
            <w:szCs w:val="24"/>
          </w:rPr>
          <w:instrText xml:space="preserve"> PAGEREF _Toc320762570 \h </w:instrText>
        </w:r>
        <w:r w:rsidR="005E02A0" w:rsidRPr="00EC1AB2">
          <w:rPr>
            <w:rFonts w:ascii="Times New Roman" w:hAnsi="Times New Roman" w:cs="Times New Roman"/>
            <w:noProof/>
            <w:webHidden/>
            <w:sz w:val="24"/>
            <w:szCs w:val="24"/>
          </w:rPr>
        </w:r>
        <w:r w:rsidR="005E02A0" w:rsidRPr="00EC1AB2">
          <w:rPr>
            <w:rFonts w:ascii="Times New Roman" w:hAnsi="Times New Roman" w:cs="Times New Roman"/>
            <w:noProof/>
            <w:webHidden/>
            <w:sz w:val="24"/>
            <w:szCs w:val="24"/>
          </w:rPr>
          <w:fldChar w:fldCharType="separate"/>
        </w:r>
        <w:r w:rsidR="00EB092C" w:rsidRPr="00EC1AB2">
          <w:rPr>
            <w:rFonts w:ascii="Times New Roman" w:hAnsi="Times New Roman" w:cs="Times New Roman"/>
            <w:noProof/>
            <w:webHidden/>
            <w:sz w:val="24"/>
            <w:szCs w:val="24"/>
          </w:rPr>
          <w:t>2</w:t>
        </w:r>
        <w:r w:rsidR="005E02A0" w:rsidRPr="00EC1AB2">
          <w:rPr>
            <w:rFonts w:ascii="Times New Roman" w:hAnsi="Times New Roman" w:cs="Times New Roman"/>
            <w:noProof/>
            <w:webHidden/>
            <w:sz w:val="24"/>
            <w:szCs w:val="24"/>
          </w:rPr>
          <w:fldChar w:fldCharType="end"/>
        </w:r>
      </w:hyperlink>
    </w:p>
    <w:p w:rsidR="007915D7" w:rsidRPr="00EC1AB2" w:rsidRDefault="005E02A0" w:rsidP="00890D8C">
      <w:pPr>
        <w:spacing w:after="0" w:line="360" w:lineRule="auto"/>
        <w:jc w:val="center"/>
        <w:rPr>
          <w:rFonts w:ascii="Times New Roman" w:hAnsi="Times New Roman" w:cs="Times New Roman"/>
          <w:b/>
          <w:sz w:val="28"/>
          <w:szCs w:val="28"/>
        </w:rPr>
      </w:pPr>
      <w:r w:rsidRPr="00EC1AB2">
        <w:rPr>
          <w:rFonts w:ascii="Times New Roman" w:hAnsi="Times New Roman" w:cs="Times New Roman"/>
          <w:b/>
          <w:sz w:val="24"/>
          <w:szCs w:val="24"/>
        </w:rPr>
        <w:fldChar w:fldCharType="end"/>
      </w:r>
      <w:bookmarkStart w:id="15" w:name="_Toc320566990"/>
      <w:bookmarkStart w:id="16" w:name="_Toc320567030"/>
      <w:bookmarkStart w:id="17" w:name="_Toc320567176"/>
      <w:r w:rsidR="00FA1D9A" w:rsidRPr="00EC1AB2">
        <w:rPr>
          <w:sz w:val="28"/>
          <w:szCs w:val="28"/>
        </w:rPr>
        <w:br w:type="page"/>
      </w:r>
      <w:bookmarkStart w:id="18" w:name="_Toc320761760"/>
      <w:bookmarkStart w:id="19" w:name="_Toc320761902"/>
      <w:bookmarkStart w:id="20" w:name="_Toc320762137"/>
      <w:bookmarkStart w:id="21" w:name="_Toc320762539"/>
      <w:r w:rsidR="007915D7" w:rsidRPr="00EC1AB2">
        <w:rPr>
          <w:rFonts w:ascii="Times New Roman" w:hAnsi="Times New Roman" w:cs="Times New Roman"/>
          <w:b/>
          <w:sz w:val="28"/>
          <w:szCs w:val="28"/>
        </w:rPr>
        <w:lastRenderedPageBreak/>
        <w:t>ĮVADAS</w:t>
      </w:r>
      <w:bookmarkEnd w:id="15"/>
      <w:bookmarkEnd w:id="16"/>
      <w:bookmarkEnd w:id="17"/>
      <w:bookmarkEnd w:id="18"/>
      <w:bookmarkEnd w:id="19"/>
      <w:bookmarkEnd w:id="20"/>
      <w:bookmarkEnd w:id="21"/>
    </w:p>
    <w:p w:rsidR="007915D7" w:rsidRPr="00EC1AB2" w:rsidRDefault="007915D7" w:rsidP="007A02A8">
      <w:pPr>
        <w:spacing w:after="0" w:line="360" w:lineRule="auto"/>
        <w:jc w:val="center"/>
        <w:rPr>
          <w:rFonts w:ascii="Times New Roman" w:hAnsi="Times New Roman" w:cs="Times New Roman"/>
          <w:b/>
          <w:sz w:val="24"/>
          <w:szCs w:val="24"/>
        </w:rPr>
      </w:pPr>
    </w:p>
    <w:p w:rsidR="00F55D57" w:rsidRPr="00EC1AB2" w:rsidRDefault="00EB2134"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b/>
          <w:sz w:val="24"/>
          <w:szCs w:val="24"/>
        </w:rPr>
        <w:t>Tyrimo aktualumas.</w:t>
      </w:r>
      <w:r w:rsidRPr="00EC1AB2">
        <w:rPr>
          <w:rFonts w:ascii="Times New Roman" w:hAnsi="Times New Roman" w:cs="Times New Roman"/>
          <w:sz w:val="24"/>
          <w:szCs w:val="24"/>
        </w:rPr>
        <w:t xml:space="preserve"> </w:t>
      </w:r>
      <w:r w:rsidR="0030726E" w:rsidRPr="00EC1AB2">
        <w:rPr>
          <w:rFonts w:ascii="Times New Roman" w:hAnsi="Times New Roman" w:cs="Times New Roman"/>
          <w:sz w:val="24"/>
          <w:szCs w:val="24"/>
        </w:rPr>
        <w:t>Rizikos kapitalas nebuvo natū</w:t>
      </w:r>
      <w:r w:rsidR="006C6BE2" w:rsidRPr="00EC1AB2">
        <w:rPr>
          <w:rFonts w:ascii="Times New Roman" w:hAnsi="Times New Roman" w:cs="Times New Roman"/>
          <w:sz w:val="24"/>
          <w:szCs w:val="24"/>
        </w:rPr>
        <w:t xml:space="preserve">raliai susiformavusi </w:t>
      </w:r>
      <w:r w:rsidR="0000142D" w:rsidRPr="00EC1AB2">
        <w:rPr>
          <w:rFonts w:ascii="Times New Roman" w:hAnsi="Times New Roman" w:cs="Times New Roman"/>
          <w:sz w:val="24"/>
          <w:szCs w:val="24"/>
        </w:rPr>
        <w:t>turto klasė</w:t>
      </w:r>
      <w:r w:rsidR="0078028C" w:rsidRPr="00EC1AB2">
        <w:rPr>
          <w:rFonts w:ascii="Times New Roman" w:hAnsi="Times New Roman" w:cs="Times New Roman"/>
          <w:sz w:val="24"/>
          <w:szCs w:val="24"/>
        </w:rPr>
        <w:t>, o greičiau Jungtinių Amerikos Val</w:t>
      </w:r>
      <w:r w:rsidR="007541B1" w:rsidRPr="00EC1AB2">
        <w:rPr>
          <w:rFonts w:ascii="Times New Roman" w:hAnsi="Times New Roman" w:cs="Times New Roman"/>
          <w:sz w:val="24"/>
          <w:szCs w:val="24"/>
        </w:rPr>
        <w:t>stijų</w:t>
      </w:r>
      <w:r w:rsidR="002F629D" w:rsidRPr="00EC1AB2">
        <w:rPr>
          <w:rFonts w:ascii="Times New Roman" w:hAnsi="Times New Roman" w:cs="Times New Roman"/>
          <w:sz w:val="24"/>
          <w:szCs w:val="24"/>
        </w:rPr>
        <w:t xml:space="preserve"> (JAV)</w:t>
      </w:r>
      <w:r w:rsidR="007541B1" w:rsidRPr="00EC1AB2">
        <w:rPr>
          <w:rFonts w:ascii="Times New Roman" w:hAnsi="Times New Roman" w:cs="Times New Roman"/>
          <w:sz w:val="24"/>
          <w:szCs w:val="24"/>
        </w:rPr>
        <w:t xml:space="preserve"> </w:t>
      </w:r>
      <w:r w:rsidR="0078028C" w:rsidRPr="00EC1AB2">
        <w:rPr>
          <w:rFonts w:ascii="Times New Roman" w:hAnsi="Times New Roman" w:cs="Times New Roman"/>
          <w:sz w:val="24"/>
          <w:szCs w:val="24"/>
        </w:rPr>
        <w:t>intelektualų</w:t>
      </w:r>
      <w:r w:rsidR="00771EAC" w:rsidRPr="00EC1AB2">
        <w:rPr>
          <w:rFonts w:ascii="Times New Roman" w:hAnsi="Times New Roman" w:cs="Times New Roman"/>
          <w:sz w:val="24"/>
          <w:szCs w:val="24"/>
        </w:rPr>
        <w:t xml:space="preserve"> bei verslo lyderių</w:t>
      </w:r>
      <w:r w:rsidR="0078028C" w:rsidRPr="00EC1AB2">
        <w:rPr>
          <w:rFonts w:ascii="Times New Roman" w:hAnsi="Times New Roman" w:cs="Times New Roman"/>
          <w:sz w:val="24"/>
          <w:szCs w:val="24"/>
        </w:rPr>
        <w:t xml:space="preserve"> atsakas į Didžiosios depresijos </w:t>
      </w:r>
      <w:r w:rsidR="005A6B4A" w:rsidRPr="00EC1AB2">
        <w:rPr>
          <w:rFonts w:ascii="Times New Roman" w:hAnsi="Times New Roman" w:cs="Times New Roman"/>
          <w:sz w:val="24"/>
          <w:szCs w:val="24"/>
        </w:rPr>
        <w:t xml:space="preserve">metu </w:t>
      </w:r>
      <w:r w:rsidR="006C1554" w:rsidRPr="00EC1AB2">
        <w:rPr>
          <w:rFonts w:ascii="Times New Roman" w:hAnsi="Times New Roman" w:cs="Times New Roman"/>
          <w:sz w:val="24"/>
          <w:szCs w:val="24"/>
        </w:rPr>
        <w:t xml:space="preserve">susiformavusį socialinį ir ekonominį poreikį. </w:t>
      </w:r>
      <w:r w:rsidR="000D471A" w:rsidRPr="00EC1AB2">
        <w:rPr>
          <w:rFonts w:ascii="Times New Roman" w:hAnsi="Times New Roman" w:cs="Times New Roman"/>
          <w:sz w:val="24"/>
          <w:szCs w:val="24"/>
        </w:rPr>
        <w:t>Kaip teigia Hsu, Kenny (2005), akademi</w:t>
      </w:r>
      <w:r w:rsidR="005949FD" w:rsidRPr="00EC1AB2">
        <w:rPr>
          <w:rFonts w:ascii="Times New Roman" w:hAnsi="Times New Roman" w:cs="Times New Roman"/>
          <w:sz w:val="24"/>
          <w:szCs w:val="24"/>
        </w:rPr>
        <w:t xml:space="preserve">nis elitas buvo įsitikinęs, kad </w:t>
      </w:r>
      <w:r w:rsidR="00977BB7" w:rsidRPr="00EC1AB2">
        <w:rPr>
          <w:rFonts w:ascii="Times New Roman" w:hAnsi="Times New Roman" w:cs="Times New Roman"/>
          <w:sz w:val="24"/>
          <w:szCs w:val="24"/>
        </w:rPr>
        <w:t xml:space="preserve">ankstyvos vystymosi stadijos </w:t>
      </w:r>
      <w:r w:rsidR="00E24C5C" w:rsidRPr="00EC1AB2">
        <w:rPr>
          <w:rFonts w:ascii="Times New Roman" w:hAnsi="Times New Roman" w:cs="Times New Roman"/>
          <w:sz w:val="24"/>
          <w:szCs w:val="24"/>
        </w:rPr>
        <w:t>įmonėms</w:t>
      </w:r>
      <w:r w:rsidR="00534D0F" w:rsidRPr="00EC1AB2">
        <w:rPr>
          <w:rFonts w:ascii="Times New Roman" w:hAnsi="Times New Roman" w:cs="Times New Roman"/>
          <w:sz w:val="24"/>
          <w:szCs w:val="24"/>
        </w:rPr>
        <w:t>,</w:t>
      </w:r>
      <w:r w:rsidR="00977BB7" w:rsidRPr="00EC1AB2">
        <w:rPr>
          <w:rFonts w:ascii="Times New Roman" w:hAnsi="Times New Roman" w:cs="Times New Roman"/>
          <w:sz w:val="24"/>
          <w:szCs w:val="24"/>
        </w:rPr>
        <w:t xml:space="preserve"> suteikus tinkamą finansavimą bei </w:t>
      </w:r>
      <w:r w:rsidR="0000142D" w:rsidRPr="00EC1AB2">
        <w:rPr>
          <w:rFonts w:ascii="Times New Roman" w:hAnsi="Times New Roman" w:cs="Times New Roman"/>
          <w:sz w:val="24"/>
          <w:szCs w:val="24"/>
        </w:rPr>
        <w:t xml:space="preserve">perdavus </w:t>
      </w:r>
      <w:r w:rsidR="00977BB7" w:rsidRPr="00EC1AB2">
        <w:rPr>
          <w:rFonts w:ascii="Times New Roman" w:hAnsi="Times New Roman" w:cs="Times New Roman"/>
          <w:sz w:val="24"/>
          <w:szCs w:val="24"/>
        </w:rPr>
        <w:t>verslininkų sukauptą patirtį</w:t>
      </w:r>
      <w:r w:rsidR="00534D0F" w:rsidRPr="00EC1AB2">
        <w:rPr>
          <w:rFonts w:ascii="Times New Roman" w:hAnsi="Times New Roman" w:cs="Times New Roman"/>
          <w:sz w:val="24"/>
          <w:szCs w:val="24"/>
        </w:rPr>
        <w:t xml:space="preserve">, </w:t>
      </w:r>
      <w:r w:rsidR="00E24C5C" w:rsidRPr="00EC1AB2">
        <w:rPr>
          <w:rFonts w:ascii="Times New Roman" w:hAnsi="Times New Roman" w:cs="Times New Roman"/>
          <w:sz w:val="24"/>
          <w:szCs w:val="24"/>
        </w:rPr>
        <w:t xml:space="preserve">jos </w:t>
      </w:r>
      <w:r w:rsidR="00534D0F" w:rsidRPr="00EC1AB2">
        <w:rPr>
          <w:rFonts w:ascii="Times New Roman" w:hAnsi="Times New Roman" w:cs="Times New Roman"/>
          <w:sz w:val="24"/>
          <w:szCs w:val="24"/>
        </w:rPr>
        <w:t xml:space="preserve">gebės </w:t>
      </w:r>
      <w:r w:rsidR="005949FD" w:rsidRPr="00EC1AB2">
        <w:rPr>
          <w:rFonts w:ascii="Times New Roman" w:hAnsi="Times New Roman" w:cs="Times New Roman"/>
          <w:sz w:val="24"/>
          <w:szCs w:val="24"/>
        </w:rPr>
        <w:t>komerc</w:t>
      </w:r>
      <w:r w:rsidR="00534D0F" w:rsidRPr="00EC1AB2">
        <w:rPr>
          <w:rFonts w:ascii="Times New Roman" w:hAnsi="Times New Roman" w:cs="Times New Roman"/>
          <w:sz w:val="24"/>
          <w:szCs w:val="24"/>
        </w:rPr>
        <w:t>ializuoti</w:t>
      </w:r>
      <w:r w:rsidR="005949FD" w:rsidRPr="00EC1AB2">
        <w:rPr>
          <w:rFonts w:ascii="Times New Roman" w:hAnsi="Times New Roman" w:cs="Times New Roman"/>
          <w:sz w:val="24"/>
          <w:szCs w:val="24"/>
        </w:rPr>
        <w:t xml:space="preserve"> labo</w:t>
      </w:r>
      <w:r w:rsidR="000D471A" w:rsidRPr="00EC1AB2">
        <w:rPr>
          <w:rFonts w:ascii="Times New Roman" w:hAnsi="Times New Roman" w:cs="Times New Roman"/>
          <w:sz w:val="24"/>
          <w:szCs w:val="24"/>
        </w:rPr>
        <w:t>ratorijo</w:t>
      </w:r>
      <w:r w:rsidR="005949FD" w:rsidRPr="00EC1AB2">
        <w:rPr>
          <w:rFonts w:ascii="Times New Roman" w:hAnsi="Times New Roman" w:cs="Times New Roman"/>
          <w:sz w:val="24"/>
          <w:szCs w:val="24"/>
        </w:rPr>
        <w:t xml:space="preserve">se sukurtas naujoves </w:t>
      </w:r>
      <w:r w:rsidR="00E24C5C" w:rsidRPr="00EC1AB2">
        <w:rPr>
          <w:rFonts w:ascii="Times New Roman" w:hAnsi="Times New Roman" w:cs="Times New Roman"/>
          <w:sz w:val="24"/>
          <w:szCs w:val="24"/>
        </w:rPr>
        <w:t xml:space="preserve">ir </w:t>
      </w:r>
      <w:r w:rsidR="00534D0F" w:rsidRPr="00EC1AB2">
        <w:rPr>
          <w:rFonts w:ascii="Times New Roman" w:hAnsi="Times New Roman" w:cs="Times New Roman"/>
          <w:sz w:val="24"/>
          <w:szCs w:val="24"/>
        </w:rPr>
        <w:t>tapti didelio</w:t>
      </w:r>
      <w:r w:rsidR="00EB6E89" w:rsidRPr="00EC1AB2">
        <w:rPr>
          <w:rFonts w:ascii="Times New Roman" w:hAnsi="Times New Roman" w:cs="Times New Roman"/>
          <w:sz w:val="24"/>
          <w:szCs w:val="24"/>
        </w:rPr>
        <w:t xml:space="preserve"> kapitalo prieaugio šaltiniu </w:t>
      </w:r>
      <w:r w:rsidR="00E24C5C" w:rsidRPr="00EC1AB2">
        <w:rPr>
          <w:rFonts w:ascii="Times New Roman" w:hAnsi="Times New Roman" w:cs="Times New Roman"/>
          <w:sz w:val="24"/>
          <w:szCs w:val="24"/>
        </w:rPr>
        <w:t>bei</w:t>
      </w:r>
      <w:r w:rsidR="00EB6E89" w:rsidRPr="00EC1AB2">
        <w:rPr>
          <w:rFonts w:ascii="Times New Roman" w:hAnsi="Times New Roman" w:cs="Times New Roman"/>
          <w:sz w:val="24"/>
          <w:szCs w:val="24"/>
        </w:rPr>
        <w:t xml:space="preserve"> </w:t>
      </w:r>
      <w:r w:rsidR="00534D0F" w:rsidRPr="00EC1AB2">
        <w:rPr>
          <w:rFonts w:ascii="Times New Roman" w:hAnsi="Times New Roman" w:cs="Times New Roman"/>
          <w:sz w:val="24"/>
          <w:szCs w:val="24"/>
        </w:rPr>
        <w:t>pagrindi</w:t>
      </w:r>
      <w:r w:rsidR="00EB6E89" w:rsidRPr="00EC1AB2">
        <w:rPr>
          <w:rFonts w:ascii="Times New Roman" w:hAnsi="Times New Roman" w:cs="Times New Roman"/>
          <w:sz w:val="24"/>
          <w:szCs w:val="24"/>
        </w:rPr>
        <w:t>niu impulsu</w:t>
      </w:r>
      <w:r w:rsidR="005949FD" w:rsidRPr="00EC1AB2">
        <w:rPr>
          <w:rFonts w:ascii="Times New Roman" w:hAnsi="Times New Roman" w:cs="Times New Roman"/>
          <w:sz w:val="24"/>
          <w:szCs w:val="24"/>
        </w:rPr>
        <w:t xml:space="preserve"> </w:t>
      </w:r>
      <w:r w:rsidR="00534D0F" w:rsidRPr="00EC1AB2">
        <w:rPr>
          <w:rFonts w:ascii="Times New Roman" w:hAnsi="Times New Roman" w:cs="Times New Roman"/>
          <w:sz w:val="24"/>
          <w:szCs w:val="24"/>
        </w:rPr>
        <w:t xml:space="preserve">ekonomikos atsigavimui. </w:t>
      </w:r>
    </w:p>
    <w:p w:rsidR="002E42AB" w:rsidRPr="00EC1AB2" w:rsidRDefault="00FA0FED"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R</w:t>
      </w:r>
      <w:r w:rsidR="0042725F" w:rsidRPr="00EC1AB2">
        <w:rPr>
          <w:rFonts w:ascii="Times New Roman" w:hAnsi="Times New Roman" w:cs="Times New Roman"/>
          <w:sz w:val="24"/>
          <w:szCs w:val="24"/>
        </w:rPr>
        <w:t>izikos ka</w:t>
      </w:r>
      <w:r w:rsidR="002F629D" w:rsidRPr="00EC1AB2">
        <w:rPr>
          <w:rFonts w:ascii="Times New Roman" w:hAnsi="Times New Roman" w:cs="Times New Roman"/>
          <w:sz w:val="24"/>
          <w:szCs w:val="24"/>
        </w:rPr>
        <w:t xml:space="preserve">pitalas </w:t>
      </w:r>
      <w:r w:rsidR="001C3BFA" w:rsidRPr="00EC1AB2">
        <w:rPr>
          <w:rFonts w:ascii="Times New Roman" w:hAnsi="Times New Roman" w:cs="Times New Roman"/>
          <w:sz w:val="24"/>
          <w:szCs w:val="24"/>
        </w:rPr>
        <w:t xml:space="preserve">– specifinis inovatyvių įmonių finansavimo šaltinis, </w:t>
      </w:r>
      <w:r w:rsidR="002F629D" w:rsidRPr="00EC1AB2">
        <w:rPr>
          <w:rFonts w:ascii="Times New Roman" w:hAnsi="Times New Roman" w:cs="Times New Roman"/>
          <w:sz w:val="24"/>
          <w:szCs w:val="24"/>
        </w:rPr>
        <w:t>tapo JAV inovacijų sistemos kertiniu akmeniu</w:t>
      </w:r>
      <w:r w:rsidR="00E90E88" w:rsidRPr="00EC1AB2">
        <w:rPr>
          <w:rFonts w:ascii="Times New Roman" w:hAnsi="Times New Roman" w:cs="Times New Roman"/>
          <w:sz w:val="24"/>
          <w:szCs w:val="24"/>
        </w:rPr>
        <w:t>, todėl šiuo l</w:t>
      </w:r>
      <w:r w:rsidR="00E457E0" w:rsidRPr="00EC1AB2">
        <w:rPr>
          <w:rFonts w:ascii="Times New Roman" w:hAnsi="Times New Roman" w:cs="Times New Roman"/>
          <w:sz w:val="24"/>
          <w:szCs w:val="24"/>
        </w:rPr>
        <w:t>aikotarpiu dauguma pasaulio vyriausybių įvairiais būdais stengiasi, kad jų šalyje rizikos kapitalo fondai</w:t>
      </w:r>
      <w:r w:rsidRPr="00EC1AB2">
        <w:rPr>
          <w:rFonts w:ascii="Times New Roman" w:hAnsi="Times New Roman" w:cs="Times New Roman"/>
          <w:sz w:val="24"/>
          <w:szCs w:val="24"/>
        </w:rPr>
        <w:t xml:space="preserve"> (RKF)</w:t>
      </w:r>
      <w:r w:rsidR="00E457E0" w:rsidRPr="00EC1AB2">
        <w:rPr>
          <w:rFonts w:ascii="Times New Roman" w:hAnsi="Times New Roman" w:cs="Times New Roman"/>
          <w:sz w:val="24"/>
          <w:szCs w:val="24"/>
        </w:rPr>
        <w:t xml:space="preserve"> pasiektų tokią pat sėkmę kaip JAV, nes </w:t>
      </w:r>
      <w:r w:rsidR="00E75EC1" w:rsidRPr="00EC1AB2">
        <w:rPr>
          <w:rFonts w:ascii="Times New Roman" w:hAnsi="Times New Roman" w:cs="Times New Roman"/>
          <w:sz w:val="24"/>
          <w:szCs w:val="24"/>
        </w:rPr>
        <w:t>stabilų ekonomikos augimą didžia dalimi lemia šalyje esantis inovacijų ir verslumo lygis</w:t>
      </w:r>
      <w:r w:rsidRPr="00EC1AB2">
        <w:rPr>
          <w:rFonts w:ascii="Times New Roman" w:hAnsi="Times New Roman" w:cs="Times New Roman"/>
          <w:sz w:val="24"/>
          <w:szCs w:val="24"/>
        </w:rPr>
        <w:t>. A</w:t>
      </w:r>
      <w:r w:rsidR="002877D1" w:rsidRPr="00EC1AB2">
        <w:rPr>
          <w:rFonts w:ascii="Times New Roman" w:hAnsi="Times New Roman" w:cs="Times New Roman"/>
          <w:sz w:val="24"/>
          <w:szCs w:val="24"/>
        </w:rPr>
        <w:t>ktyvios rizikos kapitalo rink</w:t>
      </w:r>
      <w:r w:rsidRPr="00EC1AB2">
        <w:rPr>
          <w:rFonts w:ascii="Times New Roman" w:hAnsi="Times New Roman" w:cs="Times New Roman"/>
          <w:sz w:val="24"/>
          <w:szCs w:val="24"/>
        </w:rPr>
        <w:t>os sukūrimas</w:t>
      </w:r>
      <w:r w:rsidR="002877D1" w:rsidRPr="00EC1AB2">
        <w:rPr>
          <w:rFonts w:ascii="Times New Roman" w:hAnsi="Times New Roman" w:cs="Times New Roman"/>
          <w:sz w:val="24"/>
          <w:szCs w:val="24"/>
        </w:rPr>
        <w:t>, kuri teiktų stiprią paramą ankstyvos stadijos ir moderniųjų technologijų įmonėms, tapo ekonominės politikos prioritetu</w:t>
      </w:r>
      <w:r w:rsidR="00E16C62" w:rsidRPr="00EC1AB2">
        <w:rPr>
          <w:rFonts w:ascii="Times New Roman" w:hAnsi="Times New Roman" w:cs="Times New Roman"/>
          <w:sz w:val="24"/>
          <w:szCs w:val="24"/>
        </w:rPr>
        <w:t xml:space="preserve"> Europos Sąjungoje (ES)</w:t>
      </w:r>
      <w:r w:rsidR="00CB2920" w:rsidRPr="00EC1AB2">
        <w:rPr>
          <w:rFonts w:ascii="Times New Roman" w:hAnsi="Times New Roman" w:cs="Times New Roman"/>
          <w:sz w:val="24"/>
          <w:szCs w:val="24"/>
        </w:rPr>
        <w:t>, tačiau nepaisant vyriausybių</w:t>
      </w:r>
      <w:r w:rsidR="004C3994" w:rsidRPr="00EC1AB2">
        <w:rPr>
          <w:rFonts w:ascii="Times New Roman" w:hAnsi="Times New Roman" w:cs="Times New Roman"/>
          <w:sz w:val="24"/>
          <w:szCs w:val="24"/>
        </w:rPr>
        <w:t xml:space="preserve"> pastangų</w:t>
      </w:r>
      <w:r w:rsidR="00751D72" w:rsidRPr="00EC1AB2">
        <w:rPr>
          <w:rFonts w:ascii="Times New Roman" w:hAnsi="Times New Roman" w:cs="Times New Roman"/>
          <w:sz w:val="24"/>
          <w:szCs w:val="24"/>
        </w:rPr>
        <w:t xml:space="preserve"> RKF </w:t>
      </w:r>
      <w:r w:rsidR="002E42AB" w:rsidRPr="00EC1AB2">
        <w:rPr>
          <w:rFonts w:ascii="Times New Roman" w:hAnsi="Times New Roman" w:cs="Times New Roman"/>
          <w:sz w:val="24"/>
          <w:szCs w:val="24"/>
        </w:rPr>
        <w:t>Europoje nėra</w:t>
      </w:r>
      <w:r w:rsidR="00CB2920" w:rsidRPr="00EC1AB2">
        <w:rPr>
          <w:rFonts w:ascii="Times New Roman" w:hAnsi="Times New Roman" w:cs="Times New Roman"/>
          <w:sz w:val="24"/>
          <w:szCs w:val="24"/>
        </w:rPr>
        <w:t xml:space="preserve"> pakankamai paplitę</w:t>
      </w:r>
      <w:r w:rsidR="009C5BDE" w:rsidRPr="00EC1AB2">
        <w:rPr>
          <w:rFonts w:ascii="Times New Roman" w:hAnsi="Times New Roman" w:cs="Times New Roman"/>
          <w:sz w:val="24"/>
          <w:szCs w:val="24"/>
        </w:rPr>
        <w:t>,</w:t>
      </w:r>
      <w:r w:rsidR="00F55D57" w:rsidRPr="00EC1AB2">
        <w:rPr>
          <w:rFonts w:ascii="Times New Roman" w:hAnsi="Times New Roman" w:cs="Times New Roman"/>
          <w:sz w:val="24"/>
          <w:szCs w:val="24"/>
        </w:rPr>
        <w:t xml:space="preserve"> lyginant su JAV. Šią padėtį</w:t>
      </w:r>
      <w:r w:rsidR="00CB2920" w:rsidRPr="00EC1AB2">
        <w:rPr>
          <w:rFonts w:ascii="Times New Roman" w:hAnsi="Times New Roman" w:cs="Times New Roman"/>
          <w:sz w:val="24"/>
          <w:szCs w:val="24"/>
        </w:rPr>
        <w:t xml:space="preserve"> </w:t>
      </w:r>
      <w:r w:rsidR="000A11A6" w:rsidRPr="00EC1AB2">
        <w:rPr>
          <w:rFonts w:ascii="Times New Roman" w:hAnsi="Times New Roman" w:cs="Times New Roman"/>
          <w:sz w:val="24"/>
          <w:szCs w:val="24"/>
        </w:rPr>
        <w:t>E</w:t>
      </w:r>
      <w:r w:rsidR="002E42AB" w:rsidRPr="00EC1AB2">
        <w:rPr>
          <w:rFonts w:ascii="Times New Roman" w:hAnsi="Times New Roman" w:cs="Times New Roman"/>
          <w:sz w:val="24"/>
          <w:szCs w:val="24"/>
        </w:rPr>
        <w:t>u</w:t>
      </w:r>
      <w:r w:rsidR="000A11A6" w:rsidRPr="00EC1AB2">
        <w:rPr>
          <w:rFonts w:ascii="Times New Roman" w:hAnsi="Times New Roman" w:cs="Times New Roman"/>
          <w:sz w:val="24"/>
          <w:szCs w:val="24"/>
        </w:rPr>
        <w:t>r</w:t>
      </w:r>
      <w:r w:rsidR="0000142D" w:rsidRPr="00EC1AB2">
        <w:rPr>
          <w:rFonts w:ascii="Times New Roman" w:hAnsi="Times New Roman" w:cs="Times New Roman"/>
          <w:sz w:val="24"/>
          <w:szCs w:val="24"/>
        </w:rPr>
        <w:t xml:space="preserve">opos Komisija </w:t>
      </w:r>
      <w:r w:rsidR="001C6188" w:rsidRPr="00EC1AB2">
        <w:rPr>
          <w:rFonts w:ascii="Times New Roman" w:hAnsi="Times New Roman" w:cs="Times New Roman"/>
          <w:sz w:val="24"/>
          <w:szCs w:val="24"/>
        </w:rPr>
        <w:t xml:space="preserve">apibūdino terminu </w:t>
      </w:r>
      <w:r w:rsidR="00CB2920" w:rsidRPr="00EC1AB2">
        <w:rPr>
          <w:rFonts w:ascii="Times New Roman" w:hAnsi="Times New Roman" w:cs="Times New Roman"/>
          <w:sz w:val="24"/>
          <w:szCs w:val="24"/>
        </w:rPr>
        <w:t>„</w:t>
      </w:r>
      <w:r w:rsidR="000A11A6" w:rsidRPr="00EC1AB2">
        <w:rPr>
          <w:rFonts w:ascii="Times New Roman" w:hAnsi="Times New Roman" w:cs="Times New Roman"/>
          <w:sz w:val="24"/>
          <w:szCs w:val="24"/>
        </w:rPr>
        <w:t>Europos paradoks</w:t>
      </w:r>
      <w:r w:rsidR="001C6188" w:rsidRPr="00EC1AB2">
        <w:rPr>
          <w:rFonts w:ascii="Times New Roman" w:hAnsi="Times New Roman" w:cs="Times New Roman"/>
          <w:sz w:val="24"/>
          <w:szCs w:val="24"/>
        </w:rPr>
        <w:t>as</w:t>
      </w:r>
      <w:r w:rsidR="00CB2920" w:rsidRPr="00EC1AB2">
        <w:rPr>
          <w:rFonts w:ascii="Times New Roman" w:hAnsi="Times New Roman" w:cs="Times New Roman"/>
          <w:sz w:val="24"/>
          <w:szCs w:val="24"/>
        </w:rPr>
        <w:t>“</w:t>
      </w:r>
      <w:r w:rsidR="001C6188" w:rsidRPr="00EC1AB2">
        <w:rPr>
          <w:rFonts w:ascii="Times New Roman" w:hAnsi="Times New Roman" w:cs="Times New Roman"/>
          <w:sz w:val="24"/>
          <w:szCs w:val="24"/>
        </w:rPr>
        <w:t xml:space="preserve">, reiškiančiu </w:t>
      </w:r>
      <w:r w:rsidR="00CB2920" w:rsidRPr="00EC1AB2">
        <w:rPr>
          <w:rFonts w:ascii="Times New Roman" w:hAnsi="Times New Roman" w:cs="Times New Roman"/>
          <w:sz w:val="24"/>
          <w:szCs w:val="24"/>
        </w:rPr>
        <w:t>Europo</w:t>
      </w:r>
      <w:r w:rsidR="00EC534A" w:rsidRPr="00EC1AB2">
        <w:rPr>
          <w:rFonts w:ascii="Times New Roman" w:hAnsi="Times New Roman" w:cs="Times New Roman"/>
          <w:sz w:val="24"/>
          <w:szCs w:val="24"/>
        </w:rPr>
        <w:t>s nesugebėjimą mokslinių išradi</w:t>
      </w:r>
      <w:r w:rsidR="0000142D" w:rsidRPr="00EC1AB2">
        <w:rPr>
          <w:rFonts w:ascii="Times New Roman" w:hAnsi="Times New Roman" w:cs="Times New Roman"/>
          <w:sz w:val="24"/>
          <w:szCs w:val="24"/>
        </w:rPr>
        <w:t>mų pritaikyti versle</w:t>
      </w:r>
      <w:r w:rsidR="004C3994" w:rsidRPr="00EC1AB2">
        <w:rPr>
          <w:rFonts w:ascii="Times New Roman" w:hAnsi="Times New Roman" w:cs="Times New Roman"/>
          <w:sz w:val="24"/>
          <w:szCs w:val="24"/>
        </w:rPr>
        <w:t>, nepaisant pastangų</w:t>
      </w:r>
      <w:r w:rsidR="00616AEB" w:rsidRPr="00EC1AB2">
        <w:rPr>
          <w:rFonts w:ascii="Times New Roman" w:hAnsi="Times New Roman" w:cs="Times New Roman"/>
          <w:sz w:val="24"/>
          <w:szCs w:val="24"/>
        </w:rPr>
        <w:t xml:space="preserve"> pakeisti šią padėtį. </w:t>
      </w:r>
    </w:p>
    <w:p w:rsidR="0000142D" w:rsidRPr="00EC1AB2" w:rsidRDefault="0000142D"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Lietuvoje</w:t>
      </w:r>
      <w:r w:rsidR="00CB2920" w:rsidRPr="00EC1AB2">
        <w:rPr>
          <w:rFonts w:ascii="Times New Roman" w:hAnsi="Times New Roman" w:cs="Times New Roman"/>
          <w:sz w:val="24"/>
          <w:szCs w:val="24"/>
        </w:rPr>
        <w:t xml:space="preserve"> </w:t>
      </w:r>
      <w:r w:rsidR="004C3994" w:rsidRPr="00EC1AB2">
        <w:rPr>
          <w:rFonts w:ascii="Times New Roman" w:hAnsi="Times New Roman" w:cs="Times New Roman"/>
          <w:sz w:val="24"/>
          <w:szCs w:val="24"/>
        </w:rPr>
        <w:t>RKF investicijų santykis su bendruoju vidaus produktu (BVP)</w:t>
      </w:r>
      <w:r w:rsidRPr="00EC1AB2">
        <w:rPr>
          <w:rFonts w:ascii="Times New Roman" w:hAnsi="Times New Roman" w:cs="Times New Roman"/>
          <w:sz w:val="24"/>
          <w:szCs w:val="24"/>
        </w:rPr>
        <w:t xml:space="preserve"> yra mažiausias ES, be to</w:t>
      </w:r>
      <w:r w:rsidR="00082246" w:rsidRPr="00EC1AB2">
        <w:rPr>
          <w:rFonts w:ascii="Times New Roman" w:hAnsi="Times New Roman" w:cs="Times New Roman"/>
          <w:sz w:val="24"/>
          <w:szCs w:val="24"/>
        </w:rPr>
        <w:t>,</w:t>
      </w:r>
      <w:r w:rsidRPr="00EC1AB2">
        <w:rPr>
          <w:rFonts w:ascii="Times New Roman" w:hAnsi="Times New Roman" w:cs="Times New Roman"/>
          <w:sz w:val="24"/>
          <w:szCs w:val="24"/>
        </w:rPr>
        <w:t xml:space="preserve"> Liet</w:t>
      </w:r>
      <w:r w:rsidR="00932640" w:rsidRPr="00EC1AB2">
        <w:rPr>
          <w:rFonts w:ascii="Times New Roman" w:hAnsi="Times New Roman" w:cs="Times New Roman"/>
          <w:sz w:val="24"/>
          <w:szCs w:val="24"/>
        </w:rPr>
        <w:t>uva stipriai atsilieka ir nuo CE</w:t>
      </w:r>
      <w:r w:rsidR="004C3994" w:rsidRPr="00EC1AB2">
        <w:rPr>
          <w:rFonts w:ascii="Times New Roman" w:hAnsi="Times New Roman" w:cs="Times New Roman"/>
          <w:sz w:val="24"/>
          <w:szCs w:val="24"/>
        </w:rPr>
        <w:t>E (Centrinės ir Rytų Europos)</w:t>
      </w:r>
      <w:r w:rsidRPr="00EC1AB2">
        <w:rPr>
          <w:rFonts w:ascii="Times New Roman" w:hAnsi="Times New Roman" w:cs="Times New Roman"/>
          <w:sz w:val="24"/>
          <w:szCs w:val="24"/>
        </w:rPr>
        <w:t xml:space="preserve"> šalių vidurkio</w:t>
      </w:r>
      <w:r w:rsidR="00082246" w:rsidRPr="00EC1AB2">
        <w:rPr>
          <w:rFonts w:ascii="Times New Roman" w:hAnsi="Times New Roman" w:cs="Times New Roman"/>
          <w:sz w:val="24"/>
          <w:szCs w:val="24"/>
        </w:rPr>
        <w:t>, todėl verta iš</w:t>
      </w:r>
      <w:r w:rsidRPr="00EC1AB2">
        <w:rPr>
          <w:rFonts w:ascii="Times New Roman" w:hAnsi="Times New Roman" w:cs="Times New Roman"/>
          <w:sz w:val="24"/>
          <w:szCs w:val="24"/>
        </w:rPr>
        <w:t>nagrinėti priežastis, l</w:t>
      </w:r>
      <w:r w:rsidR="00CB4BF9" w:rsidRPr="00EC1AB2">
        <w:rPr>
          <w:rFonts w:ascii="Times New Roman" w:hAnsi="Times New Roman" w:cs="Times New Roman"/>
          <w:sz w:val="24"/>
          <w:szCs w:val="24"/>
        </w:rPr>
        <w:t xml:space="preserve">emiančias </w:t>
      </w:r>
      <w:r w:rsidR="006C15EB" w:rsidRPr="00EC1AB2">
        <w:rPr>
          <w:rFonts w:ascii="Times New Roman" w:hAnsi="Times New Roman" w:cs="Times New Roman"/>
          <w:sz w:val="24"/>
          <w:szCs w:val="24"/>
        </w:rPr>
        <w:t xml:space="preserve">šį </w:t>
      </w:r>
      <w:r w:rsidR="00CB4BF9" w:rsidRPr="00EC1AB2">
        <w:rPr>
          <w:rFonts w:ascii="Times New Roman" w:hAnsi="Times New Roman" w:cs="Times New Roman"/>
          <w:sz w:val="24"/>
          <w:szCs w:val="24"/>
        </w:rPr>
        <w:t>stiprų atsilikim</w:t>
      </w:r>
      <w:r w:rsidR="006C15EB" w:rsidRPr="00EC1AB2">
        <w:rPr>
          <w:rFonts w:ascii="Times New Roman" w:hAnsi="Times New Roman" w:cs="Times New Roman"/>
          <w:sz w:val="24"/>
          <w:szCs w:val="24"/>
        </w:rPr>
        <w:t>ą</w:t>
      </w:r>
      <w:r w:rsidRPr="00EC1AB2">
        <w:rPr>
          <w:rFonts w:ascii="Times New Roman" w:hAnsi="Times New Roman" w:cs="Times New Roman"/>
          <w:sz w:val="24"/>
          <w:szCs w:val="24"/>
        </w:rPr>
        <w:t>.</w:t>
      </w:r>
    </w:p>
    <w:p w:rsidR="009B3F53" w:rsidRPr="00EC1AB2" w:rsidRDefault="009B3F53"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b/>
          <w:sz w:val="24"/>
          <w:szCs w:val="24"/>
        </w:rPr>
        <w:t xml:space="preserve">Problemos ištyrimo lygis. </w:t>
      </w:r>
      <w:r w:rsidRPr="00EC1AB2">
        <w:rPr>
          <w:rFonts w:ascii="Times New Roman" w:hAnsi="Times New Roman" w:cs="Times New Roman"/>
          <w:sz w:val="24"/>
          <w:szCs w:val="24"/>
        </w:rPr>
        <w:t>RKF paplitimą bei veiklą atskirose šalyse (Vengrijoje, Vokietijoje, Le</w:t>
      </w:r>
      <w:r w:rsidR="00932640" w:rsidRPr="00EC1AB2">
        <w:rPr>
          <w:rFonts w:ascii="Times New Roman" w:hAnsi="Times New Roman" w:cs="Times New Roman"/>
          <w:sz w:val="24"/>
          <w:szCs w:val="24"/>
        </w:rPr>
        <w:t>nkijoje, JAV) ar regionuose (CE</w:t>
      </w:r>
      <w:r w:rsidR="00EE08F1" w:rsidRPr="00EC1AB2">
        <w:rPr>
          <w:rFonts w:ascii="Times New Roman" w:hAnsi="Times New Roman" w:cs="Times New Roman"/>
          <w:sz w:val="24"/>
          <w:szCs w:val="24"/>
        </w:rPr>
        <w:t>E) yra nagrinėję atskiri užsienio autoriai</w:t>
      </w:r>
      <w:r w:rsidRPr="00EC1AB2">
        <w:rPr>
          <w:rFonts w:ascii="Times New Roman" w:hAnsi="Times New Roman" w:cs="Times New Roman"/>
          <w:sz w:val="24"/>
          <w:szCs w:val="24"/>
        </w:rPr>
        <w:t xml:space="preserve"> (Bance, Groth, Felix, Gulamhussen, Pires, </w:t>
      </w:r>
      <w:r w:rsidRPr="00EC1AB2">
        <w:rPr>
          <w:rFonts w:ascii="Times New Roman" w:eastAsia="MinionPro-Regular" w:hAnsi="Times New Roman" w:cs="Times New Roman"/>
          <w:sz w:val="24"/>
          <w:szCs w:val="24"/>
        </w:rPr>
        <w:t>Mayer., Schoors, Yafeh ir kt.)</w:t>
      </w:r>
      <w:r w:rsidRPr="00EC1AB2">
        <w:rPr>
          <w:rFonts w:ascii="Times New Roman" w:hAnsi="Times New Roman" w:cs="Times New Roman"/>
          <w:sz w:val="24"/>
          <w:szCs w:val="24"/>
        </w:rPr>
        <w:t>. Lietuvos autoriai skyrę dėmesio rizikos kapitalo temai yra Snieška, Venckuvienė (</w:t>
      </w:r>
      <w:r w:rsidR="0051337C" w:rsidRPr="00EC1AB2">
        <w:rPr>
          <w:rFonts w:ascii="Times New Roman" w:hAnsi="Times New Roman" w:cs="Times New Roman"/>
          <w:sz w:val="24"/>
          <w:szCs w:val="24"/>
        </w:rPr>
        <w:t xml:space="preserve">2009, </w:t>
      </w:r>
      <w:r w:rsidRPr="00EC1AB2">
        <w:rPr>
          <w:rFonts w:ascii="Times New Roman" w:hAnsi="Times New Roman" w:cs="Times New Roman"/>
          <w:sz w:val="24"/>
          <w:szCs w:val="24"/>
        </w:rPr>
        <w:t>2011) bei</w:t>
      </w:r>
      <w:r w:rsidR="00890D8C" w:rsidRPr="00EC1AB2">
        <w:rPr>
          <w:rFonts w:ascii="Times New Roman" w:hAnsi="Times New Roman" w:cs="Times New Roman"/>
          <w:sz w:val="24"/>
          <w:szCs w:val="24"/>
        </w:rPr>
        <w:t xml:space="preserve"> Jankauskienė (2009). R</w:t>
      </w:r>
      <w:r w:rsidRPr="00EC1AB2">
        <w:rPr>
          <w:rFonts w:ascii="Times New Roman" w:hAnsi="Times New Roman" w:cs="Times New Roman"/>
          <w:sz w:val="24"/>
          <w:szCs w:val="24"/>
        </w:rPr>
        <w:t xml:space="preserve">izikos kapitalo </w:t>
      </w:r>
      <w:r w:rsidR="00542101" w:rsidRPr="00EC1AB2">
        <w:rPr>
          <w:rFonts w:ascii="Times New Roman" w:hAnsi="Times New Roman" w:cs="Times New Roman"/>
          <w:sz w:val="24"/>
          <w:szCs w:val="24"/>
        </w:rPr>
        <w:t xml:space="preserve">rinkos </w:t>
      </w:r>
      <w:r w:rsidRPr="00EC1AB2">
        <w:rPr>
          <w:rFonts w:ascii="Times New Roman" w:hAnsi="Times New Roman" w:cs="Times New Roman"/>
          <w:sz w:val="24"/>
          <w:szCs w:val="24"/>
        </w:rPr>
        <w:t>plėtros</w:t>
      </w:r>
      <w:r w:rsidR="00542101" w:rsidRPr="00EC1AB2">
        <w:rPr>
          <w:rFonts w:ascii="Times New Roman" w:hAnsi="Times New Roman" w:cs="Times New Roman"/>
          <w:sz w:val="24"/>
          <w:szCs w:val="24"/>
        </w:rPr>
        <w:t xml:space="preserve"> </w:t>
      </w:r>
      <w:r w:rsidRPr="00EC1AB2">
        <w:rPr>
          <w:rFonts w:ascii="Times New Roman" w:hAnsi="Times New Roman" w:cs="Times New Roman"/>
          <w:sz w:val="24"/>
          <w:szCs w:val="24"/>
        </w:rPr>
        <w:t xml:space="preserve">problemos </w:t>
      </w:r>
      <w:r w:rsidR="00890D8C" w:rsidRPr="00EC1AB2">
        <w:rPr>
          <w:rFonts w:ascii="Times New Roman" w:hAnsi="Times New Roman" w:cs="Times New Roman"/>
          <w:sz w:val="24"/>
          <w:szCs w:val="24"/>
        </w:rPr>
        <w:t xml:space="preserve">Lietuvoje </w:t>
      </w:r>
      <w:r w:rsidRPr="00EC1AB2">
        <w:rPr>
          <w:rFonts w:ascii="Times New Roman" w:hAnsi="Times New Roman" w:cs="Times New Roman"/>
          <w:sz w:val="24"/>
          <w:szCs w:val="24"/>
        </w:rPr>
        <w:t>nėra nagrinė</w:t>
      </w:r>
      <w:r w:rsidR="00EE08F1" w:rsidRPr="00EC1AB2">
        <w:rPr>
          <w:rFonts w:ascii="Times New Roman" w:hAnsi="Times New Roman" w:cs="Times New Roman"/>
          <w:sz w:val="24"/>
          <w:szCs w:val="24"/>
        </w:rPr>
        <w:t>tos.</w:t>
      </w:r>
    </w:p>
    <w:p w:rsidR="007915D7" w:rsidRPr="00EC1AB2" w:rsidRDefault="000C10A9"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b/>
          <w:sz w:val="24"/>
          <w:szCs w:val="24"/>
        </w:rPr>
        <w:t>Tyrimo</w:t>
      </w:r>
      <w:r w:rsidR="009B3F53" w:rsidRPr="00EC1AB2">
        <w:rPr>
          <w:rFonts w:ascii="Times New Roman" w:hAnsi="Times New Roman" w:cs="Times New Roman"/>
          <w:sz w:val="24"/>
          <w:szCs w:val="24"/>
        </w:rPr>
        <w:t xml:space="preserve"> </w:t>
      </w:r>
      <w:r w:rsidR="007915D7" w:rsidRPr="00EC1AB2">
        <w:rPr>
          <w:rFonts w:ascii="Times New Roman" w:hAnsi="Times New Roman" w:cs="Times New Roman"/>
          <w:b/>
          <w:sz w:val="24"/>
          <w:szCs w:val="24"/>
        </w:rPr>
        <w:t>problema</w:t>
      </w:r>
      <w:r w:rsidR="007915D7" w:rsidRPr="00EC1AB2">
        <w:rPr>
          <w:rFonts w:ascii="Times New Roman" w:hAnsi="Times New Roman" w:cs="Times New Roman"/>
          <w:sz w:val="24"/>
          <w:szCs w:val="24"/>
        </w:rPr>
        <w:t xml:space="preserve"> – kokios priežastys lemia rizikos kapitalo fondų nepakankamą plėtrą Lietuvoje?</w:t>
      </w:r>
    </w:p>
    <w:p w:rsidR="0075454A" w:rsidRPr="00EC1AB2" w:rsidRDefault="00C90C4F"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b/>
          <w:sz w:val="24"/>
          <w:szCs w:val="24"/>
        </w:rPr>
        <w:t>Tyrimo</w:t>
      </w:r>
      <w:r w:rsidR="007915D7" w:rsidRPr="00EC1AB2">
        <w:rPr>
          <w:rFonts w:ascii="Times New Roman" w:hAnsi="Times New Roman" w:cs="Times New Roman"/>
          <w:b/>
          <w:sz w:val="24"/>
          <w:szCs w:val="24"/>
        </w:rPr>
        <w:t xml:space="preserve"> objektas – </w:t>
      </w:r>
      <w:r w:rsidR="007915D7" w:rsidRPr="00EC1AB2">
        <w:rPr>
          <w:rFonts w:ascii="Times New Roman" w:hAnsi="Times New Roman" w:cs="Times New Roman"/>
          <w:sz w:val="24"/>
          <w:szCs w:val="24"/>
        </w:rPr>
        <w:t>rizikos kapitalo fondų plėtr</w:t>
      </w:r>
      <w:r w:rsidR="00C71747" w:rsidRPr="00EC1AB2">
        <w:rPr>
          <w:rFonts w:ascii="Times New Roman" w:hAnsi="Times New Roman" w:cs="Times New Roman"/>
          <w:sz w:val="24"/>
          <w:szCs w:val="24"/>
        </w:rPr>
        <w:t>os veiksniai</w:t>
      </w:r>
      <w:r w:rsidR="007915D7" w:rsidRPr="00EC1AB2">
        <w:rPr>
          <w:rFonts w:ascii="Times New Roman" w:hAnsi="Times New Roman" w:cs="Times New Roman"/>
          <w:sz w:val="24"/>
          <w:szCs w:val="24"/>
        </w:rPr>
        <w:t>.</w:t>
      </w:r>
    </w:p>
    <w:p w:rsidR="007915D7" w:rsidRPr="00EC1AB2" w:rsidRDefault="00C90C4F"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b/>
          <w:sz w:val="24"/>
          <w:szCs w:val="24"/>
        </w:rPr>
        <w:t xml:space="preserve">Tyrimo </w:t>
      </w:r>
      <w:r w:rsidR="007915D7" w:rsidRPr="00EC1AB2">
        <w:rPr>
          <w:rFonts w:ascii="Times New Roman" w:hAnsi="Times New Roman" w:cs="Times New Roman"/>
          <w:b/>
          <w:sz w:val="24"/>
          <w:szCs w:val="24"/>
        </w:rPr>
        <w:t>tikslas –</w:t>
      </w:r>
      <w:r w:rsidR="007915D7" w:rsidRPr="00EC1AB2">
        <w:rPr>
          <w:rFonts w:ascii="Times New Roman" w:hAnsi="Times New Roman" w:cs="Times New Roman"/>
          <w:sz w:val="24"/>
          <w:szCs w:val="24"/>
        </w:rPr>
        <w:t xml:space="preserve"> identifikuoti ir išanalizuoti veiksnius,</w:t>
      </w:r>
      <w:r w:rsidR="00EE08F1" w:rsidRPr="00EC1AB2">
        <w:rPr>
          <w:rFonts w:ascii="Times New Roman" w:hAnsi="Times New Roman" w:cs="Times New Roman"/>
          <w:sz w:val="24"/>
          <w:szCs w:val="24"/>
        </w:rPr>
        <w:t xml:space="preserve"> neigiamai įtakojančius rizikos kapitalo fondų</w:t>
      </w:r>
      <w:r w:rsidR="007915D7" w:rsidRPr="00EC1AB2">
        <w:rPr>
          <w:rFonts w:ascii="Times New Roman" w:hAnsi="Times New Roman" w:cs="Times New Roman"/>
          <w:sz w:val="24"/>
          <w:szCs w:val="24"/>
        </w:rPr>
        <w:t xml:space="preserve"> plėtrą Lietuvoje</w:t>
      </w:r>
      <w:r w:rsidR="00EC4146" w:rsidRPr="00EC1AB2">
        <w:rPr>
          <w:rFonts w:ascii="Times New Roman" w:hAnsi="Times New Roman" w:cs="Times New Roman"/>
          <w:sz w:val="24"/>
          <w:szCs w:val="24"/>
        </w:rPr>
        <w:t xml:space="preserve">, bei pateikti jų šalinimo galimybes </w:t>
      </w:r>
      <w:r w:rsidR="007915D7" w:rsidRPr="00EC1AB2">
        <w:rPr>
          <w:rFonts w:ascii="Times New Roman" w:hAnsi="Times New Roman" w:cs="Times New Roman"/>
          <w:sz w:val="24"/>
          <w:szCs w:val="24"/>
        </w:rPr>
        <w:t xml:space="preserve">. </w:t>
      </w:r>
    </w:p>
    <w:p w:rsidR="007915D7" w:rsidRPr="00EC1AB2" w:rsidRDefault="00C90C4F" w:rsidP="007A02A8">
      <w:pPr>
        <w:spacing w:after="0" w:line="360" w:lineRule="auto"/>
        <w:ind w:firstLine="567"/>
        <w:jc w:val="both"/>
        <w:rPr>
          <w:rFonts w:ascii="Times New Roman" w:hAnsi="Times New Roman" w:cs="Times New Roman"/>
          <w:b/>
          <w:sz w:val="24"/>
          <w:szCs w:val="24"/>
        </w:rPr>
      </w:pPr>
      <w:r w:rsidRPr="00EC1AB2">
        <w:rPr>
          <w:rFonts w:ascii="Times New Roman" w:hAnsi="Times New Roman" w:cs="Times New Roman"/>
          <w:b/>
          <w:sz w:val="24"/>
          <w:szCs w:val="24"/>
        </w:rPr>
        <w:t>Tyrimo</w:t>
      </w:r>
      <w:r w:rsidR="007915D7" w:rsidRPr="00EC1AB2">
        <w:rPr>
          <w:rFonts w:ascii="Times New Roman" w:hAnsi="Times New Roman" w:cs="Times New Roman"/>
          <w:b/>
          <w:sz w:val="24"/>
          <w:szCs w:val="24"/>
        </w:rPr>
        <w:t xml:space="preserve"> uždaviniai:</w:t>
      </w:r>
    </w:p>
    <w:p w:rsidR="007915D7" w:rsidRPr="00EC1AB2" w:rsidRDefault="000C10A9" w:rsidP="007A02A8">
      <w:pPr>
        <w:pStyle w:val="ListParagraph"/>
        <w:numPr>
          <w:ilvl w:val="0"/>
          <w:numId w:val="27"/>
        </w:numPr>
        <w:spacing w:after="0" w:line="360" w:lineRule="auto"/>
        <w:jc w:val="both"/>
        <w:rPr>
          <w:rFonts w:ascii="Times New Roman" w:hAnsi="Times New Roman" w:cs="Times New Roman"/>
          <w:sz w:val="24"/>
          <w:szCs w:val="24"/>
        </w:rPr>
      </w:pPr>
      <w:r w:rsidRPr="00EC1AB2">
        <w:rPr>
          <w:rFonts w:ascii="Times New Roman" w:hAnsi="Times New Roman" w:cs="Times New Roman"/>
          <w:sz w:val="24"/>
          <w:szCs w:val="24"/>
        </w:rPr>
        <w:t>Pateikti</w:t>
      </w:r>
      <w:r w:rsidR="007915D7" w:rsidRPr="00EC1AB2">
        <w:rPr>
          <w:rFonts w:ascii="Times New Roman" w:hAnsi="Times New Roman" w:cs="Times New Roman"/>
          <w:sz w:val="24"/>
          <w:szCs w:val="24"/>
        </w:rPr>
        <w:t xml:space="preserve"> rizikos kapitalo fondų teorinius aspektus;</w:t>
      </w:r>
    </w:p>
    <w:p w:rsidR="000C10A9" w:rsidRPr="00EC1AB2" w:rsidRDefault="000C10A9" w:rsidP="007A02A8">
      <w:pPr>
        <w:pStyle w:val="ListParagraph"/>
        <w:numPr>
          <w:ilvl w:val="0"/>
          <w:numId w:val="27"/>
        </w:numPr>
        <w:spacing w:after="0" w:line="360" w:lineRule="auto"/>
        <w:jc w:val="both"/>
        <w:rPr>
          <w:rFonts w:ascii="Times New Roman" w:hAnsi="Times New Roman" w:cs="Times New Roman"/>
          <w:sz w:val="24"/>
          <w:szCs w:val="24"/>
        </w:rPr>
      </w:pPr>
      <w:r w:rsidRPr="00EC1AB2">
        <w:rPr>
          <w:rFonts w:ascii="Times New Roman" w:hAnsi="Times New Roman" w:cs="Times New Roman"/>
          <w:sz w:val="24"/>
          <w:szCs w:val="24"/>
        </w:rPr>
        <w:t>Parenti rizikos kapitalo fondų plėtros tyrimo metodologiją;</w:t>
      </w:r>
    </w:p>
    <w:p w:rsidR="000C10A9" w:rsidRPr="00EC1AB2" w:rsidRDefault="000C10A9" w:rsidP="007A02A8">
      <w:pPr>
        <w:pStyle w:val="ListParagraph"/>
        <w:numPr>
          <w:ilvl w:val="0"/>
          <w:numId w:val="27"/>
        </w:numPr>
        <w:spacing w:after="0" w:line="360" w:lineRule="auto"/>
        <w:jc w:val="both"/>
        <w:rPr>
          <w:rFonts w:ascii="Times New Roman" w:hAnsi="Times New Roman" w:cs="Times New Roman"/>
          <w:sz w:val="24"/>
          <w:szCs w:val="24"/>
        </w:rPr>
      </w:pPr>
      <w:r w:rsidRPr="00EC1AB2">
        <w:rPr>
          <w:rFonts w:ascii="Times New Roman" w:hAnsi="Times New Roman" w:cs="Times New Roman"/>
          <w:sz w:val="24"/>
          <w:szCs w:val="24"/>
        </w:rPr>
        <w:t>Įvertinti rizikos kapitalo fondų įt</w:t>
      </w:r>
      <w:r w:rsidR="00EE08F1" w:rsidRPr="00EC1AB2">
        <w:rPr>
          <w:rFonts w:ascii="Times New Roman" w:hAnsi="Times New Roman" w:cs="Times New Roman"/>
          <w:sz w:val="24"/>
          <w:szCs w:val="24"/>
        </w:rPr>
        <w:t>aką Europos Sąjungos šalių inovatyvumui;</w:t>
      </w:r>
    </w:p>
    <w:p w:rsidR="007915D7" w:rsidRPr="00EC1AB2" w:rsidRDefault="000C10A9" w:rsidP="007A02A8">
      <w:pPr>
        <w:pStyle w:val="ListParagraph"/>
        <w:numPr>
          <w:ilvl w:val="0"/>
          <w:numId w:val="27"/>
        </w:numPr>
        <w:spacing w:after="0" w:line="360" w:lineRule="auto"/>
        <w:jc w:val="both"/>
        <w:rPr>
          <w:rFonts w:ascii="Times New Roman" w:hAnsi="Times New Roman" w:cs="Times New Roman"/>
          <w:sz w:val="24"/>
          <w:szCs w:val="24"/>
        </w:rPr>
      </w:pPr>
      <w:r w:rsidRPr="00EC1AB2">
        <w:rPr>
          <w:rFonts w:ascii="Times New Roman" w:hAnsi="Times New Roman" w:cs="Times New Roman"/>
          <w:sz w:val="24"/>
          <w:szCs w:val="24"/>
        </w:rPr>
        <w:lastRenderedPageBreak/>
        <w:t xml:space="preserve"> </w:t>
      </w:r>
      <w:r w:rsidR="005208ED" w:rsidRPr="00EC1AB2">
        <w:rPr>
          <w:rFonts w:ascii="Times New Roman" w:hAnsi="Times New Roman" w:cs="Times New Roman"/>
          <w:sz w:val="24"/>
          <w:szCs w:val="24"/>
        </w:rPr>
        <w:t>Išanalizuoti</w:t>
      </w:r>
      <w:r w:rsidR="007915D7" w:rsidRPr="00EC1AB2">
        <w:rPr>
          <w:rFonts w:ascii="Times New Roman" w:hAnsi="Times New Roman" w:cs="Times New Roman"/>
          <w:sz w:val="24"/>
          <w:szCs w:val="24"/>
        </w:rPr>
        <w:t xml:space="preserve"> pagrindines priežastis,</w:t>
      </w:r>
      <w:r w:rsidR="0000142D" w:rsidRPr="00EC1AB2">
        <w:rPr>
          <w:rFonts w:ascii="Times New Roman" w:hAnsi="Times New Roman" w:cs="Times New Roman"/>
          <w:sz w:val="24"/>
          <w:szCs w:val="24"/>
        </w:rPr>
        <w:t xml:space="preserve"> trukdančias plėtotis rizikos kapitalo</w:t>
      </w:r>
      <w:r w:rsidR="005208ED" w:rsidRPr="00EC1AB2">
        <w:rPr>
          <w:rFonts w:ascii="Times New Roman" w:hAnsi="Times New Roman" w:cs="Times New Roman"/>
          <w:sz w:val="24"/>
          <w:szCs w:val="24"/>
        </w:rPr>
        <w:t xml:space="preserve"> fondams</w:t>
      </w:r>
      <w:r w:rsidR="00255B25" w:rsidRPr="00EC1AB2">
        <w:rPr>
          <w:rFonts w:ascii="Times New Roman" w:hAnsi="Times New Roman" w:cs="Times New Roman"/>
          <w:sz w:val="24"/>
          <w:szCs w:val="24"/>
        </w:rPr>
        <w:t xml:space="preserve"> Lietuvoje</w:t>
      </w:r>
      <w:r w:rsidR="003B00BB" w:rsidRPr="00EC1AB2">
        <w:rPr>
          <w:rFonts w:ascii="Times New Roman" w:hAnsi="Times New Roman" w:cs="Times New Roman"/>
          <w:sz w:val="24"/>
          <w:szCs w:val="24"/>
        </w:rPr>
        <w:t xml:space="preserve"> bei pateikti siūlymus šių kliūčių šalinimui. </w:t>
      </w:r>
    </w:p>
    <w:p w:rsidR="007915D7" w:rsidRPr="00EC1AB2" w:rsidRDefault="007915D7" w:rsidP="007A02A8">
      <w:pPr>
        <w:spacing w:after="0" w:line="360" w:lineRule="auto"/>
        <w:ind w:firstLine="567"/>
        <w:jc w:val="both"/>
        <w:rPr>
          <w:rFonts w:ascii="Times New Roman" w:hAnsi="Times New Roman" w:cs="Times New Roman"/>
          <w:sz w:val="24"/>
          <w:szCs w:val="24"/>
          <w:lang w:eastAsia="lt-LT"/>
        </w:rPr>
      </w:pPr>
      <w:r w:rsidRPr="00EC1AB2">
        <w:rPr>
          <w:rFonts w:ascii="Times New Roman" w:hAnsi="Times New Roman" w:cs="Times New Roman"/>
          <w:sz w:val="24"/>
          <w:szCs w:val="24"/>
          <w:lang w:eastAsia="lt-LT"/>
        </w:rPr>
        <w:t xml:space="preserve">Tyrimo metu naudoti šie </w:t>
      </w:r>
      <w:r w:rsidRPr="00EC1AB2">
        <w:rPr>
          <w:rFonts w:ascii="Times New Roman" w:hAnsi="Times New Roman" w:cs="Times New Roman"/>
          <w:b/>
          <w:sz w:val="24"/>
          <w:szCs w:val="24"/>
          <w:lang w:eastAsia="lt-LT"/>
        </w:rPr>
        <w:t>metodai</w:t>
      </w:r>
      <w:r w:rsidRPr="00EC1AB2">
        <w:rPr>
          <w:rFonts w:ascii="Times New Roman" w:hAnsi="Times New Roman" w:cs="Times New Roman"/>
          <w:sz w:val="24"/>
          <w:szCs w:val="24"/>
          <w:lang w:eastAsia="lt-LT"/>
        </w:rPr>
        <w:t xml:space="preserve">: </w:t>
      </w:r>
      <w:r w:rsidRPr="00EC1AB2">
        <w:rPr>
          <w:rFonts w:ascii="Times New Roman" w:hAnsi="Times New Roman" w:cs="Times New Roman"/>
          <w:sz w:val="24"/>
          <w:szCs w:val="24"/>
        </w:rPr>
        <w:t xml:space="preserve">norminių aktų, mokslinės literatūros bei internetinių šaltinių duomenų </w:t>
      </w:r>
      <w:r w:rsidRPr="00EC1AB2">
        <w:rPr>
          <w:rFonts w:ascii="Times New Roman" w:hAnsi="Times New Roman" w:cs="Times New Roman"/>
          <w:sz w:val="24"/>
          <w:szCs w:val="24"/>
          <w:lang w:eastAsia="lt-LT"/>
        </w:rPr>
        <w:t xml:space="preserve">loginė analizė ir sintezė, palyginimo, </w:t>
      </w:r>
      <w:r w:rsidRPr="00EC1AB2">
        <w:rPr>
          <w:rFonts w:ascii="Times New Roman" w:hAnsi="Times New Roman" w:cs="Times New Roman"/>
          <w:sz w:val="24"/>
          <w:szCs w:val="24"/>
        </w:rPr>
        <w:t>statistiniai duomenų apdorojimo ir grafinio vaizdavimo metodai</w:t>
      </w:r>
      <w:r w:rsidR="001A738C" w:rsidRPr="00EC1AB2">
        <w:rPr>
          <w:rFonts w:ascii="Times New Roman" w:hAnsi="Times New Roman" w:cs="Times New Roman"/>
          <w:sz w:val="24"/>
          <w:szCs w:val="24"/>
          <w:lang w:eastAsia="lt-LT"/>
        </w:rPr>
        <w:t>, koreliacinė analizė.</w:t>
      </w:r>
      <w:r w:rsidRPr="00EC1AB2">
        <w:rPr>
          <w:rFonts w:ascii="Times New Roman" w:hAnsi="Times New Roman" w:cs="Times New Roman"/>
          <w:sz w:val="24"/>
          <w:szCs w:val="24"/>
          <w:lang w:eastAsia="lt-LT"/>
        </w:rPr>
        <w:t xml:space="preserve"> Siekiant identifikuoti pagrindines prie</w:t>
      </w:r>
      <w:r w:rsidR="00F350BA" w:rsidRPr="00EC1AB2">
        <w:rPr>
          <w:rFonts w:ascii="Times New Roman" w:hAnsi="Times New Roman" w:cs="Times New Roman"/>
          <w:sz w:val="24"/>
          <w:szCs w:val="24"/>
          <w:lang w:eastAsia="lt-LT"/>
        </w:rPr>
        <w:t>žastis, lemiančias lėtą rizikos kapitalo fondų</w:t>
      </w:r>
      <w:r w:rsidRPr="00EC1AB2">
        <w:rPr>
          <w:rFonts w:ascii="Times New Roman" w:hAnsi="Times New Roman" w:cs="Times New Roman"/>
          <w:sz w:val="24"/>
          <w:szCs w:val="24"/>
          <w:lang w:eastAsia="lt-LT"/>
        </w:rPr>
        <w:t xml:space="preserve"> ri</w:t>
      </w:r>
      <w:r w:rsidR="0061704D" w:rsidRPr="00EC1AB2">
        <w:rPr>
          <w:rFonts w:ascii="Times New Roman" w:hAnsi="Times New Roman" w:cs="Times New Roman"/>
          <w:sz w:val="24"/>
          <w:szCs w:val="24"/>
          <w:lang w:eastAsia="lt-LT"/>
        </w:rPr>
        <w:t>n</w:t>
      </w:r>
      <w:r w:rsidRPr="00EC1AB2">
        <w:rPr>
          <w:rFonts w:ascii="Times New Roman" w:hAnsi="Times New Roman" w:cs="Times New Roman"/>
          <w:sz w:val="24"/>
          <w:szCs w:val="24"/>
          <w:lang w:eastAsia="lt-LT"/>
        </w:rPr>
        <w:t>kos vystymąsi Lietuvo</w:t>
      </w:r>
      <w:r w:rsidR="001A738C" w:rsidRPr="00EC1AB2">
        <w:rPr>
          <w:rFonts w:ascii="Times New Roman" w:hAnsi="Times New Roman" w:cs="Times New Roman"/>
          <w:sz w:val="24"/>
          <w:szCs w:val="24"/>
          <w:lang w:eastAsia="lt-LT"/>
        </w:rPr>
        <w:t>je</w:t>
      </w:r>
      <w:r w:rsidR="0061704D" w:rsidRPr="00EC1AB2">
        <w:rPr>
          <w:rFonts w:ascii="Times New Roman" w:hAnsi="Times New Roman" w:cs="Times New Roman"/>
          <w:sz w:val="24"/>
          <w:szCs w:val="24"/>
          <w:lang w:eastAsia="lt-LT"/>
        </w:rPr>
        <w:t>,</w:t>
      </w:r>
      <w:r w:rsidR="001A738C" w:rsidRPr="00EC1AB2">
        <w:rPr>
          <w:rFonts w:ascii="Times New Roman" w:hAnsi="Times New Roman" w:cs="Times New Roman"/>
          <w:sz w:val="24"/>
          <w:szCs w:val="24"/>
          <w:lang w:eastAsia="lt-LT"/>
        </w:rPr>
        <w:t xml:space="preserve"> atliktas ekspertinis tyrimas,</w:t>
      </w:r>
      <w:r w:rsidR="00D466EF" w:rsidRPr="00EC1AB2">
        <w:rPr>
          <w:rFonts w:ascii="Times New Roman" w:hAnsi="Times New Roman" w:cs="Times New Roman"/>
          <w:sz w:val="24"/>
          <w:szCs w:val="24"/>
          <w:lang w:eastAsia="lt-LT"/>
        </w:rPr>
        <w:t xml:space="preserve"> apibendrinan</w:t>
      </w:r>
      <w:r w:rsidR="001A738C" w:rsidRPr="00EC1AB2">
        <w:rPr>
          <w:rFonts w:ascii="Times New Roman" w:hAnsi="Times New Roman" w:cs="Times New Roman"/>
          <w:sz w:val="24"/>
          <w:szCs w:val="24"/>
          <w:lang w:eastAsia="lt-LT"/>
        </w:rPr>
        <w:t>t</w:t>
      </w:r>
      <w:r w:rsidR="00D466EF" w:rsidRPr="00EC1AB2">
        <w:rPr>
          <w:rFonts w:ascii="Times New Roman" w:hAnsi="Times New Roman" w:cs="Times New Roman"/>
          <w:sz w:val="24"/>
          <w:szCs w:val="24"/>
          <w:lang w:eastAsia="lt-LT"/>
        </w:rPr>
        <w:t xml:space="preserve"> tyrimo rezultatus </w:t>
      </w:r>
      <w:r w:rsidR="00C35C20" w:rsidRPr="00EC1AB2">
        <w:rPr>
          <w:rFonts w:ascii="Times New Roman" w:hAnsi="Times New Roman" w:cs="Times New Roman"/>
          <w:sz w:val="24"/>
          <w:szCs w:val="24"/>
          <w:lang w:eastAsia="lt-LT"/>
        </w:rPr>
        <w:t>pateikta</w:t>
      </w:r>
      <w:r w:rsidR="001A738C" w:rsidRPr="00EC1AB2">
        <w:rPr>
          <w:rFonts w:ascii="Times New Roman" w:hAnsi="Times New Roman" w:cs="Times New Roman"/>
          <w:sz w:val="24"/>
          <w:szCs w:val="24"/>
          <w:lang w:eastAsia="lt-LT"/>
        </w:rPr>
        <w:t xml:space="preserve"> </w:t>
      </w:r>
      <w:r w:rsidR="00724999" w:rsidRPr="00EC1AB2">
        <w:rPr>
          <w:rFonts w:ascii="Times New Roman" w:hAnsi="Times New Roman" w:cs="Times New Roman"/>
          <w:sz w:val="24"/>
          <w:szCs w:val="24"/>
          <w:lang w:eastAsia="lt-LT"/>
        </w:rPr>
        <w:t xml:space="preserve">rizikos kapitalo </w:t>
      </w:r>
      <w:r w:rsidR="00F350BA" w:rsidRPr="00EC1AB2">
        <w:rPr>
          <w:rFonts w:ascii="Times New Roman" w:hAnsi="Times New Roman" w:cs="Times New Roman"/>
          <w:sz w:val="24"/>
          <w:szCs w:val="24"/>
          <w:lang w:eastAsia="lt-LT"/>
        </w:rPr>
        <w:t>fondų</w:t>
      </w:r>
      <w:r w:rsidR="00724999" w:rsidRPr="00EC1AB2">
        <w:rPr>
          <w:rFonts w:ascii="Times New Roman" w:hAnsi="Times New Roman" w:cs="Times New Roman"/>
          <w:sz w:val="24"/>
          <w:szCs w:val="24"/>
          <w:lang w:eastAsia="lt-LT"/>
        </w:rPr>
        <w:t xml:space="preserve"> plėtros </w:t>
      </w:r>
      <w:r w:rsidR="00B97D21" w:rsidRPr="00EC1AB2">
        <w:rPr>
          <w:rFonts w:ascii="Times New Roman" w:hAnsi="Times New Roman" w:cs="Times New Roman"/>
          <w:sz w:val="24"/>
          <w:szCs w:val="24"/>
          <w:lang w:eastAsia="lt-LT"/>
        </w:rPr>
        <w:t xml:space="preserve">Lietuvoje </w:t>
      </w:r>
      <w:r w:rsidR="001A738C" w:rsidRPr="00EC1AB2">
        <w:rPr>
          <w:rFonts w:ascii="Times New Roman" w:hAnsi="Times New Roman" w:cs="Times New Roman"/>
          <w:sz w:val="24"/>
          <w:szCs w:val="24"/>
          <w:lang w:eastAsia="lt-LT"/>
        </w:rPr>
        <w:t xml:space="preserve">SWOT analizė. </w:t>
      </w:r>
    </w:p>
    <w:p w:rsidR="007915D7" w:rsidRPr="00EC1AB2" w:rsidRDefault="007915D7"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b/>
          <w:sz w:val="24"/>
          <w:szCs w:val="24"/>
        </w:rPr>
        <w:t xml:space="preserve">Darbo struktūra. </w:t>
      </w:r>
      <w:r w:rsidR="004B444F" w:rsidRPr="00EC1AB2">
        <w:rPr>
          <w:rFonts w:ascii="Times New Roman" w:hAnsi="Times New Roman" w:cs="Times New Roman"/>
          <w:sz w:val="24"/>
          <w:szCs w:val="24"/>
          <w:lang w:eastAsia="lt-LT"/>
        </w:rPr>
        <w:t>Darbą sudaro įvadas, trys skyriai, išvados ir siūlymai</w:t>
      </w:r>
      <w:r w:rsidRPr="00EC1AB2">
        <w:rPr>
          <w:rFonts w:ascii="Times New Roman" w:hAnsi="Times New Roman" w:cs="Times New Roman"/>
          <w:sz w:val="24"/>
          <w:szCs w:val="24"/>
          <w:lang w:eastAsia="lt-LT"/>
        </w:rPr>
        <w:t>. Pirmame skyriuje analizuojami rizikos kap</w:t>
      </w:r>
      <w:r w:rsidR="009F308E" w:rsidRPr="00EC1AB2">
        <w:rPr>
          <w:rFonts w:ascii="Times New Roman" w:hAnsi="Times New Roman" w:cs="Times New Roman"/>
          <w:sz w:val="24"/>
          <w:szCs w:val="24"/>
          <w:lang w:eastAsia="lt-LT"/>
        </w:rPr>
        <w:t>italo fondų teoriniai aspektai (RKF koncepcija, veiklos bruožai ir teisinis reglamentavimas, įtaka ekonomikai bei remiantis įvairių autorių nuomone, išskiriamos sąlygos, būtinos RKF vystymuisi), antrame skyriuje</w:t>
      </w:r>
      <w:r w:rsidR="00415303" w:rsidRPr="00EC1AB2">
        <w:rPr>
          <w:rFonts w:ascii="Times New Roman" w:hAnsi="Times New Roman" w:cs="Times New Roman"/>
          <w:sz w:val="24"/>
          <w:szCs w:val="24"/>
          <w:lang w:eastAsia="lt-LT"/>
        </w:rPr>
        <w:t xml:space="preserve"> </w:t>
      </w:r>
      <w:r w:rsidR="0039716D" w:rsidRPr="00EC1AB2">
        <w:rPr>
          <w:rFonts w:ascii="Times New Roman" w:hAnsi="Times New Roman" w:cs="Times New Roman"/>
          <w:sz w:val="24"/>
          <w:szCs w:val="24"/>
          <w:lang w:eastAsia="lt-LT"/>
        </w:rPr>
        <w:t>pateikiamas tyrimo pagrindimas,</w:t>
      </w:r>
      <w:r w:rsidRPr="00EC1AB2">
        <w:rPr>
          <w:rFonts w:ascii="Times New Roman" w:hAnsi="Times New Roman" w:cs="Times New Roman"/>
          <w:sz w:val="24"/>
          <w:szCs w:val="24"/>
          <w:lang w:eastAsia="lt-LT"/>
        </w:rPr>
        <w:t xml:space="preserve"> aprašoma tyrimo metodika</w:t>
      </w:r>
      <w:r w:rsidR="0039716D" w:rsidRPr="00EC1AB2">
        <w:rPr>
          <w:rFonts w:ascii="Times New Roman" w:hAnsi="Times New Roman" w:cs="Times New Roman"/>
          <w:sz w:val="24"/>
          <w:szCs w:val="24"/>
          <w:lang w:eastAsia="lt-LT"/>
        </w:rPr>
        <w:t xml:space="preserve"> ir nuoseklumas, suformuluojamos tyrimo hipotezės</w:t>
      </w:r>
      <w:r w:rsidRPr="00EC1AB2">
        <w:rPr>
          <w:rFonts w:ascii="Times New Roman" w:hAnsi="Times New Roman" w:cs="Times New Roman"/>
          <w:sz w:val="24"/>
          <w:szCs w:val="24"/>
          <w:lang w:eastAsia="lt-LT"/>
        </w:rPr>
        <w:t xml:space="preserve">, trečiame </w:t>
      </w:r>
      <w:r w:rsidR="0039716D" w:rsidRPr="00EC1AB2">
        <w:rPr>
          <w:rFonts w:ascii="Times New Roman" w:hAnsi="Times New Roman" w:cs="Times New Roman"/>
          <w:sz w:val="24"/>
          <w:szCs w:val="24"/>
          <w:lang w:eastAsia="lt-LT"/>
        </w:rPr>
        <w:t xml:space="preserve">analizuojami </w:t>
      </w:r>
      <w:r w:rsidR="000A2054" w:rsidRPr="00EC1AB2">
        <w:rPr>
          <w:rFonts w:ascii="Times New Roman" w:hAnsi="Times New Roman" w:cs="Times New Roman"/>
          <w:sz w:val="24"/>
          <w:szCs w:val="24"/>
          <w:lang w:eastAsia="lt-LT"/>
        </w:rPr>
        <w:t xml:space="preserve">Lietuvos rezultatai diegiant inovacijas, atlikta RKF investicijų ir suminio inovatyvumo indekso </w:t>
      </w:r>
      <w:r w:rsidR="006B2A1A" w:rsidRPr="00EC1AB2">
        <w:rPr>
          <w:rFonts w:ascii="Times New Roman" w:hAnsi="Times New Roman" w:cs="Times New Roman"/>
          <w:sz w:val="24"/>
          <w:szCs w:val="24"/>
          <w:lang w:eastAsia="lt-LT"/>
        </w:rPr>
        <w:t>sudedamųjų dalių koreliacinė analizė</w:t>
      </w:r>
      <w:r w:rsidR="004D49D2" w:rsidRPr="00EC1AB2">
        <w:rPr>
          <w:rFonts w:ascii="Times New Roman" w:hAnsi="Times New Roman" w:cs="Times New Roman"/>
          <w:sz w:val="24"/>
          <w:szCs w:val="24"/>
          <w:lang w:eastAsia="lt-LT"/>
        </w:rPr>
        <w:t>, remiantis</w:t>
      </w:r>
      <w:r w:rsidR="00CF5E28" w:rsidRPr="00EC1AB2">
        <w:rPr>
          <w:rFonts w:ascii="Times New Roman" w:hAnsi="Times New Roman" w:cs="Times New Roman"/>
          <w:sz w:val="24"/>
          <w:szCs w:val="24"/>
          <w:lang w:eastAsia="lt-LT"/>
        </w:rPr>
        <w:t xml:space="preserve"> ekspertinio tyrimo </w:t>
      </w:r>
      <w:r w:rsidR="0025412D" w:rsidRPr="00EC1AB2">
        <w:rPr>
          <w:rFonts w:ascii="Times New Roman" w:hAnsi="Times New Roman" w:cs="Times New Roman"/>
          <w:sz w:val="24"/>
          <w:szCs w:val="24"/>
          <w:lang w:eastAsia="lt-LT"/>
        </w:rPr>
        <w:t xml:space="preserve">rezultatais </w:t>
      </w:r>
      <w:r w:rsidR="00CF5E28" w:rsidRPr="00EC1AB2">
        <w:rPr>
          <w:rFonts w:ascii="Times New Roman" w:hAnsi="Times New Roman" w:cs="Times New Roman"/>
          <w:sz w:val="24"/>
          <w:szCs w:val="24"/>
          <w:lang w:eastAsia="lt-LT"/>
        </w:rPr>
        <w:t xml:space="preserve">bei </w:t>
      </w:r>
      <w:r w:rsidR="00CA7629" w:rsidRPr="00EC1AB2">
        <w:rPr>
          <w:rStyle w:val="st"/>
          <w:rFonts w:ascii="Times New Roman" w:hAnsi="Times New Roman" w:cs="Times New Roman"/>
          <w:sz w:val="24"/>
          <w:szCs w:val="24"/>
        </w:rPr>
        <w:t>European Private Equity and Venture Capital Association</w:t>
      </w:r>
      <w:r w:rsidR="00CA7629" w:rsidRPr="00EC1AB2">
        <w:rPr>
          <w:rFonts w:ascii="Times New Roman" w:hAnsi="Times New Roman" w:cs="Times New Roman"/>
          <w:sz w:val="24"/>
          <w:szCs w:val="24"/>
          <w:lang w:eastAsia="lt-LT"/>
        </w:rPr>
        <w:t xml:space="preserve"> (EVCA)</w:t>
      </w:r>
      <w:r w:rsidR="00A01BB1" w:rsidRPr="00EC1AB2">
        <w:rPr>
          <w:rFonts w:ascii="Times New Roman" w:hAnsi="Times New Roman" w:cs="Times New Roman"/>
          <w:sz w:val="24"/>
          <w:szCs w:val="24"/>
          <w:lang w:eastAsia="lt-LT"/>
        </w:rPr>
        <w:t xml:space="preserve"> ataskaitos, kurioje vertinamos šalių teisinės ir mokestinės sąlygos RKF plėtrai bei </w:t>
      </w:r>
      <w:r w:rsidR="00A01BB1" w:rsidRPr="00EC1AB2">
        <w:rPr>
          <w:rFonts w:ascii="Times New Roman" w:hAnsi="Times New Roman" w:cs="Times New Roman"/>
          <w:sz w:val="24"/>
          <w:szCs w:val="24"/>
        </w:rPr>
        <w:t xml:space="preserve">A.Groh, H. Liechtenstein, </w:t>
      </w:r>
      <w:r w:rsidR="00A01BB1" w:rsidRPr="00EC1AB2">
        <w:rPr>
          <w:rFonts w:ascii="Times New Roman" w:hAnsi="Times New Roman" w:cs="Times New Roman"/>
          <w:iCs/>
          <w:sz w:val="24"/>
          <w:szCs w:val="24"/>
        </w:rPr>
        <w:t>Karsten Lieser</w:t>
      </w:r>
      <w:r w:rsidR="00A01BB1" w:rsidRPr="00EC1AB2">
        <w:rPr>
          <w:rFonts w:ascii="Times New Roman" w:hAnsi="Times New Roman" w:cs="Times New Roman"/>
          <w:sz w:val="24"/>
          <w:szCs w:val="24"/>
        </w:rPr>
        <w:t xml:space="preserve"> kartu su audito įmone „Ernst&amp;Young” kasmet skaičiuojamo </w:t>
      </w:r>
      <w:r w:rsidR="006F6BBE" w:rsidRPr="00EC1AB2">
        <w:rPr>
          <w:rFonts w:ascii="Times New Roman" w:hAnsi="Times New Roman" w:cs="Times New Roman"/>
          <w:bCs/>
          <w:sz w:val="24"/>
          <w:szCs w:val="24"/>
        </w:rPr>
        <w:t>The Global Venture Capital and Private Equity</w:t>
      </w:r>
      <w:r w:rsidR="006F6BBE" w:rsidRPr="00EC1AB2">
        <w:rPr>
          <w:rFonts w:ascii="Times New Roman" w:hAnsi="Times New Roman" w:cs="Times New Roman"/>
          <w:bCs/>
          <w:sz w:val="24"/>
          <w:szCs w:val="24"/>
        </w:rPr>
        <w:br/>
        <w:t>Country Attractiveness Index</w:t>
      </w:r>
      <w:r w:rsidR="006F6BBE" w:rsidRPr="00EC1AB2">
        <w:rPr>
          <w:rFonts w:ascii="Times New Roman" w:hAnsi="Times New Roman" w:cs="Times New Roman"/>
          <w:sz w:val="24"/>
          <w:szCs w:val="24"/>
        </w:rPr>
        <w:t xml:space="preserve"> analize, pat</w:t>
      </w:r>
      <w:r w:rsidR="0034095E" w:rsidRPr="00EC1AB2">
        <w:rPr>
          <w:rFonts w:ascii="Times New Roman" w:hAnsi="Times New Roman" w:cs="Times New Roman"/>
          <w:sz w:val="24"/>
          <w:szCs w:val="24"/>
        </w:rPr>
        <w:t>eikiama rizikos kapitalo rinkos SWOT</w:t>
      </w:r>
      <w:r w:rsidR="006F6BBE" w:rsidRPr="00EC1AB2">
        <w:rPr>
          <w:rFonts w:ascii="Times New Roman" w:hAnsi="Times New Roman" w:cs="Times New Roman"/>
          <w:sz w:val="24"/>
          <w:szCs w:val="24"/>
        </w:rPr>
        <w:t xml:space="preserve"> Lietuvoje analizė. </w:t>
      </w:r>
      <w:r w:rsidRPr="00EC1AB2">
        <w:rPr>
          <w:rFonts w:ascii="Times New Roman" w:hAnsi="Times New Roman" w:cs="Times New Roman"/>
          <w:sz w:val="24"/>
          <w:szCs w:val="24"/>
          <w:lang w:eastAsia="lt-LT"/>
        </w:rPr>
        <w:t xml:space="preserve">Pateikiamos išvados bei pasiūlymai. </w:t>
      </w:r>
      <w:r w:rsidR="00B955CB" w:rsidRPr="00EC1AB2">
        <w:rPr>
          <w:rFonts w:ascii="Times New Roman" w:hAnsi="Times New Roman" w:cs="Times New Roman"/>
          <w:sz w:val="24"/>
          <w:szCs w:val="24"/>
          <w:lang w:eastAsia="lt-LT"/>
        </w:rPr>
        <w:t>Darbe pateikta 11 lentelių, 17</w:t>
      </w:r>
      <w:r w:rsidR="00982448" w:rsidRPr="00EC1AB2">
        <w:rPr>
          <w:rFonts w:ascii="Times New Roman" w:hAnsi="Times New Roman" w:cs="Times New Roman"/>
          <w:sz w:val="24"/>
          <w:szCs w:val="24"/>
          <w:lang w:eastAsia="lt-LT"/>
        </w:rPr>
        <w:t xml:space="preserve"> paveikslų. Naudotas 61</w:t>
      </w:r>
      <w:r w:rsidR="00E056E7" w:rsidRPr="00EC1AB2">
        <w:rPr>
          <w:rFonts w:ascii="Times New Roman" w:hAnsi="Times New Roman" w:cs="Times New Roman"/>
          <w:sz w:val="24"/>
          <w:szCs w:val="24"/>
          <w:lang w:eastAsia="lt-LT"/>
        </w:rPr>
        <w:t xml:space="preserve"> literatūros šaltinis</w:t>
      </w:r>
      <w:r w:rsidRPr="00EC1AB2">
        <w:rPr>
          <w:rFonts w:ascii="Times New Roman" w:hAnsi="Times New Roman" w:cs="Times New Roman"/>
          <w:sz w:val="24"/>
          <w:szCs w:val="24"/>
          <w:lang w:eastAsia="lt-LT"/>
        </w:rPr>
        <w:t>.</w:t>
      </w:r>
    </w:p>
    <w:p w:rsidR="000A2054" w:rsidRPr="00EC1AB2" w:rsidRDefault="008B5A00"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b/>
          <w:sz w:val="24"/>
          <w:szCs w:val="24"/>
        </w:rPr>
        <w:t>Darbo praktinė reikšmė:</w:t>
      </w:r>
      <w:r w:rsidR="002F6749" w:rsidRPr="00EC1AB2">
        <w:rPr>
          <w:rFonts w:ascii="Times New Roman" w:hAnsi="Times New Roman" w:cs="Times New Roman"/>
          <w:b/>
          <w:sz w:val="24"/>
          <w:szCs w:val="24"/>
        </w:rPr>
        <w:t xml:space="preserve"> </w:t>
      </w:r>
      <w:r w:rsidR="002F6749" w:rsidRPr="00EC1AB2">
        <w:rPr>
          <w:rFonts w:ascii="Times New Roman" w:hAnsi="Times New Roman" w:cs="Times New Roman"/>
          <w:sz w:val="24"/>
          <w:szCs w:val="24"/>
        </w:rPr>
        <w:t>išanalizuotas Lietuvos suminis inovatyvumo indeksas</w:t>
      </w:r>
      <w:r w:rsidR="00C47A02" w:rsidRPr="00EC1AB2">
        <w:rPr>
          <w:rFonts w:ascii="Times New Roman" w:hAnsi="Times New Roman" w:cs="Times New Roman"/>
          <w:sz w:val="24"/>
          <w:szCs w:val="24"/>
        </w:rPr>
        <w:t xml:space="preserve"> ir identifikuot</w:t>
      </w:r>
      <w:r w:rsidR="00590792" w:rsidRPr="00EC1AB2">
        <w:rPr>
          <w:rFonts w:ascii="Times New Roman" w:hAnsi="Times New Roman" w:cs="Times New Roman"/>
          <w:sz w:val="24"/>
          <w:szCs w:val="24"/>
        </w:rPr>
        <w:t xml:space="preserve">os stipriosios bei silpnosios </w:t>
      </w:r>
      <w:r w:rsidR="00C47A02" w:rsidRPr="00EC1AB2">
        <w:rPr>
          <w:rFonts w:ascii="Times New Roman" w:hAnsi="Times New Roman" w:cs="Times New Roman"/>
          <w:sz w:val="24"/>
          <w:szCs w:val="24"/>
        </w:rPr>
        <w:t xml:space="preserve">pusės inovacijų diegimo srityje bei </w:t>
      </w:r>
      <w:r w:rsidR="002F6749" w:rsidRPr="00EC1AB2">
        <w:rPr>
          <w:rFonts w:ascii="Times New Roman" w:hAnsi="Times New Roman" w:cs="Times New Roman"/>
          <w:sz w:val="24"/>
          <w:szCs w:val="24"/>
        </w:rPr>
        <w:t>n</w:t>
      </w:r>
      <w:r w:rsidR="003E0E0B" w:rsidRPr="00EC1AB2">
        <w:rPr>
          <w:rFonts w:ascii="Times New Roman" w:hAnsi="Times New Roman" w:cs="Times New Roman"/>
          <w:sz w:val="24"/>
          <w:szCs w:val="24"/>
        </w:rPr>
        <w:t>ustatyta RKF investicijų įtaka</w:t>
      </w:r>
      <w:r w:rsidR="00C47A02" w:rsidRPr="00EC1AB2">
        <w:rPr>
          <w:rFonts w:ascii="Times New Roman" w:hAnsi="Times New Roman" w:cs="Times New Roman"/>
          <w:sz w:val="24"/>
          <w:szCs w:val="24"/>
        </w:rPr>
        <w:t xml:space="preserve"> suminio inovatyvumo indekso sudedamosioms dalims</w:t>
      </w:r>
      <w:r w:rsidR="00590792" w:rsidRPr="00EC1AB2">
        <w:rPr>
          <w:rFonts w:ascii="Times New Roman" w:hAnsi="Times New Roman" w:cs="Times New Roman"/>
          <w:sz w:val="24"/>
          <w:szCs w:val="24"/>
        </w:rPr>
        <w:t>; remia</w:t>
      </w:r>
      <w:r w:rsidR="00C47A02" w:rsidRPr="00EC1AB2">
        <w:rPr>
          <w:rFonts w:ascii="Times New Roman" w:hAnsi="Times New Roman" w:cs="Times New Roman"/>
          <w:sz w:val="24"/>
          <w:szCs w:val="24"/>
        </w:rPr>
        <w:t>ntis atlikto ekspertinio tyrimo rezul</w:t>
      </w:r>
      <w:r w:rsidR="00590792" w:rsidRPr="00EC1AB2">
        <w:rPr>
          <w:rFonts w:ascii="Times New Roman" w:hAnsi="Times New Roman" w:cs="Times New Roman"/>
          <w:sz w:val="24"/>
          <w:szCs w:val="24"/>
        </w:rPr>
        <w:t xml:space="preserve">tatais bei kitais indikatoriais, </w:t>
      </w:r>
      <w:r w:rsidR="00C47A02" w:rsidRPr="00EC1AB2">
        <w:rPr>
          <w:rFonts w:ascii="Times New Roman" w:hAnsi="Times New Roman" w:cs="Times New Roman"/>
          <w:sz w:val="24"/>
          <w:szCs w:val="24"/>
        </w:rPr>
        <w:t>vertinančiai</w:t>
      </w:r>
      <w:r w:rsidR="00590792" w:rsidRPr="00EC1AB2">
        <w:rPr>
          <w:rFonts w:ascii="Times New Roman" w:hAnsi="Times New Roman" w:cs="Times New Roman"/>
          <w:sz w:val="24"/>
          <w:szCs w:val="24"/>
        </w:rPr>
        <w:t>s Lietuvos patrauklumą RKF inve</w:t>
      </w:r>
      <w:r w:rsidR="00C47A02" w:rsidRPr="00EC1AB2">
        <w:rPr>
          <w:rFonts w:ascii="Times New Roman" w:hAnsi="Times New Roman" w:cs="Times New Roman"/>
          <w:sz w:val="24"/>
          <w:szCs w:val="24"/>
        </w:rPr>
        <w:t>s</w:t>
      </w:r>
      <w:r w:rsidR="00590792" w:rsidRPr="00EC1AB2">
        <w:rPr>
          <w:rFonts w:ascii="Times New Roman" w:hAnsi="Times New Roman" w:cs="Times New Roman"/>
          <w:sz w:val="24"/>
          <w:szCs w:val="24"/>
        </w:rPr>
        <w:t>t</w:t>
      </w:r>
      <w:r w:rsidR="00C47A02" w:rsidRPr="00EC1AB2">
        <w:rPr>
          <w:rFonts w:ascii="Times New Roman" w:hAnsi="Times New Roman" w:cs="Times New Roman"/>
          <w:sz w:val="24"/>
          <w:szCs w:val="24"/>
        </w:rPr>
        <w:t>icijoms</w:t>
      </w:r>
      <w:r w:rsidR="00590792" w:rsidRPr="00EC1AB2">
        <w:rPr>
          <w:rFonts w:ascii="Times New Roman" w:hAnsi="Times New Roman" w:cs="Times New Roman"/>
          <w:sz w:val="24"/>
          <w:szCs w:val="24"/>
        </w:rPr>
        <w:t>,</w:t>
      </w:r>
      <w:r w:rsidR="002F6749" w:rsidRPr="00EC1AB2">
        <w:rPr>
          <w:rFonts w:ascii="Times New Roman" w:hAnsi="Times New Roman" w:cs="Times New Roman"/>
          <w:sz w:val="24"/>
          <w:szCs w:val="24"/>
        </w:rPr>
        <w:t xml:space="preserve"> identifikuotos</w:t>
      </w:r>
      <w:r w:rsidR="00C47A02" w:rsidRPr="00EC1AB2">
        <w:rPr>
          <w:rFonts w:ascii="Times New Roman" w:hAnsi="Times New Roman" w:cs="Times New Roman"/>
          <w:sz w:val="24"/>
          <w:szCs w:val="24"/>
        </w:rPr>
        <w:t xml:space="preserve"> pagrindinės problemos bei </w:t>
      </w:r>
      <w:r w:rsidR="00431DC0" w:rsidRPr="00EC1AB2">
        <w:rPr>
          <w:rFonts w:ascii="Times New Roman" w:hAnsi="Times New Roman" w:cs="Times New Roman"/>
          <w:sz w:val="24"/>
          <w:szCs w:val="24"/>
        </w:rPr>
        <w:t>pateikiamos jų šalinimo gairės.</w:t>
      </w:r>
      <w:r w:rsidR="002F6749" w:rsidRPr="00EC1AB2">
        <w:rPr>
          <w:rFonts w:ascii="Times New Roman" w:hAnsi="Times New Roman" w:cs="Times New Roman"/>
          <w:sz w:val="24"/>
          <w:szCs w:val="24"/>
        </w:rPr>
        <w:t xml:space="preserve"> </w:t>
      </w:r>
    </w:p>
    <w:p w:rsidR="00B53200" w:rsidRPr="00EC1AB2" w:rsidRDefault="00B53200" w:rsidP="007A02A8">
      <w:pPr>
        <w:pStyle w:val="Heading1"/>
        <w:numPr>
          <w:ilvl w:val="0"/>
          <w:numId w:val="22"/>
        </w:numPr>
        <w:spacing w:before="0" w:after="0" w:line="360" w:lineRule="auto"/>
        <w:rPr>
          <w:sz w:val="28"/>
          <w:szCs w:val="28"/>
        </w:rPr>
      </w:pPr>
      <w:bookmarkStart w:id="22" w:name="_Toc320566991"/>
      <w:bookmarkStart w:id="23" w:name="_Toc320567031"/>
      <w:bookmarkStart w:id="24" w:name="_Toc320567177"/>
      <w:bookmarkStart w:id="25" w:name="_Toc320761761"/>
      <w:bookmarkStart w:id="26" w:name="_Toc320761903"/>
      <w:bookmarkStart w:id="27" w:name="_Toc320762138"/>
      <w:bookmarkStart w:id="28" w:name="_Toc320762540"/>
      <w:r w:rsidRPr="00EC1AB2">
        <w:rPr>
          <w:sz w:val="28"/>
          <w:szCs w:val="28"/>
        </w:rPr>
        <w:br w:type="page"/>
      </w:r>
    </w:p>
    <w:p w:rsidR="007915D7" w:rsidRPr="00EC1AB2" w:rsidRDefault="000D2AC2" w:rsidP="000D2AC2">
      <w:pPr>
        <w:pStyle w:val="Heading1"/>
        <w:spacing w:before="0" w:after="0" w:line="360" w:lineRule="auto"/>
        <w:ind w:left="360"/>
        <w:rPr>
          <w:sz w:val="28"/>
          <w:szCs w:val="28"/>
        </w:rPr>
      </w:pPr>
      <w:bookmarkStart w:id="29" w:name="_Toc321092694"/>
      <w:r w:rsidRPr="00EC1AB2">
        <w:rPr>
          <w:sz w:val="28"/>
          <w:szCs w:val="28"/>
        </w:rPr>
        <w:lastRenderedPageBreak/>
        <w:t xml:space="preserve">1. </w:t>
      </w:r>
      <w:r w:rsidR="001F798C" w:rsidRPr="00EC1AB2">
        <w:rPr>
          <w:sz w:val="28"/>
          <w:szCs w:val="28"/>
        </w:rPr>
        <w:t>RIZIKOS KAPITALO FONDŲ</w:t>
      </w:r>
      <w:r w:rsidR="007915D7" w:rsidRPr="00EC1AB2">
        <w:rPr>
          <w:sz w:val="28"/>
          <w:szCs w:val="28"/>
        </w:rPr>
        <w:t xml:space="preserve"> TEORINIAI ASPEKTAI</w:t>
      </w:r>
      <w:bookmarkEnd w:id="22"/>
      <w:bookmarkEnd w:id="23"/>
      <w:bookmarkEnd w:id="24"/>
      <w:bookmarkEnd w:id="25"/>
      <w:bookmarkEnd w:id="26"/>
      <w:bookmarkEnd w:id="27"/>
      <w:bookmarkEnd w:id="28"/>
      <w:bookmarkEnd w:id="29"/>
    </w:p>
    <w:p w:rsidR="007915D7" w:rsidRPr="00EC1AB2" w:rsidRDefault="007915D7" w:rsidP="007A02A8">
      <w:pPr>
        <w:pStyle w:val="Heading1"/>
        <w:spacing w:before="0" w:after="0" w:line="360" w:lineRule="auto"/>
        <w:rPr>
          <w:sz w:val="28"/>
          <w:szCs w:val="28"/>
        </w:rPr>
      </w:pPr>
    </w:p>
    <w:p w:rsidR="007915D7" w:rsidRPr="00EC1AB2" w:rsidRDefault="007915D7"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Šiame skyriuje bus nagrinėjamos įvairios literatūroje s</w:t>
      </w:r>
      <w:r w:rsidR="00E55AF9" w:rsidRPr="00EC1AB2">
        <w:rPr>
          <w:rFonts w:ascii="Times New Roman" w:hAnsi="Times New Roman" w:cs="Times New Roman"/>
          <w:sz w:val="24"/>
          <w:szCs w:val="24"/>
        </w:rPr>
        <w:t>utinkamos RKF</w:t>
      </w:r>
      <w:r w:rsidRPr="00EC1AB2">
        <w:rPr>
          <w:rFonts w:ascii="Times New Roman" w:hAnsi="Times New Roman" w:cs="Times New Roman"/>
          <w:sz w:val="24"/>
          <w:szCs w:val="24"/>
        </w:rPr>
        <w:t xml:space="preserve"> koncepcijos, analizuojami pagrindiniai veiklos bruožai bei aptariamas teisinis regla</w:t>
      </w:r>
      <w:r w:rsidR="00E55AF9" w:rsidRPr="00EC1AB2">
        <w:rPr>
          <w:rFonts w:ascii="Times New Roman" w:hAnsi="Times New Roman" w:cs="Times New Roman"/>
          <w:sz w:val="24"/>
          <w:szCs w:val="24"/>
        </w:rPr>
        <w:t>mentavimas tiek ES</w:t>
      </w:r>
      <w:r w:rsidRPr="00EC1AB2">
        <w:rPr>
          <w:rFonts w:ascii="Times New Roman" w:hAnsi="Times New Roman" w:cs="Times New Roman"/>
          <w:sz w:val="24"/>
          <w:szCs w:val="24"/>
        </w:rPr>
        <w:t>, tiek nacionaliniu lygiu, na</w:t>
      </w:r>
      <w:r w:rsidR="00E55AF9" w:rsidRPr="00EC1AB2">
        <w:rPr>
          <w:rFonts w:ascii="Times New Roman" w:hAnsi="Times New Roman" w:cs="Times New Roman"/>
          <w:sz w:val="24"/>
          <w:szCs w:val="24"/>
        </w:rPr>
        <w:t>grinėjama RKF</w:t>
      </w:r>
      <w:r w:rsidRPr="00EC1AB2">
        <w:rPr>
          <w:rFonts w:ascii="Times New Roman" w:hAnsi="Times New Roman" w:cs="Times New Roman"/>
          <w:sz w:val="24"/>
          <w:szCs w:val="24"/>
        </w:rPr>
        <w:t xml:space="preserve"> įtaka šalies ekonomikai bei, remiantis įvairių autorių nuomone, išskiriamos sąlygos</w:t>
      </w:r>
      <w:r w:rsidR="00E55AF9" w:rsidRPr="00EC1AB2">
        <w:rPr>
          <w:rFonts w:ascii="Times New Roman" w:hAnsi="Times New Roman" w:cs="Times New Roman"/>
          <w:sz w:val="24"/>
          <w:szCs w:val="24"/>
        </w:rPr>
        <w:t>, būtinos RKF</w:t>
      </w:r>
      <w:r w:rsidRPr="00EC1AB2">
        <w:rPr>
          <w:rFonts w:ascii="Times New Roman" w:hAnsi="Times New Roman" w:cs="Times New Roman"/>
          <w:sz w:val="24"/>
          <w:szCs w:val="24"/>
        </w:rPr>
        <w:t xml:space="preserve"> vystymuisi.</w:t>
      </w:r>
    </w:p>
    <w:p w:rsidR="007915D7" w:rsidRPr="00EC1AB2" w:rsidRDefault="007915D7" w:rsidP="007A02A8">
      <w:pPr>
        <w:spacing w:after="0" w:line="360" w:lineRule="auto"/>
        <w:rPr>
          <w:rFonts w:ascii="Times New Roman" w:hAnsi="Times New Roman" w:cs="Times New Roman"/>
          <w:b/>
          <w:sz w:val="24"/>
          <w:szCs w:val="24"/>
        </w:rPr>
      </w:pPr>
    </w:p>
    <w:p w:rsidR="007915D7" w:rsidRPr="00EC1AB2" w:rsidRDefault="001F798C" w:rsidP="007A02A8">
      <w:pPr>
        <w:pStyle w:val="Heading2"/>
        <w:numPr>
          <w:ilvl w:val="1"/>
          <w:numId w:val="22"/>
        </w:numPr>
        <w:tabs>
          <w:tab w:val="left" w:pos="2835"/>
        </w:tabs>
        <w:spacing w:before="0" w:after="0" w:line="360" w:lineRule="auto"/>
        <w:jc w:val="both"/>
        <w:rPr>
          <w:i w:val="0"/>
          <w:sz w:val="24"/>
          <w:szCs w:val="24"/>
        </w:rPr>
      </w:pPr>
      <w:bookmarkStart w:id="30" w:name="_Toc320566992"/>
      <w:bookmarkStart w:id="31" w:name="_Toc320567032"/>
      <w:bookmarkStart w:id="32" w:name="_Toc320567178"/>
      <w:bookmarkStart w:id="33" w:name="_Toc320761762"/>
      <w:bookmarkStart w:id="34" w:name="_Toc320761904"/>
      <w:bookmarkStart w:id="35" w:name="_Toc320762139"/>
      <w:bookmarkStart w:id="36" w:name="_Toc320762541"/>
      <w:bookmarkStart w:id="37" w:name="_Toc321092695"/>
      <w:r w:rsidRPr="00EC1AB2">
        <w:rPr>
          <w:i w:val="0"/>
          <w:sz w:val="24"/>
          <w:szCs w:val="24"/>
        </w:rPr>
        <w:t>Rizikos kapitalo fondų</w:t>
      </w:r>
      <w:r w:rsidR="007915D7" w:rsidRPr="00EC1AB2">
        <w:rPr>
          <w:i w:val="0"/>
          <w:sz w:val="24"/>
          <w:szCs w:val="24"/>
        </w:rPr>
        <w:t xml:space="preserve"> </w:t>
      </w:r>
      <w:bookmarkEnd w:id="30"/>
      <w:bookmarkEnd w:id="31"/>
      <w:bookmarkEnd w:id="32"/>
      <w:bookmarkEnd w:id="33"/>
      <w:bookmarkEnd w:id="34"/>
      <w:bookmarkEnd w:id="35"/>
      <w:bookmarkEnd w:id="36"/>
      <w:r w:rsidR="00C90C4F" w:rsidRPr="00EC1AB2">
        <w:rPr>
          <w:i w:val="0"/>
          <w:sz w:val="24"/>
          <w:szCs w:val="24"/>
        </w:rPr>
        <w:t>koncepcija</w:t>
      </w:r>
      <w:bookmarkEnd w:id="37"/>
    </w:p>
    <w:p w:rsidR="007915D7" w:rsidRPr="00EC1AB2" w:rsidRDefault="007915D7" w:rsidP="007A02A8">
      <w:pPr>
        <w:spacing w:after="0" w:line="360" w:lineRule="auto"/>
        <w:ind w:left="1080"/>
        <w:rPr>
          <w:rFonts w:ascii="Times New Roman" w:hAnsi="Times New Roman" w:cs="Times New Roman"/>
          <w:b/>
          <w:sz w:val="24"/>
          <w:szCs w:val="24"/>
        </w:rPr>
      </w:pPr>
    </w:p>
    <w:p w:rsidR="0002135C" w:rsidRPr="00EC1AB2" w:rsidRDefault="00E55AF9"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RKF</w:t>
      </w:r>
      <w:r w:rsidR="007915D7" w:rsidRPr="00EC1AB2">
        <w:rPr>
          <w:rFonts w:ascii="Times New Roman" w:hAnsi="Times New Roman" w:cs="Times New Roman"/>
          <w:sz w:val="24"/>
          <w:szCs w:val="24"/>
        </w:rPr>
        <w:t xml:space="preserve"> ( angl. venture ca</w:t>
      </w:r>
      <w:r w:rsidRPr="00EC1AB2">
        <w:rPr>
          <w:rFonts w:ascii="Times New Roman" w:hAnsi="Times New Roman" w:cs="Times New Roman"/>
          <w:sz w:val="24"/>
          <w:szCs w:val="24"/>
        </w:rPr>
        <w:t>pital funds)  atsirado JAV Didžiosios depresijos laikais</w:t>
      </w:r>
      <w:r w:rsidR="007915D7" w:rsidRPr="00EC1AB2">
        <w:rPr>
          <w:rFonts w:ascii="Times New Roman" w:hAnsi="Times New Roman" w:cs="Times New Roman"/>
          <w:sz w:val="24"/>
          <w:szCs w:val="24"/>
        </w:rPr>
        <w:t xml:space="preserve">. Praėjus keliems dešimtmečiams rizikos kapitalo investicijos pasiekė Didžiąją Britaniją ir Airiją, o kontinentinėje Europoje šie alternatyvaus investavimo fondai pradėjo vystytis tik 1980 metais (Pukthuanthong, Walker, 2007). </w:t>
      </w:r>
    </w:p>
    <w:p w:rsidR="007915D7" w:rsidRPr="00EC1AB2" w:rsidRDefault="007915D7"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Literatūroje galima sutikti įvairių rizikos kapitalo fondų koncepcijų. Kai kurie autoriai kalbėdami apie alternatyvaus investavimo fondu</w:t>
      </w:r>
      <w:r w:rsidR="006825C3" w:rsidRPr="00EC1AB2">
        <w:rPr>
          <w:rFonts w:ascii="Times New Roman" w:hAnsi="Times New Roman" w:cs="Times New Roman"/>
          <w:sz w:val="24"/>
          <w:szCs w:val="24"/>
        </w:rPr>
        <w:t>s, RKF</w:t>
      </w:r>
      <w:r w:rsidRPr="00EC1AB2">
        <w:rPr>
          <w:rFonts w:ascii="Times New Roman" w:hAnsi="Times New Roman" w:cs="Times New Roman"/>
          <w:sz w:val="24"/>
          <w:szCs w:val="24"/>
        </w:rPr>
        <w:t xml:space="preserve"> tapatina su privataus kapitalo fondais. Vieni iš jų, Bance (2004) bei Hsu, Kinney (2004). Kaip minėta, šie auto</w:t>
      </w:r>
      <w:r w:rsidR="006825C3" w:rsidRPr="00EC1AB2">
        <w:rPr>
          <w:rFonts w:ascii="Times New Roman" w:hAnsi="Times New Roman" w:cs="Times New Roman"/>
          <w:sz w:val="24"/>
          <w:szCs w:val="24"/>
        </w:rPr>
        <w:t>riai nepabrėžia RKF</w:t>
      </w:r>
      <w:r w:rsidRPr="00EC1AB2">
        <w:rPr>
          <w:rFonts w:ascii="Times New Roman" w:hAnsi="Times New Roman" w:cs="Times New Roman"/>
          <w:sz w:val="24"/>
          <w:szCs w:val="24"/>
        </w:rPr>
        <w:t xml:space="preserve"> bei privataus kapitalo fondų skirtumų, priešingai, apibūdina juos remdamiesi šių fondų panašumais: investavimu į nelistinguojamų įmonių akcijas, investavimu į įmonės plėtrą bei siekį gauti didelį pelną iš fondo portfelio įmonių pardavimo.</w:t>
      </w:r>
    </w:p>
    <w:p w:rsidR="007915D7" w:rsidRPr="00EC1AB2" w:rsidRDefault="007915D7" w:rsidP="00A1234D">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Pransky (2008) teigia, kad privatus, kitaip rizikos, kapitalas investuojamas į įmones, kurių numanoma plėtra per penkerius ar septynerius metus gali duoti didelę investicijų grąžą. Taigi, kaip matyti Pransky galima priskirti prie autorių grupės, kurie rizikos kapitalo nenurodo, kaip atskiros privataus kapitalo rūšies. </w:t>
      </w:r>
      <w:r w:rsidR="00A1234D" w:rsidRPr="00EC1AB2">
        <w:rPr>
          <w:rFonts w:ascii="Times New Roman" w:hAnsi="Times New Roman" w:cs="Times New Roman"/>
          <w:sz w:val="24"/>
          <w:szCs w:val="24"/>
        </w:rPr>
        <w:t xml:space="preserve"> </w:t>
      </w:r>
      <w:r w:rsidRPr="00EC1AB2">
        <w:rPr>
          <w:rFonts w:ascii="Times New Roman" w:hAnsi="Times New Roman" w:cs="Times New Roman"/>
          <w:sz w:val="24"/>
          <w:szCs w:val="24"/>
        </w:rPr>
        <w:t xml:space="preserve">Sebroeck (2000) rizikos kapitalą taip pat naudoja kaip privataus kapitalo sinonimą, teigdamas, kad rizikos kapitalas investuojamas visose įmonės gyvavimo stadijose. </w:t>
      </w:r>
    </w:p>
    <w:p w:rsidR="007915D7" w:rsidRPr="00EC1AB2" w:rsidRDefault="007915D7"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Anot Hogan, Hartson (2001), galima pastebėti, jog dažniausiai Europoje rizikos kapitalo ir privataus kapitalo fondai naudojami kaip sinonimai, apibūdinant juos kaip alternatyvaus investavimo fondus, kurie lėšas investuoja į pradinį įmonės kapitalą, verslo vystymą ankstyvoje įmonės gyvavimo stadijoje arba verslo plėtrą, naudodami MBO (angl. management buyout) – valdymo teisę suteikiančios kapitalo dalies išpirkimą, kitaip sakant, įmonės steigėjų/vadovų refinansavimą, ir MBI (angl. management buyin) – naujų įmonės vadovų, kurie anksčiau nebuvo susiję su įmone finansavimą, t.y. valdymo perėmimą. </w:t>
      </w:r>
    </w:p>
    <w:p w:rsidR="006825C3" w:rsidRPr="00EC1AB2" w:rsidRDefault="007915D7"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Terminologijos skirtumai atskiruose žemynuose išnagrinėti Europos privataus ir rizikos kapitalo asociacijos sudarytos Alternatyvių investicijų ekspertų grupės atliktame tyrime 2006 m. Kaip teigiama ataskaitoje </w:t>
      </w:r>
      <w:r w:rsidRPr="00EC1AB2">
        <w:rPr>
          <w:rFonts w:ascii="Times New Roman" w:hAnsi="Times New Roman" w:cs="Times New Roman"/>
          <w:i/>
          <w:sz w:val="24"/>
          <w:szCs w:val="24"/>
        </w:rPr>
        <w:t>Developing European private equity</w:t>
      </w:r>
      <w:r w:rsidRPr="00EC1AB2">
        <w:rPr>
          <w:rFonts w:ascii="Times New Roman" w:hAnsi="Times New Roman" w:cs="Times New Roman"/>
          <w:sz w:val="24"/>
          <w:szCs w:val="24"/>
        </w:rPr>
        <w:t>, Europoje rizikos kapitalas priskiriamas privataus kapitalo grupei, o JAV jis apibūdinamas kaip atskira kapitalo rūšis (žr. 1 lent.).</w:t>
      </w:r>
    </w:p>
    <w:p w:rsidR="007915D7" w:rsidRPr="00EC1AB2" w:rsidRDefault="007915D7" w:rsidP="007A02A8">
      <w:pPr>
        <w:pStyle w:val="Heading4"/>
        <w:spacing w:before="0" w:line="360" w:lineRule="auto"/>
        <w:jc w:val="center"/>
        <w:rPr>
          <w:rFonts w:ascii="Times New Roman" w:hAnsi="Times New Roman" w:cs="Times New Roman"/>
          <w:b w:val="0"/>
          <w:i w:val="0"/>
          <w:color w:val="auto"/>
          <w:sz w:val="24"/>
          <w:szCs w:val="24"/>
        </w:rPr>
      </w:pPr>
      <w:bookmarkStart w:id="38" w:name="_Toc320567179"/>
      <w:bookmarkStart w:id="39" w:name="_Toc320759765"/>
      <w:bookmarkStart w:id="40" w:name="_Toc320761905"/>
      <w:bookmarkStart w:id="41" w:name="_Toc320762140"/>
      <w:bookmarkStart w:id="42" w:name="_Toc320762542"/>
      <w:r w:rsidRPr="00EC1AB2">
        <w:rPr>
          <w:rFonts w:ascii="Times New Roman" w:hAnsi="Times New Roman" w:cs="Times New Roman"/>
          <w:b w:val="0"/>
          <w:i w:val="0"/>
          <w:color w:val="auto"/>
          <w:sz w:val="24"/>
          <w:szCs w:val="24"/>
        </w:rPr>
        <w:lastRenderedPageBreak/>
        <w:t xml:space="preserve">1 lentelė. </w:t>
      </w:r>
      <w:r w:rsidR="001F798C" w:rsidRPr="00EC1AB2">
        <w:rPr>
          <w:rFonts w:ascii="Times New Roman" w:hAnsi="Times New Roman" w:cs="Times New Roman"/>
          <w:i w:val="0"/>
          <w:color w:val="auto"/>
          <w:sz w:val="24"/>
          <w:szCs w:val="24"/>
        </w:rPr>
        <w:t>Rizikos kapitalo t</w:t>
      </w:r>
      <w:r w:rsidRPr="00EC1AB2">
        <w:rPr>
          <w:rFonts w:ascii="Times New Roman" w:hAnsi="Times New Roman" w:cs="Times New Roman"/>
          <w:i w:val="0"/>
          <w:color w:val="auto"/>
          <w:sz w:val="24"/>
          <w:szCs w:val="24"/>
        </w:rPr>
        <w:t>erminologijos skirtumai Europoje bei JAV</w:t>
      </w:r>
      <w:bookmarkEnd w:id="38"/>
      <w:bookmarkEnd w:id="39"/>
      <w:bookmarkEnd w:id="40"/>
      <w:bookmarkEnd w:id="41"/>
      <w:bookmarkEnd w:id="42"/>
    </w:p>
    <w:p w:rsidR="007915D7" w:rsidRPr="00EC1AB2" w:rsidRDefault="007915D7" w:rsidP="007A02A8">
      <w:pPr>
        <w:pStyle w:val="Heading4"/>
        <w:spacing w:before="0" w:line="360" w:lineRule="auto"/>
        <w:jc w:val="center"/>
        <w:rPr>
          <w:rFonts w:ascii="Times New Roman" w:hAnsi="Times New Roman" w:cs="Times New Roman"/>
          <w:b w:val="0"/>
          <w:i w:val="0"/>
          <w:sz w:val="24"/>
          <w:szCs w:val="24"/>
        </w:rPr>
      </w:pPr>
    </w:p>
    <w:tbl>
      <w:tblPr>
        <w:tblW w:w="8649" w:type="dxa"/>
        <w:jc w:val="center"/>
        <w:tblInd w:w="252" w:type="dxa"/>
        <w:tblBorders>
          <w:top w:val="single" w:sz="12" w:space="0" w:color="215868"/>
          <w:left w:val="single" w:sz="12" w:space="0" w:color="215868"/>
          <w:bottom w:val="single" w:sz="12" w:space="0" w:color="215868"/>
          <w:right w:val="single" w:sz="12" w:space="0" w:color="215868"/>
          <w:insideH w:val="single" w:sz="8" w:space="0" w:color="215868"/>
          <w:insideV w:val="single" w:sz="8" w:space="0" w:color="215868"/>
        </w:tblBorders>
        <w:tblLook w:val="04A0" w:firstRow="1" w:lastRow="0" w:firstColumn="1" w:lastColumn="0" w:noHBand="0" w:noVBand="1"/>
      </w:tblPr>
      <w:tblGrid>
        <w:gridCol w:w="1308"/>
        <w:gridCol w:w="2693"/>
        <w:gridCol w:w="2126"/>
        <w:gridCol w:w="2522"/>
      </w:tblGrid>
      <w:tr w:rsidR="00F25E1F" w:rsidRPr="00EC1AB2" w:rsidTr="007F68B0">
        <w:trPr>
          <w:jc w:val="center"/>
        </w:trPr>
        <w:tc>
          <w:tcPr>
            <w:tcW w:w="1308" w:type="dxa"/>
            <w:shd w:val="clear" w:color="auto" w:fill="FFFFFF"/>
          </w:tcPr>
          <w:p w:rsidR="007915D7" w:rsidRPr="00EC1AB2" w:rsidRDefault="007915D7" w:rsidP="007A02A8">
            <w:pPr>
              <w:tabs>
                <w:tab w:val="center" w:pos="4844"/>
                <w:tab w:val="right" w:pos="9689"/>
              </w:tabs>
              <w:spacing w:after="0" w:line="360" w:lineRule="auto"/>
              <w:rPr>
                <w:rFonts w:ascii="Times New Roman" w:hAnsi="Times New Roman" w:cs="Times New Roman"/>
                <w:b/>
                <w:bCs/>
                <w:sz w:val="24"/>
                <w:szCs w:val="24"/>
              </w:rPr>
            </w:pPr>
          </w:p>
        </w:tc>
        <w:tc>
          <w:tcPr>
            <w:tcW w:w="7341" w:type="dxa"/>
            <w:gridSpan w:val="3"/>
            <w:shd w:val="clear" w:color="auto" w:fill="D9D9D9" w:themeFill="background1" w:themeFillShade="D9"/>
            <w:vAlign w:val="center"/>
          </w:tcPr>
          <w:p w:rsidR="007915D7" w:rsidRPr="00EC1AB2" w:rsidRDefault="007915D7" w:rsidP="007A02A8">
            <w:pPr>
              <w:spacing w:after="0" w:line="360" w:lineRule="auto"/>
              <w:jc w:val="center"/>
              <w:rPr>
                <w:rFonts w:ascii="Times New Roman" w:hAnsi="Times New Roman" w:cs="Times New Roman"/>
                <w:b/>
                <w:bCs/>
                <w:sz w:val="24"/>
                <w:szCs w:val="24"/>
              </w:rPr>
            </w:pPr>
            <w:r w:rsidRPr="00EC1AB2">
              <w:rPr>
                <w:rFonts w:ascii="Times New Roman" w:hAnsi="Times New Roman" w:cs="Times New Roman"/>
                <w:b/>
                <w:bCs/>
                <w:sz w:val="24"/>
                <w:szCs w:val="24"/>
              </w:rPr>
              <w:t>Privataus kapitalo rinka</w:t>
            </w:r>
          </w:p>
        </w:tc>
      </w:tr>
      <w:tr w:rsidR="00F25E1F" w:rsidRPr="00EC1AB2" w:rsidTr="00F3420B">
        <w:trPr>
          <w:trHeight w:val="601"/>
          <w:jc w:val="center"/>
        </w:trPr>
        <w:tc>
          <w:tcPr>
            <w:tcW w:w="1308" w:type="dxa"/>
            <w:shd w:val="clear" w:color="auto" w:fill="FFFFFF"/>
            <w:vAlign w:val="center"/>
          </w:tcPr>
          <w:p w:rsidR="007915D7" w:rsidRPr="00EC1AB2" w:rsidRDefault="007915D7" w:rsidP="007A02A8">
            <w:pPr>
              <w:tabs>
                <w:tab w:val="center" w:pos="4844"/>
                <w:tab w:val="right" w:pos="9689"/>
              </w:tabs>
              <w:spacing w:after="0" w:line="360" w:lineRule="auto"/>
              <w:jc w:val="center"/>
              <w:rPr>
                <w:rFonts w:ascii="Times New Roman" w:hAnsi="Times New Roman" w:cs="Times New Roman"/>
                <w:b/>
                <w:bCs/>
                <w:sz w:val="24"/>
                <w:szCs w:val="24"/>
              </w:rPr>
            </w:pPr>
            <w:r w:rsidRPr="00EC1AB2">
              <w:rPr>
                <w:rFonts w:ascii="Times New Roman" w:hAnsi="Times New Roman" w:cs="Times New Roman"/>
                <w:b/>
                <w:bCs/>
                <w:sz w:val="24"/>
                <w:szCs w:val="24"/>
              </w:rPr>
              <w:t>Europa</w:t>
            </w:r>
          </w:p>
        </w:tc>
        <w:tc>
          <w:tcPr>
            <w:tcW w:w="2693" w:type="dxa"/>
            <w:shd w:val="clear" w:color="auto" w:fill="FFFFFF"/>
            <w:vAlign w:val="center"/>
          </w:tcPr>
          <w:p w:rsidR="007915D7" w:rsidRPr="00EC1AB2" w:rsidRDefault="007915D7" w:rsidP="007A02A8">
            <w:pPr>
              <w:tabs>
                <w:tab w:val="center" w:pos="4844"/>
                <w:tab w:val="right" w:pos="9689"/>
              </w:tabs>
              <w:spacing w:after="0" w:line="360" w:lineRule="auto"/>
              <w:jc w:val="center"/>
              <w:rPr>
                <w:rFonts w:ascii="Times New Roman" w:hAnsi="Times New Roman" w:cs="Times New Roman"/>
                <w:i/>
                <w:sz w:val="24"/>
                <w:szCs w:val="24"/>
              </w:rPr>
            </w:pPr>
            <w:r w:rsidRPr="00EC1AB2">
              <w:rPr>
                <w:rFonts w:ascii="Times New Roman" w:hAnsi="Times New Roman" w:cs="Times New Roman"/>
                <w:i/>
                <w:sz w:val="24"/>
                <w:szCs w:val="24"/>
              </w:rPr>
              <w:t>Rizikos kapitalas</w:t>
            </w:r>
          </w:p>
        </w:tc>
        <w:tc>
          <w:tcPr>
            <w:tcW w:w="2126" w:type="dxa"/>
            <w:shd w:val="clear" w:color="auto" w:fill="FFFFFF"/>
            <w:vAlign w:val="center"/>
          </w:tcPr>
          <w:p w:rsidR="007915D7" w:rsidRPr="00EC1AB2" w:rsidRDefault="007915D7" w:rsidP="007A02A8">
            <w:pPr>
              <w:tabs>
                <w:tab w:val="center" w:pos="4844"/>
                <w:tab w:val="right" w:pos="9689"/>
              </w:tabs>
              <w:spacing w:after="0" w:line="360" w:lineRule="auto"/>
              <w:jc w:val="center"/>
              <w:rPr>
                <w:rFonts w:ascii="Times New Roman" w:hAnsi="Times New Roman" w:cs="Times New Roman"/>
                <w:i/>
                <w:sz w:val="24"/>
                <w:szCs w:val="24"/>
              </w:rPr>
            </w:pPr>
            <w:r w:rsidRPr="00EC1AB2">
              <w:rPr>
                <w:rFonts w:ascii="Times New Roman" w:hAnsi="Times New Roman" w:cs="Times New Roman"/>
                <w:i/>
                <w:sz w:val="24"/>
                <w:szCs w:val="24"/>
              </w:rPr>
              <w:t>Plėtros kapitalas</w:t>
            </w:r>
          </w:p>
        </w:tc>
        <w:tc>
          <w:tcPr>
            <w:tcW w:w="2522" w:type="dxa"/>
            <w:shd w:val="clear" w:color="auto" w:fill="FFFFFF"/>
            <w:vAlign w:val="center"/>
          </w:tcPr>
          <w:p w:rsidR="007915D7" w:rsidRPr="00EC1AB2" w:rsidRDefault="007915D7" w:rsidP="007A02A8">
            <w:pPr>
              <w:tabs>
                <w:tab w:val="center" w:pos="4844"/>
                <w:tab w:val="right" w:pos="9689"/>
              </w:tabs>
              <w:spacing w:after="0" w:line="360" w:lineRule="auto"/>
              <w:jc w:val="center"/>
              <w:rPr>
                <w:rFonts w:ascii="Times New Roman" w:hAnsi="Times New Roman" w:cs="Times New Roman"/>
                <w:i/>
                <w:sz w:val="24"/>
                <w:szCs w:val="24"/>
              </w:rPr>
            </w:pPr>
            <w:r w:rsidRPr="00EC1AB2">
              <w:rPr>
                <w:rFonts w:ascii="Times New Roman" w:hAnsi="Times New Roman" w:cs="Times New Roman"/>
                <w:i/>
                <w:sz w:val="24"/>
                <w:szCs w:val="24"/>
              </w:rPr>
              <w:t>Išpirkimai</w:t>
            </w:r>
          </w:p>
        </w:tc>
      </w:tr>
      <w:tr w:rsidR="00F25E1F" w:rsidRPr="00EC1AB2" w:rsidTr="00F3420B">
        <w:trPr>
          <w:trHeight w:val="411"/>
          <w:jc w:val="center"/>
        </w:trPr>
        <w:tc>
          <w:tcPr>
            <w:tcW w:w="1308" w:type="dxa"/>
            <w:shd w:val="clear" w:color="auto" w:fill="FFFFFF"/>
            <w:vAlign w:val="center"/>
          </w:tcPr>
          <w:p w:rsidR="007915D7" w:rsidRPr="00EC1AB2" w:rsidRDefault="007915D7" w:rsidP="007A02A8">
            <w:pPr>
              <w:tabs>
                <w:tab w:val="center" w:pos="4844"/>
                <w:tab w:val="right" w:pos="9689"/>
              </w:tabs>
              <w:spacing w:after="0" w:line="360" w:lineRule="auto"/>
              <w:jc w:val="center"/>
              <w:rPr>
                <w:rFonts w:ascii="Times New Roman" w:hAnsi="Times New Roman" w:cs="Times New Roman"/>
                <w:b/>
                <w:bCs/>
                <w:sz w:val="24"/>
                <w:szCs w:val="24"/>
              </w:rPr>
            </w:pPr>
            <w:r w:rsidRPr="00EC1AB2">
              <w:rPr>
                <w:rFonts w:ascii="Times New Roman" w:hAnsi="Times New Roman" w:cs="Times New Roman"/>
                <w:b/>
                <w:bCs/>
                <w:sz w:val="24"/>
                <w:szCs w:val="24"/>
              </w:rPr>
              <w:t>JAV</w:t>
            </w:r>
          </w:p>
        </w:tc>
        <w:tc>
          <w:tcPr>
            <w:tcW w:w="4819" w:type="dxa"/>
            <w:gridSpan w:val="2"/>
            <w:shd w:val="clear" w:color="auto" w:fill="FFFFFF"/>
            <w:vAlign w:val="center"/>
          </w:tcPr>
          <w:p w:rsidR="007915D7" w:rsidRPr="00EC1AB2" w:rsidRDefault="007915D7" w:rsidP="007A02A8">
            <w:pPr>
              <w:tabs>
                <w:tab w:val="center" w:pos="4844"/>
                <w:tab w:val="right" w:pos="9689"/>
              </w:tabs>
              <w:spacing w:after="0" w:line="360" w:lineRule="auto"/>
              <w:jc w:val="center"/>
              <w:rPr>
                <w:rFonts w:ascii="Times New Roman" w:hAnsi="Times New Roman" w:cs="Times New Roman"/>
                <w:i/>
                <w:sz w:val="24"/>
                <w:szCs w:val="24"/>
              </w:rPr>
            </w:pPr>
            <w:r w:rsidRPr="00EC1AB2">
              <w:rPr>
                <w:rFonts w:ascii="Times New Roman" w:hAnsi="Times New Roman" w:cs="Times New Roman"/>
                <w:i/>
                <w:sz w:val="24"/>
                <w:szCs w:val="24"/>
              </w:rPr>
              <w:t>Rizikos kapitalas</w:t>
            </w:r>
          </w:p>
        </w:tc>
        <w:tc>
          <w:tcPr>
            <w:tcW w:w="2522" w:type="dxa"/>
            <w:shd w:val="clear" w:color="auto" w:fill="FFFFFF"/>
          </w:tcPr>
          <w:p w:rsidR="007915D7" w:rsidRPr="00EC1AB2" w:rsidRDefault="007915D7" w:rsidP="007A02A8">
            <w:pPr>
              <w:spacing w:after="0" w:line="360" w:lineRule="auto"/>
              <w:rPr>
                <w:rFonts w:ascii="Times New Roman" w:hAnsi="Times New Roman" w:cs="Times New Roman"/>
                <w:b/>
                <w:i/>
                <w:sz w:val="24"/>
                <w:szCs w:val="24"/>
              </w:rPr>
            </w:pPr>
            <w:r w:rsidRPr="00EC1AB2">
              <w:rPr>
                <w:rFonts w:ascii="Times New Roman" w:hAnsi="Times New Roman" w:cs="Times New Roman"/>
                <w:i/>
                <w:sz w:val="24"/>
                <w:szCs w:val="24"/>
              </w:rPr>
              <w:t>Privatus kapitalas</w:t>
            </w:r>
          </w:p>
        </w:tc>
      </w:tr>
    </w:tbl>
    <w:p w:rsidR="007915D7" w:rsidRPr="00EC1AB2" w:rsidRDefault="007915D7" w:rsidP="007A02A8">
      <w:pPr>
        <w:spacing w:after="0" w:line="360" w:lineRule="auto"/>
        <w:jc w:val="both"/>
        <w:rPr>
          <w:rFonts w:ascii="Times New Roman" w:hAnsi="Times New Roman" w:cs="Times New Roman"/>
          <w:sz w:val="24"/>
          <w:szCs w:val="24"/>
        </w:rPr>
      </w:pPr>
    </w:p>
    <w:p w:rsidR="007915D7" w:rsidRPr="00EC1AB2" w:rsidRDefault="007915D7" w:rsidP="007A02A8">
      <w:pPr>
        <w:spacing w:after="0" w:line="360" w:lineRule="auto"/>
        <w:ind w:left="720" w:firstLine="360"/>
        <w:jc w:val="both"/>
        <w:rPr>
          <w:rFonts w:ascii="Times New Roman" w:hAnsi="Times New Roman" w:cs="Times New Roman"/>
          <w:sz w:val="20"/>
          <w:szCs w:val="20"/>
        </w:rPr>
      </w:pPr>
      <w:r w:rsidRPr="00EC1AB2">
        <w:rPr>
          <w:rFonts w:ascii="Times New Roman" w:hAnsi="Times New Roman" w:cs="Times New Roman"/>
          <w:b/>
          <w:sz w:val="20"/>
          <w:szCs w:val="20"/>
        </w:rPr>
        <w:t xml:space="preserve">Šaltinis: </w:t>
      </w:r>
      <w:r w:rsidRPr="00EC1AB2">
        <w:rPr>
          <w:rFonts w:ascii="Times New Roman" w:hAnsi="Times New Roman" w:cs="Times New Roman"/>
          <w:sz w:val="20"/>
          <w:szCs w:val="20"/>
        </w:rPr>
        <w:t>Alternatyvių investicijų ekspertų grupė (2006)</w:t>
      </w:r>
    </w:p>
    <w:p w:rsidR="007915D7" w:rsidRPr="00EC1AB2" w:rsidRDefault="007915D7" w:rsidP="007A02A8">
      <w:pPr>
        <w:spacing w:after="0" w:line="360" w:lineRule="auto"/>
        <w:ind w:left="720" w:firstLine="360"/>
        <w:jc w:val="both"/>
        <w:rPr>
          <w:rFonts w:ascii="Times New Roman" w:hAnsi="Times New Roman" w:cs="Times New Roman"/>
          <w:sz w:val="20"/>
          <w:szCs w:val="20"/>
        </w:rPr>
      </w:pPr>
    </w:p>
    <w:p w:rsidR="007915D7" w:rsidRPr="00EC1AB2" w:rsidRDefault="007915D7"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Kaip matyti iš 1 lent. Europoje privataus kapitalo rinkai priskiriamas rizikos kapitalas, plėtros kapitalas ir išpirkimai, tuo tarpu JAV rizikos kapitalo grupę sudaro ne tik rizikos kapitalas, kaip jis suprantamas Europoje, bet ir plėtros kapitalas, o privačiam kapitalui priskiriami tik išpirkimai.</w:t>
      </w:r>
    </w:p>
    <w:p w:rsidR="007915D7" w:rsidRPr="00EC1AB2" w:rsidRDefault="007915D7"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Taigi, </w:t>
      </w:r>
      <w:r w:rsidRPr="00EC1AB2">
        <w:rPr>
          <w:rFonts w:ascii="Times New Roman" w:hAnsi="Times New Roman" w:cs="Times New Roman"/>
          <w:b/>
          <w:sz w:val="24"/>
          <w:szCs w:val="24"/>
        </w:rPr>
        <w:t>rizikos kapitalas</w:t>
      </w:r>
      <w:r w:rsidRPr="00EC1AB2">
        <w:rPr>
          <w:rFonts w:ascii="Times New Roman" w:hAnsi="Times New Roman" w:cs="Times New Roman"/>
          <w:sz w:val="24"/>
          <w:szCs w:val="24"/>
        </w:rPr>
        <w:t>, kaip jis suprantamas Europos žemyne,</w:t>
      </w:r>
      <w:r w:rsidRPr="00EC1AB2">
        <w:rPr>
          <w:rFonts w:ascii="Times New Roman" w:hAnsi="Times New Roman" w:cs="Times New Roman"/>
          <w:b/>
          <w:sz w:val="24"/>
          <w:szCs w:val="24"/>
        </w:rPr>
        <w:t xml:space="preserve"> </w:t>
      </w:r>
      <w:r w:rsidRPr="00EC1AB2">
        <w:rPr>
          <w:rFonts w:ascii="Times New Roman" w:hAnsi="Times New Roman" w:cs="Times New Roman"/>
          <w:sz w:val="24"/>
          <w:szCs w:val="24"/>
        </w:rPr>
        <w:t>investuojamas į neseniai įkurtas, rizikingas, tačiau perspektyvias įmones. Jis svarbus vertės kūrimo procese, nes teikia pradinį kapitalą steigiamoms įmonėms arba vystančioms savo veiklą ankstyvoje plėtros stadijoje, kitaip sakant, rizikos kapitalas susijęs su įmonių, pasižyminčių dideliu augimo potencialu ankstyvuoju augimo laikotarpiu, nuosavo kapitalo finansavimu.</w:t>
      </w:r>
    </w:p>
    <w:p w:rsidR="007915D7" w:rsidRPr="00EC1AB2" w:rsidRDefault="007915D7" w:rsidP="007A02A8">
      <w:pPr>
        <w:pStyle w:val="Default"/>
        <w:spacing w:line="360" w:lineRule="auto"/>
        <w:ind w:firstLine="567"/>
        <w:jc w:val="both"/>
        <w:rPr>
          <w:color w:val="auto"/>
          <w:lang w:val="lt-LT"/>
        </w:rPr>
      </w:pPr>
      <w:r w:rsidRPr="00EC1AB2">
        <w:rPr>
          <w:color w:val="auto"/>
          <w:lang w:val="lt-LT"/>
        </w:rPr>
        <w:t xml:space="preserve">Anot Schertler (2000), rizikos kapitalas yra būtinas mažoms ir jaunoms įmonėms, kurios turi didelį augimo potencialą, bet negali savo veiklos finansuoti pasitelkus tradicinius skolinimosi instrumentus. Pagrindinė jaunų įmonių finansinių lėšų trūkumo priežastis yra ta, jog tradiciniai skolinimosi instrumentai, kuriuos siūlo kredito įstaigos, yra lengviau prieinami ilgesnį laikotarpį veikiančioms, turinčioms patikimą veiklos istoriją ir stabilioms įmonėms, o kapitalo rinkos dažniausiai yra prieinamos tik stambioms akcinėms bendrovėms. </w:t>
      </w:r>
    </w:p>
    <w:p w:rsidR="007915D7" w:rsidRPr="00EC1AB2" w:rsidRDefault="007915D7"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Didžioji dalis rizikos kapitalo investuojama į sektorius, susijusius su naujosiomis technologijomis, t.y. bioinžineriją, biomediciną, naująsias informacines bei komunikacines technologijas, sveikatos priežiūrą, elektroniką bei kitas inovatyvias sritis, nes rizikos kapitalo investuotojai siekia prisiimti didesnę riziką už didesnį nei vidutinis pelnas iš investuoto nuosavo kapitalo (Alternatyvių investicijų ekspertų grupė, 2006). </w:t>
      </w:r>
    </w:p>
    <w:p w:rsidR="007915D7" w:rsidRPr="00EC1AB2" w:rsidRDefault="007915D7"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Reikia paminėti, kad esant rizikos kapitalo investicijoms, investuotojai įsitraukia į įmonės valdymą, jos strategijos kūrimą, pagrindinių darbuotojų priėmimą, inicijuoja ir vadovauja papildomų finansinių išteklių gavimui, taip pat dažnai atstovauja įmonei ir veda derybas su didesnėmis, ilgesnį laikotarpį veikiančiomis įmonėmis (Sebroeck, 2000). Vėlesnėje plėtros stadijoje, kitaip sakant augimo etape, įmonė finansuojama </w:t>
      </w:r>
      <w:r w:rsidRPr="00EC1AB2">
        <w:rPr>
          <w:rFonts w:ascii="Times New Roman" w:hAnsi="Times New Roman" w:cs="Times New Roman"/>
          <w:b/>
          <w:sz w:val="24"/>
          <w:szCs w:val="24"/>
        </w:rPr>
        <w:t xml:space="preserve">plėtros kapitalu. </w:t>
      </w:r>
      <w:r w:rsidRPr="00EC1AB2">
        <w:rPr>
          <w:rFonts w:ascii="Times New Roman" w:hAnsi="Times New Roman" w:cs="Times New Roman"/>
          <w:sz w:val="24"/>
          <w:szCs w:val="24"/>
        </w:rPr>
        <w:t xml:space="preserve">Plėtros kapitalo investuotojai siekia įsigyti pelningai veikiančių įmonių akcijų. Taigi šiuo atveju investicijų objektu tampa įmonės, turinčios augimo profilį, kuomet reikalinga jų finansinės struktūros konsolidacija, pavyzdžiui, naujų produktų ar paslaugų vystymas, dukterinės įmonės užsienyje steigimas, įsigijimo atveju arba tiesiog didinant gamybinius </w:t>
      </w:r>
      <w:r w:rsidRPr="00EC1AB2">
        <w:rPr>
          <w:rFonts w:ascii="Times New Roman" w:hAnsi="Times New Roman" w:cs="Times New Roman"/>
          <w:sz w:val="24"/>
          <w:szCs w:val="24"/>
        </w:rPr>
        <w:lastRenderedPageBreak/>
        <w:t xml:space="preserve">pajėgumus (Alternatyvių investicijų ekspertų grupė, 2006). Praėjus dvejiems metams po tyrimo Europos rizikos ir privataus kapitalo asociacija plėtros kapitalą išskyrė į dar į dvi dalis – </w:t>
      </w:r>
      <w:r w:rsidRPr="00EC1AB2">
        <w:rPr>
          <w:rFonts w:ascii="Times New Roman" w:hAnsi="Times New Roman" w:cs="Times New Roman"/>
          <w:b/>
          <w:sz w:val="24"/>
          <w:szCs w:val="24"/>
        </w:rPr>
        <w:t>vėlyvos stadijos</w:t>
      </w:r>
      <w:r w:rsidRPr="00EC1AB2">
        <w:rPr>
          <w:rFonts w:ascii="Times New Roman" w:hAnsi="Times New Roman" w:cs="Times New Roman"/>
          <w:sz w:val="24"/>
          <w:szCs w:val="24"/>
        </w:rPr>
        <w:t xml:space="preserve"> </w:t>
      </w:r>
      <w:r w:rsidRPr="00EC1AB2">
        <w:rPr>
          <w:rFonts w:ascii="Times New Roman" w:hAnsi="Times New Roman" w:cs="Times New Roman"/>
          <w:b/>
          <w:sz w:val="24"/>
          <w:szCs w:val="24"/>
        </w:rPr>
        <w:t>kapitalą</w:t>
      </w:r>
      <w:r w:rsidRPr="00EC1AB2">
        <w:rPr>
          <w:rFonts w:ascii="Times New Roman" w:hAnsi="Times New Roman" w:cs="Times New Roman"/>
          <w:sz w:val="24"/>
          <w:szCs w:val="24"/>
        </w:rPr>
        <w:t xml:space="preserve"> ir </w:t>
      </w:r>
      <w:r w:rsidRPr="00EC1AB2">
        <w:rPr>
          <w:rFonts w:ascii="Times New Roman" w:hAnsi="Times New Roman" w:cs="Times New Roman"/>
          <w:b/>
          <w:sz w:val="24"/>
          <w:szCs w:val="24"/>
        </w:rPr>
        <w:t>augimo kapitalą</w:t>
      </w:r>
      <w:r w:rsidRPr="00EC1AB2">
        <w:rPr>
          <w:rFonts w:ascii="Times New Roman" w:hAnsi="Times New Roman" w:cs="Times New Roman"/>
          <w:sz w:val="24"/>
          <w:szCs w:val="24"/>
        </w:rPr>
        <w:t xml:space="preserve">. Pirmoji dalis priskirta prie rizikos kapitalo, o antroji jau prie išpirkimo kapitalo. </w:t>
      </w:r>
    </w:p>
    <w:p w:rsidR="007915D7" w:rsidRPr="00EC1AB2" w:rsidRDefault="007915D7"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b/>
          <w:sz w:val="24"/>
          <w:szCs w:val="24"/>
        </w:rPr>
        <w:t>Išpirkimai</w:t>
      </w:r>
      <w:r w:rsidRPr="00EC1AB2">
        <w:rPr>
          <w:rFonts w:ascii="Times New Roman" w:hAnsi="Times New Roman" w:cs="Times New Roman"/>
          <w:sz w:val="24"/>
          <w:szCs w:val="24"/>
        </w:rPr>
        <w:t xml:space="preserve"> (MBO ir MBI) tiek JAV, tiek Europoje priskiriami privačiam kapitalui. Kaip teigia Simons ir Renneboog (2005), MBO (angl. management buyout) – procesas, kurio metu įmonės vadovybė, su privataus kapitalo fondo finansavimu, perima įmonės akcijų kontrolinį paketą. Pažymėtina, kad tokiu atveju įmonės vadovybė turi visą reikiamą informaciją apie įmonę, kuri būtina užtikrinant kapitalo grąžos augimą. Įmonės akcijų išpirkimas leidžia vadovams įgyvendinti savo strategiją, be to vadovams tapus akcininkais sumažėja atstovavimo kaštai (angl. agency costs), kurie atsiranda dėl savininko ir valdytojo interesų galimo nesutapimo. JAV įmonės vadovybei išperkant įmonės akcijas, yra reikalaujama, kad bent du investiciniai bankai pateiktų savo nuomonę, ar siūloma kaina už akcijas atitinka realią įmonės vertę. Taip siekiama išvengti galimų vėlesnių ieškinių teismuose, dėl specialiai nenaudingų įmonei vadovybės sprendimų, dirbtinai mažinant įmonės akcijų vertę iki išpirkimo proceso. MBI (angl. management buyin) – įmonės perėmimas į procesą įtraukiant vadovų komandą iš išorės. Nupirkus įmonę naujai suformuota vadovų komanda perima visą įmonės valdymą. Ši išpirkimo rūšis skiriasi nuo anksčiau minėtos tuo, kad MBO atveju vadovų komanda jau dirba įmonėje, kai tuo tarpu MBI atveju komanda ateina iš išorės. MBI išpirkimams paprastai ieškoma įmonių, kurios atsilieka nuo rinkos konkurentų dėl silpnos ir nekompetentingos įmonės vadovybės, todėl šie perėmimai dažnai yra priešiški ir vykdomi be esamos vadovybės sutikimo.</w:t>
      </w:r>
    </w:p>
    <w:p w:rsidR="007915D7" w:rsidRPr="00EC1AB2" w:rsidRDefault="007915D7"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Priežastys lemiančios išpirkimą dažniausiai yra grynųjų pinigų trūkumas įmonėje, bendros strategijos tarp akcininkų nebuvimas, vadovaujančių asmenų noras perimti įmonės nuosavybės teises bei daryti lemiamą įtaką strategijai ir tikslams. Paminėtina, kad prieši</w:t>
      </w:r>
      <w:r w:rsidR="006E744C" w:rsidRPr="00EC1AB2">
        <w:rPr>
          <w:rFonts w:ascii="Times New Roman" w:hAnsi="Times New Roman" w:cs="Times New Roman"/>
          <w:sz w:val="24"/>
          <w:szCs w:val="24"/>
        </w:rPr>
        <w:t>ngai nei RKF</w:t>
      </w:r>
      <w:r w:rsidRPr="00EC1AB2">
        <w:rPr>
          <w:rFonts w:ascii="Times New Roman" w:hAnsi="Times New Roman" w:cs="Times New Roman"/>
          <w:sz w:val="24"/>
          <w:szCs w:val="24"/>
        </w:rPr>
        <w:t xml:space="preserve">, privataus kapitalo (išpirkimo) fondai nesispecializuoja tam tikroje pramonės šakoje, tačiau atskirų fondų valdytojai dažniausiai išpirkimams pasirenka tuos sektorius, kuriuose turi daugiausiai patirties (Alternatyvių investicijų ekspertų grupė, 2006). </w:t>
      </w:r>
    </w:p>
    <w:p w:rsidR="007915D7" w:rsidRPr="00EC1AB2" w:rsidRDefault="007915D7"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Lietuvių autoriai nagrinėdami inovatyvių įmonių finansavimą, nurodo skirtingus finansavimo šaltinius skirtingose įmonių veiklos stadijose (žr. 1 pav.).</w:t>
      </w:r>
    </w:p>
    <w:p w:rsidR="006E744C" w:rsidRPr="00EC1AB2" w:rsidRDefault="006E744C" w:rsidP="007A02A8">
      <w:pPr>
        <w:spacing w:after="0" w:line="360" w:lineRule="auto"/>
        <w:ind w:firstLine="720"/>
        <w:jc w:val="both"/>
        <w:rPr>
          <w:rFonts w:ascii="Times New Roman" w:hAnsi="Times New Roman" w:cs="Times New Roman"/>
          <w:sz w:val="24"/>
          <w:szCs w:val="24"/>
        </w:rPr>
      </w:pPr>
    </w:p>
    <w:p w:rsidR="006E744C" w:rsidRPr="00EC1AB2" w:rsidRDefault="006E744C" w:rsidP="007A02A8">
      <w:pPr>
        <w:spacing w:after="0" w:line="360" w:lineRule="auto"/>
        <w:ind w:firstLine="720"/>
        <w:jc w:val="both"/>
        <w:rPr>
          <w:rFonts w:ascii="Times New Roman" w:hAnsi="Times New Roman" w:cs="Times New Roman"/>
          <w:sz w:val="24"/>
          <w:szCs w:val="24"/>
        </w:rPr>
      </w:pPr>
    </w:p>
    <w:p w:rsidR="006E744C" w:rsidRPr="00EC1AB2" w:rsidRDefault="006E744C" w:rsidP="007A02A8">
      <w:pPr>
        <w:spacing w:after="0" w:line="360" w:lineRule="auto"/>
        <w:ind w:firstLine="720"/>
        <w:jc w:val="both"/>
        <w:rPr>
          <w:rFonts w:ascii="Times New Roman" w:hAnsi="Times New Roman" w:cs="Times New Roman"/>
          <w:sz w:val="24"/>
          <w:szCs w:val="24"/>
        </w:rPr>
      </w:pPr>
    </w:p>
    <w:p w:rsidR="006E744C" w:rsidRPr="00EC1AB2" w:rsidRDefault="006E744C" w:rsidP="007A02A8">
      <w:pPr>
        <w:spacing w:after="0" w:line="360" w:lineRule="auto"/>
        <w:ind w:firstLine="720"/>
        <w:jc w:val="both"/>
        <w:rPr>
          <w:rFonts w:ascii="Times New Roman" w:hAnsi="Times New Roman" w:cs="Times New Roman"/>
          <w:sz w:val="24"/>
          <w:szCs w:val="24"/>
        </w:rPr>
      </w:pPr>
    </w:p>
    <w:p w:rsidR="007915D7" w:rsidRPr="00EC1AB2" w:rsidRDefault="007915D7" w:rsidP="007A02A8">
      <w:pPr>
        <w:spacing w:after="0" w:line="360" w:lineRule="auto"/>
        <w:jc w:val="both"/>
        <w:rPr>
          <w:rFonts w:ascii="Times New Roman" w:hAnsi="Times New Roman" w:cs="Times New Roman"/>
          <w:sz w:val="24"/>
          <w:szCs w:val="24"/>
        </w:rPr>
      </w:pPr>
    </w:p>
    <w:p w:rsidR="007915D7" w:rsidRPr="00EC1AB2" w:rsidRDefault="007915D7" w:rsidP="007A02A8">
      <w:pPr>
        <w:spacing w:after="0" w:line="360" w:lineRule="auto"/>
        <w:ind w:left="720" w:firstLine="360"/>
        <w:jc w:val="center"/>
        <w:rPr>
          <w:rFonts w:ascii="Times New Roman" w:hAnsi="Times New Roman" w:cs="Times New Roman"/>
          <w:sz w:val="24"/>
          <w:szCs w:val="24"/>
        </w:rPr>
      </w:pPr>
      <w:r w:rsidRPr="00EC1AB2">
        <w:rPr>
          <w:rFonts w:ascii="Times New Roman" w:hAnsi="Times New Roman" w:cs="Times New Roman"/>
          <w:noProof/>
          <w:sz w:val="24"/>
          <w:szCs w:val="24"/>
          <w:lang w:eastAsia="lt-LT"/>
        </w:rPr>
        <w:lastRenderedPageBreak/>
        <w:drawing>
          <wp:inline distT="0" distB="0" distL="0" distR="0" wp14:anchorId="423878A1" wp14:editId="0B788C30">
            <wp:extent cx="4391025" cy="3994150"/>
            <wp:effectExtent l="0" t="0" r="9525" b="635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391025" cy="3994150"/>
                    </a:xfrm>
                    <a:prstGeom prst="rect">
                      <a:avLst/>
                    </a:prstGeom>
                    <a:noFill/>
                    <a:ln>
                      <a:noFill/>
                    </a:ln>
                  </pic:spPr>
                </pic:pic>
              </a:graphicData>
            </a:graphic>
          </wp:inline>
        </w:drawing>
      </w:r>
    </w:p>
    <w:p w:rsidR="006E744C" w:rsidRPr="00EC1AB2" w:rsidRDefault="006E744C" w:rsidP="007A02A8">
      <w:pPr>
        <w:spacing w:after="0" w:line="360" w:lineRule="auto"/>
        <w:ind w:left="720" w:firstLine="360"/>
        <w:rPr>
          <w:rFonts w:ascii="Times New Roman" w:hAnsi="Times New Roman" w:cs="Times New Roman"/>
          <w:b/>
          <w:sz w:val="20"/>
          <w:szCs w:val="20"/>
        </w:rPr>
      </w:pPr>
    </w:p>
    <w:p w:rsidR="007915D7" w:rsidRPr="00EC1AB2" w:rsidRDefault="007915D7" w:rsidP="007A02A8">
      <w:pPr>
        <w:spacing w:after="0" w:line="360" w:lineRule="auto"/>
        <w:ind w:left="720" w:firstLine="360"/>
        <w:rPr>
          <w:rFonts w:ascii="Times New Roman" w:hAnsi="Times New Roman" w:cs="Times New Roman"/>
          <w:sz w:val="20"/>
          <w:szCs w:val="20"/>
        </w:rPr>
      </w:pPr>
      <w:r w:rsidRPr="00EC1AB2">
        <w:rPr>
          <w:rFonts w:ascii="Times New Roman" w:hAnsi="Times New Roman" w:cs="Times New Roman"/>
          <w:b/>
          <w:sz w:val="20"/>
          <w:szCs w:val="20"/>
        </w:rPr>
        <w:t>Šaltinis:</w:t>
      </w:r>
      <w:r w:rsidRPr="00EC1AB2">
        <w:rPr>
          <w:rFonts w:ascii="Times New Roman" w:hAnsi="Times New Roman" w:cs="Times New Roman"/>
          <w:sz w:val="20"/>
          <w:szCs w:val="20"/>
        </w:rPr>
        <w:t xml:space="preserve"> Strazdas ir kt. (2003)</w:t>
      </w:r>
    </w:p>
    <w:p w:rsidR="007915D7" w:rsidRPr="00EC1AB2" w:rsidRDefault="007915D7" w:rsidP="007A02A8">
      <w:pPr>
        <w:pStyle w:val="Heading5"/>
        <w:spacing w:before="0" w:line="360" w:lineRule="auto"/>
        <w:jc w:val="center"/>
        <w:rPr>
          <w:rFonts w:ascii="Times New Roman" w:hAnsi="Times New Roman" w:cs="Times New Roman"/>
          <w:b/>
          <w:color w:val="auto"/>
          <w:sz w:val="24"/>
          <w:szCs w:val="24"/>
        </w:rPr>
      </w:pPr>
      <w:bookmarkStart w:id="43" w:name="_Toc320761906"/>
      <w:bookmarkStart w:id="44" w:name="_Toc320762141"/>
      <w:bookmarkStart w:id="45" w:name="_Toc320762543"/>
      <w:r w:rsidRPr="00EC1AB2">
        <w:rPr>
          <w:rFonts w:ascii="Times New Roman" w:hAnsi="Times New Roman" w:cs="Times New Roman"/>
          <w:color w:val="auto"/>
          <w:sz w:val="24"/>
          <w:szCs w:val="24"/>
        </w:rPr>
        <w:t xml:space="preserve">1 pav. </w:t>
      </w:r>
      <w:r w:rsidRPr="00EC1AB2">
        <w:rPr>
          <w:rFonts w:ascii="Times New Roman" w:hAnsi="Times New Roman" w:cs="Times New Roman"/>
          <w:b/>
          <w:color w:val="auto"/>
          <w:sz w:val="24"/>
          <w:szCs w:val="24"/>
        </w:rPr>
        <w:t>Įmonės veiklos etapai ir finansavimo šaltiniai</w:t>
      </w:r>
      <w:bookmarkEnd w:id="43"/>
      <w:bookmarkEnd w:id="44"/>
      <w:bookmarkEnd w:id="45"/>
    </w:p>
    <w:p w:rsidR="007915D7" w:rsidRPr="00EC1AB2" w:rsidRDefault="007915D7" w:rsidP="007A02A8">
      <w:pPr>
        <w:pStyle w:val="Heading5"/>
        <w:spacing w:before="0" w:line="360" w:lineRule="auto"/>
        <w:jc w:val="center"/>
        <w:rPr>
          <w:rFonts w:ascii="Times New Roman" w:hAnsi="Times New Roman" w:cs="Times New Roman"/>
          <w:b/>
          <w:color w:val="auto"/>
          <w:sz w:val="24"/>
          <w:szCs w:val="24"/>
        </w:rPr>
      </w:pPr>
    </w:p>
    <w:p w:rsidR="007915D7" w:rsidRPr="00EC1AB2" w:rsidRDefault="007915D7"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Anot Strazdo ir kt. (2003), į įmonės sėjos etapą gali investuoti patys steigėjai arba verslo angelai – turtingi fiziniai asmenys, patyrę antrepreneriai, pasirengę panaudoti savo turimas lėšas rizikingoms investicijoms bei perduoti įmonei savo žinias ir patirtį. Jie kapitalą investuoja, įsigydami įmonės akcijų ir patys asmeniškai įsitraukia į investuojamą verslą (European Business Angels Network, 2010). Įmonės ankstyvos plėtros etape, kuomet reikalingos lėšos pradėti komercinę gamybą ir produkto pardavimą pagrindiniai investuot</w:t>
      </w:r>
      <w:r w:rsidR="004540BB" w:rsidRPr="00EC1AB2">
        <w:rPr>
          <w:rFonts w:ascii="Times New Roman" w:hAnsi="Times New Roman" w:cs="Times New Roman"/>
          <w:sz w:val="24"/>
          <w:szCs w:val="24"/>
        </w:rPr>
        <w:t>ojai yra RKF</w:t>
      </w:r>
      <w:r w:rsidRPr="00EC1AB2">
        <w:rPr>
          <w:rFonts w:ascii="Times New Roman" w:hAnsi="Times New Roman" w:cs="Times New Roman"/>
          <w:sz w:val="24"/>
          <w:szCs w:val="24"/>
        </w:rPr>
        <w:t>, tačiau pradinių investicijų atveju, bendra apimtimi finansavimas iš verslo angelų yra d</w:t>
      </w:r>
      <w:r w:rsidR="004540BB" w:rsidRPr="00EC1AB2">
        <w:rPr>
          <w:rFonts w:ascii="Times New Roman" w:hAnsi="Times New Roman" w:cs="Times New Roman"/>
          <w:sz w:val="24"/>
          <w:szCs w:val="24"/>
        </w:rPr>
        <w:t>idesnis nei iš RKF</w:t>
      </w:r>
      <w:r w:rsidRPr="00EC1AB2">
        <w:rPr>
          <w:rFonts w:ascii="Times New Roman" w:hAnsi="Times New Roman" w:cs="Times New Roman"/>
          <w:sz w:val="24"/>
          <w:szCs w:val="24"/>
        </w:rPr>
        <w:t>. Kaip teigia Strazdas ir kt.</w:t>
      </w:r>
      <w:r w:rsidR="004540BB" w:rsidRPr="00EC1AB2">
        <w:rPr>
          <w:rFonts w:ascii="Times New Roman" w:hAnsi="Times New Roman" w:cs="Times New Roman"/>
          <w:sz w:val="24"/>
          <w:szCs w:val="24"/>
        </w:rPr>
        <w:t xml:space="preserve"> (2003), RKF</w:t>
      </w:r>
      <w:r w:rsidRPr="00EC1AB2">
        <w:rPr>
          <w:rFonts w:ascii="Times New Roman" w:hAnsi="Times New Roman" w:cs="Times New Roman"/>
          <w:sz w:val="24"/>
          <w:szCs w:val="24"/>
        </w:rPr>
        <w:t xml:space="preserve"> orientuojasi į mažas ir vidutines įmones, kurios kuria naujas technologijas, įvedinėja naujus produktus į rinką, ar net kuria visiškai naujus rinkos segmentus. Jie siekia pelningai parduoti fondo investicijas strateginiams investuotojams, savininkams arba atliekant pirminį viešąjį pasiūlymą akcijų biržoje ( IPO – angl.Initial Price Offering), kai įmonė pasiekia reikalaujamus rezultatus.</w:t>
      </w:r>
    </w:p>
    <w:p w:rsidR="007915D7" w:rsidRPr="00EC1AB2" w:rsidRDefault="007915D7"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Įmonei pasiekus ank</w:t>
      </w:r>
      <w:r w:rsidR="004540BB" w:rsidRPr="00EC1AB2">
        <w:rPr>
          <w:rFonts w:ascii="Times New Roman" w:hAnsi="Times New Roman" w:cs="Times New Roman"/>
          <w:sz w:val="24"/>
          <w:szCs w:val="24"/>
        </w:rPr>
        <w:t>s</w:t>
      </w:r>
      <w:r w:rsidRPr="00EC1AB2">
        <w:rPr>
          <w:rFonts w:ascii="Times New Roman" w:hAnsi="Times New Roman" w:cs="Times New Roman"/>
          <w:sz w:val="24"/>
          <w:szCs w:val="24"/>
        </w:rPr>
        <w:t>tyvosios plėtros etapo pabaigą</w:t>
      </w:r>
      <w:r w:rsidR="004540BB" w:rsidRPr="00EC1AB2">
        <w:rPr>
          <w:rFonts w:ascii="Times New Roman" w:hAnsi="Times New Roman" w:cs="Times New Roman"/>
          <w:sz w:val="24"/>
          <w:szCs w:val="24"/>
        </w:rPr>
        <w:t>,</w:t>
      </w:r>
      <w:r w:rsidRPr="00EC1AB2">
        <w:rPr>
          <w:rFonts w:ascii="Times New Roman" w:hAnsi="Times New Roman" w:cs="Times New Roman"/>
          <w:sz w:val="24"/>
          <w:szCs w:val="24"/>
        </w:rPr>
        <w:t xml:space="preserve"> bankai taip pat gali tapti finansavimo  šaltiniais, teikdami įprastas bankininkystės paslaugas: čekius, kredito perviršio paslaugas ir kt. Įmonės savininkai gali tikėtis finansavimo iš šių institu</w:t>
      </w:r>
      <w:r w:rsidR="004540BB" w:rsidRPr="00EC1AB2">
        <w:rPr>
          <w:rFonts w:ascii="Times New Roman" w:hAnsi="Times New Roman" w:cs="Times New Roman"/>
          <w:sz w:val="24"/>
          <w:szCs w:val="24"/>
        </w:rPr>
        <w:t>cijų  tik vėlyvosios plėtros sta</w:t>
      </w:r>
      <w:r w:rsidRPr="00EC1AB2">
        <w:rPr>
          <w:rFonts w:ascii="Times New Roman" w:hAnsi="Times New Roman" w:cs="Times New Roman"/>
          <w:sz w:val="24"/>
          <w:szCs w:val="24"/>
        </w:rPr>
        <w:t xml:space="preserve">dijoje, kuomet įmonė pradeda augti stabiliai. </w:t>
      </w:r>
    </w:p>
    <w:p w:rsidR="007915D7" w:rsidRPr="00EC1AB2" w:rsidRDefault="007915D7"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lastRenderedPageBreak/>
        <w:t>Kaip matyti, Lietuvių autoriai, tyrinėję rizikos kapitalo fondus, t.y. Strazdas ir kt. laikosi Europos žemyne paplitusios terminologijos ir rizikos kapitalą, nurodo, kaip privataus kapitalo rūšį, kuri investuojama į įmonės veiklos pradžią bei ankstyvą plėtrą. Šiame d</w:t>
      </w:r>
      <w:r w:rsidR="004540BB" w:rsidRPr="00EC1AB2">
        <w:rPr>
          <w:rFonts w:ascii="Times New Roman" w:hAnsi="Times New Roman" w:cs="Times New Roman"/>
          <w:sz w:val="24"/>
          <w:szCs w:val="24"/>
        </w:rPr>
        <w:t>ar</w:t>
      </w:r>
      <w:r w:rsidRPr="00EC1AB2">
        <w:rPr>
          <w:rFonts w:ascii="Times New Roman" w:hAnsi="Times New Roman" w:cs="Times New Roman"/>
          <w:sz w:val="24"/>
          <w:szCs w:val="24"/>
        </w:rPr>
        <w:t>be bus laikomasi europietiško požiūrio į rizikos kapitalą.</w:t>
      </w:r>
    </w:p>
    <w:p w:rsidR="007915D7" w:rsidRPr="00EC1AB2" w:rsidRDefault="007915D7" w:rsidP="007A02A8">
      <w:pPr>
        <w:spacing w:after="0" w:line="360" w:lineRule="auto"/>
        <w:jc w:val="both"/>
        <w:rPr>
          <w:rFonts w:ascii="Times New Roman" w:hAnsi="Times New Roman" w:cs="Times New Roman"/>
          <w:sz w:val="24"/>
          <w:szCs w:val="24"/>
        </w:rPr>
      </w:pPr>
    </w:p>
    <w:p w:rsidR="007915D7" w:rsidRPr="00EC1AB2" w:rsidRDefault="00837DED" w:rsidP="007A02A8">
      <w:pPr>
        <w:pStyle w:val="Heading2"/>
        <w:numPr>
          <w:ilvl w:val="1"/>
          <w:numId w:val="22"/>
        </w:numPr>
        <w:spacing w:before="0" w:after="0" w:line="360" w:lineRule="auto"/>
        <w:jc w:val="both"/>
        <w:rPr>
          <w:i w:val="0"/>
          <w:sz w:val="24"/>
          <w:szCs w:val="24"/>
        </w:rPr>
      </w:pPr>
      <w:bookmarkStart w:id="46" w:name="_Toc320566993"/>
      <w:bookmarkStart w:id="47" w:name="_Toc320567033"/>
      <w:bookmarkStart w:id="48" w:name="_Toc320567180"/>
      <w:bookmarkStart w:id="49" w:name="_Toc320761763"/>
      <w:bookmarkStart w:id="50" w:name="_Toc320761907"/>
      <w:bookmarkStart w:id="51" w:name="_Toc320762142"/>
      <w:bookmarkStart w:id="52" w:name="_Toc320762544"/>
      <w:bookmarkStart w:id="53" w:name="_Toc321092696"/>
      <w:r w:rsidRPr="00EC1AB2">
        <w:rPr>
          <w:i w:val="0"/>
          <w:sz w:val="24"/>
          <w:szCs w:val="24"/>
        </w:rPr>
        <w:t>Pagrindiniai rizikos kapitalo fondų</w:t>
      </w:r>
      <w:r w:rsidR="007915D7" w:rsidRPr="00EC1AB2">
        <w:rPr>
          <w:i w:val="0"/>
          <w:sz w:val="24"/>
          <w:szCs w:val="24"/>
        </w:rPr>
        <w:t xml:space="preserve"> veiklos bruožai bei teisinis reglamentavimas</w:t>
      </w:r>
      <w:bookmarkEnd w:id="46"/>
      <w:bookmarkEnd w:id="47"/>
      <w:bookmarkEnd w:id="48"/>
      <w:bookmarkEnd w:id="49"/>
      <w:bookmarkEnd w:id="50"/>
      <w:bookmarkEnd w:id="51"/>
      <w:bookmarkEnd w:id="52"/>
      <w:bookmarkEnd w:id="53"/>
    </w:p>
    <w:p w:rsidR="007915D7" w:rsidRPr="00EC1AB2" w:rsidRDefault="007915D7" w:rsidP="007A02A8">
      <w:pPr>
        <w:pStyle w:val="Heading2"/>
        <w:spacing w:before="0" w:after="0" w:line="360" w:lineRule="auto"/>
        <w:jc w:val="center"/>
        <w:rPr>
          <w:i w:val="0"/>
          <w:sz w:val="28"/>
          <w:szCs w:val="28"/>
        </w:rPr>
      </w:pPr>
    </w:p>
    <w:p w:rsidR="007915D7" w:rsidRPr="00EC1AB2" w:rsidRDefault="0075367B" w:rsidP="007A02A8">
      <w:pPr>
        <w:spacing w:after="0" w:line="360" w:lineRule="auto"/>
        <w:ind w:firstLine="567"/>
        <w:jc w:val="both"/>
        <w:textAlignment w:val="baseline"/>
        <w:rPr>
          <w:rFonts w:ascii="Times New Roman" w:hAnsi="Times New Roman" w:cs="Times New Roman"/>
          <w:sz w:val="24"/>
          <w:szCs w:val="24"/>
        </w:rPr>
      </w:pPr>
      <w:r w:rsidRPr="00EC1AB2">
        <w:rPr>
          <w:rFonts w:ascii="Times New Roman" w:hAnsi="Times New Roman" w:cs="Times New Roman"/>
          <w:sz w:val="24"/>
          <w:szCs w:val="24"/>
        </w:rPr>
        <w:t>RKF</w:t>
      </w:r>
      <w:r w:rsidR="007915D7" w:rsidRPr="00EC1AB2">
        <w:rPr>
          <w:rFonts w:ascii="Times New Roman" w:hAnsi="Times New Roman" w:cs="Times New Roman"/>
          <w:sz w:val="24"/>
          <w:szCs w:val="24"/>
        </w:rPr>
        <w:t xml:space="preserve"> – </w:t>
      </w:r>
      <w:r w:rsidR="007915D7" w:rsidRPr="00EC1AB2">
        <w:rPr>
          <w:rFonts w:ascii="Times New Roman" w:eastAsia="+mn-ea" w:hAnsi="Times New Roman" w:cs="Times New Roman"/>
          <w:sz w:val="24"/>
          <w:szCs w:val="24"/>
        </w:rPr>
        <w:t xml:space="preserve">investiciniai fondai, įsteigti profesionalių rizikos kapitalo investuotojų, daugiausiai investuojantys į nelistinguojamas, o kartais ir į naujai kuriamas įmones pagal iš anksto patvirtintas fondo investavimo taisykles, </w:t>
      </w:r>
      <w:r w:rsidR="007915D7" w:rsidRPr="00EC1AB2">
        <w:rPr>
          <w:rFonts w:ascii="Times New Roman" w:hAnsi="Times New Roman" w:cs="Times New Roman"/>
          <w:sz w:val="24"/>
          <w:szCs w:val="24"/>
        </w:rPr>
        <w:t xml:space="preserve">organizuojami pagal vienodą visame pasaulyje paplitusią struktūrą (žr. 2 pav.) . </w:t>
      </w:r>
    </w:p>
    <w:p w:rsidR="0075367B" w:rsidRPr="00EC1AB2" w:rsidRDefault="0075367B" w:rsidP="007A02A8">
      <w:pPr>
        <w:spacing w:after="0" w:line="360" w:lineRule="auto"/>
        <w:ind w:firstLine="720"/>
        <w:jc w:val="both"/>
        <w:textAlignment w:val="baseline"/>
        <w:rPr>
          <w:rFonts w:ascii="Times New Roman" w:hAnsi="Times New Roman" w:cs="Times New Roman"/>
          <w:sz w:val="24"/>
          <w:szCs w:val="24"/>
        </w:rPr>
      </w:pPr>
      <w:r w:rsidRPr="00EC1AB2">
        <w:rPr>
          <w:rFonts w:ascii="Times New Roman" w:hAnsi="Times New Roman" w:cs="Times New Roman"/>
          <w:noProof/>
          <w:sz w:val="24"/>
          <w:szCs w:val="24"/>
          <w:lang w:eastAsia="lt-LT"/>
        </w:rPr>
        <w:drawing>
          <wp:anchor distT="0" distB="0" distL="114300" distR="114300" simplePos="0" relativeHeight="251856896" behindDoc="1" locked="0" layoutInCell="1" allowOverlap="1" wp14:anchorId="2AA6BCCB" wp14:editId="59A589CB">
            <wp:simplePos x="0" y="0"/>
            <wp:positionH relativeFrom="column">
              <wp:posOffset>355600</wp:posOffset>
            </wp:positionH>
            <wp:positionV relativeFrom="paragraph">
              <wp:posOffset>250825</wp:posOffset>
            </wp:positionV>
            <wp:extent cx="5820410" cy="3400425"/>
            <wp:effectExtent l="0" t="0" r="8890" b="9525"/>
            <wp:wrapTight wrapText="bothSides">
              <wp:wrapPolygon edited="0">
                <wp:start x="0" y="0"/>
                <wp:lineTo x="0" y="21539"/>
                <wp:lineTo x="21562" y="21539"/>
                <wp:lineTo x="21562" y="0"/>
                <wp:lineTo x="0" y="0"/>
              </wp:wrapPolygon>
            </wp:wrapTight>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20410" cy="3400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5367B" w:rsidRPr="00EC1AB2" w:rsidRDefault="0075367B" w:rsidP="007A02A8">
      <w:pPr>
        <w:spacing w:after="0" w:line="360" w:lineRule="auto"/>
        <w:ind w:firstLine="720"/>
        <w:jc w:val="both"/>
        <w:textAlignment w:val="baseline"/>
        <w:rPr>
          <w:rFonts w:ascii="Times New Roman" w:eastAsia="+mn-ea" w:hAnsi="Times New Roman" w:cs="Times New Roman"/>
          <w:sz w:val="24"/>
          <w:szCs w:val="24"/>
        </w:rPr>
      </w:pPr>
    </w:p>
    <w:p w:rsidR="007915D7" w:rsidRPr="00EC1AB2" w:rsidRDefault="007915D7" w:rsidP="007A02A8">
      <w:pPr>
        <w:pStyle w:val="ListParagraph"/>
        <w:spacing w:after="0" w:line="360" w:lineRule="auto"/>
        <w:ind w:firstLine="360"/>
        <w:jc w:val="both"/>
        <w:textAlignment w:val="baseline"/>
        <w:rPr>
          <w:rFonts w:ascii="Times New Roman" w:hAnsi="Times New Roman" w:cs="Times New Roman"/>
          <w:sz w:val="24"/>
          <w:szCs w:val="24"/>
        </w:rPr>
      </w:pPr>
    </w:p>
    <w:p w:rsidR="007915D7" w:rsidRPr="00EC1AB2" w:rsidRDefault="007915D7" w:rsidP="007A02A8">
      <w:pPr>
        <w:spacing w:after="0" w:line="360" w:lineRule="auto"/>
        <w:ind w:left="720" w:firstLine="720"/>
        <w:jc w:val="both"/>
        <w:rPr>
          <w:rFonts w:ascii="Times New Roman" w:hAnsi="Times New Roman" w:cs="Times New Roman"/>
          <w:sz w:val="24"/>
          <w:szCs w:val="24"/>
        </w:rPr>
      </w:pPr>
    </w:p>
    <w:p w:rsidR="007915D7" w:rsidRPr="00EC1AB2" w:rsidRDefault="007915D7" w:rsidP="007A02A8">
      <w:pPr>
        <w:spacing w:after="0" w:line="360" w:lineRule="auto"/>
        <w:ind w:left="720" w:firstLine="720"/>
        <w:jc w:val="center"/>
        <w:rPr>
          <w:rFonts w:ascii="Times New Roman" w:hAnsi="Times New Roman" w:cs="Times New Roman"/>
          <w:sz w:val="24"/>
          <w:szCs w:val="24"/>
        </w:rPr>
      </w:pPr>
    </w:p>
    <w:p w:rsidR="009E5D76" w:rsidRPr="00EC1AB2" w:rsidRDefault="009E5D76" w:rsidP="007A02A8">
      <w:pPr>
        <w:spacing w:after="0" w:line="360" w:lineRule="auto"/>
        <w:ind w:left="720" w:firstLine="720"/>
        <w:jc w:val="center"/>
        <w:rPr>
          <w:rFonts w:ascii="Times New Roman" w:hAnsi="Times New Roman" w:cs="Times New Roman"/>
          <w:sz w:val="24"/>
          <w:szCs w:val="24"/>
        </w:rPr>
      </w:pPr>
    </w:p>
    <w:p w:rsidR="009E5D76" w:rsidRPr="00EC1AB2" w:rsidRDefault="009E5D76" w:rsidP="007A02A8">
      <w:pPr>
        <w:spacing w:after="0" w:line="360" w:lineRule="auto"/>
        <w:ind w:left="720" w:firstLine="720"/>
        <w:jc w:val="center"/>
        <w:rPr>
          <w:rFonts w:ascii="Times New Roman" w:hAnsi="Times New Roman" w:cs="Times New Roman"/>
          <w:sz w:val="24"/>
          <w:szCs w:val="24"/>
        </w:rPr>
      </w:pPr>
    </w:p>
    <w:p w:rsidR="009E5D76" w:rsidRPr="00EC1AB2" w:rsidRDefault="009E5D76" w:rsidP="007A02A8">
      <w:pPr>
        <w:spacing w:after="0" w:line="360" w:lineRule="auto"/>
        <w:ind w:left="720" w:firstLine="720"/>
        <w:jc w:val="center"/>
        <w:rPr>
          <w:rFonts w:ascii="Times New Roman" w:hAnsi="Times New Roman" w:cs="Times New Roman"/>
          <w:sz w:val="24"/>
          <w:szCs w:val="24"/>
        </w:rPr>
      </w:pPr>
    </w:p>
    <w:p w:rsidR="009E5D76" w:rsidRPr="00EC1AB2" w:rsidRDefault="009E5D76" w:rsidP="007A02A8">
      <w:pPr>
        <w:spacing w:after="0" w:line="360" w:lineRule="auto"/>
        <w:ind w:left="720" w:firstLine="720"/>
        <w:jc w:val="center"/>
        <w:rPr>
          <w:rFonts w:ascii="Times New Roman" w:hAnsi="Times New Roman" w:cs="Times New Roman"/>
          <w:sz w:val="24"/>
          <w:szCs w:val="24"/>
        </w:rPr>
      </w:pPr>
    </w:p>
    <w:p w:rsidR="009E5D76" w:rsidRPr="00EC1AB2" w:rsidRDefault="009E5D76" w:rsidP="007A02A8">
      <w:pPr>
        <w:spacing w:after="0" w:line="360" w:lineRule="auto"/>
        <w:ind w:left="720" w:firstLine="720"/>
        <w:jc w:val="center"/>
        <w:rPr>
          <w:rFonts w:ascii="Times New Roman" w:hAnsi="Times New Roman" w:cs="Times New Roman"/>
          <w:sz w:val="24"/>
          <w:szCs w:val="24"/>
        </w:rPr>
      </w:pPr>
    </w:p>
    <w:p w:rsidR="009E5D76" w:rsidRPr="00EC1AB2" w:rsidRDefault="009E5D76" w:rsidP="007A02A8">
      <w:pPr>
        <w:spacing w:after="0" w:line="360" w:lineRule="auto"/>
        <w:ind w:left="720" w:firstLine="720"/>
        <w:jc w:val="center"/>
        <w:rPr>
          <w:rFonts w:ascii="Times New Roman" w:hAnsi="Times New Roman" w:cs="Times New Roman"/>
          <w:sz w:val="24"/>
          <w:szCs w:val="24"/>
        </w:rPr>
      </w:pPr>
    </w:p>
    <w:p w:rsidR="0075367B" w:rsidRPr="00EC1AB2" w:rsidRDefault="0075367B" w:rsidP="007A02A8">
      <w:pPr>
        <w:spacing w:after="0" w:line="360" w:lineRule="auto"/>
        <w:ind w:left="720" w:firstLine="720"/>
        <w:jc w:val="both"/>
        <w:rPr>
          <w:rFonts w:ascii="Times New Roman" w:hAnsi="Times New Roman" w:cs="Times New Roman"/>
          <w:b/>
          <w:sz w:val="20"/>
          <w:szCs w:val="20"/>
        </w:rPr>
      </w:pPr>
    </w:p>
    <w:p w:rsidR="0075367B" w:rsidRPr="00EC1AB2" w:rsidRDefault="0075367B" w:rsidP="007A02A8">
      <w:pPr>
        <w:spacing w:after="0" w:line="360" w:lineRule="auto"/>
        <w:ind w:left="720" w:firstLine="720"/>
        <w:jc w:val="both"/>
        <w:rPr>
          <w:rFonts w:ascii="Times New Roman" w:hAnsi="Times New Roman" w:cs="Times New Roman"/>
          <w:b/>
          <w:sz w:val="20"/>
          <w:szCs w:val="20"/>
        </w:rPr>
      </w:pPr>
    </w:p>
    <w:p w:rsidR="0075367B" w:rsidRPr="00EC1AB2" w:rsidRDefault="0075367B" w:rsidP="007A02A8">
      <w:pPr>
        <w:spacing w:after="0" w:line="360" w:lineRule="auto"/>
        <w:ind w:left="720" w:firstLine="720"/>
        <w:jc w:val="both"/>
        <w:rPr>
          <w:rFonts w:ascii="Times New Roman" w:hAnsi="Times New Roman" w:cs="Times New Roman"/>
          <w:b/>
          <w:sz w:val="20"/>
          <w:szCs w:val="20"/>
        </w:rPr>
      </w:pPr>
    </w:p>
    <w:p w:rsidR="0075367B" w:rsidRPr="00EC1AB2" w:rsidRDefault="0075367B" w:rsidP="007A02A8">
      <w:pPr>
        <w:spacing w:after="0" w:line="360" w:lineRule="auto"/>
        <w:ind w:left="720" w:firstLine="720"/>
        <w:jc w:val="both"/>
        <w:rPr>
          <w:rFonts w:ascii="Times New Roman" w:hAnsi="Times New Roman" w:cs="Times New Roman"/>
          <w:b/>
          <w:sz w:val="20"/>
          <w:szCs w:val="20"/>
        </w:rPr>
      </w:pPr>
    </w:p>
    <w:p w:rsidR="0075367B" w:rsidRPr="00EC1AB2" w:rsidRDefault="0075367B" w:rsidP="007A02A8">
      <w:pPr>
        <w:spacing w:after="0" w:line="360" w:lineRule="auto"/>
        <w:ind w:left="720" w:firstLine="720"/>
        <w:jc w:val="both"/>
        <w:rPr>
          <w:rFonts w:ascii="Times New Roman" w:hAnsi="Times New Roman" w:cs="Times New Roman"/>
          <w:b/>
          <w:sz w:val="20"/>
          <w:szCs w:val="20"/>
        </w:rPr>
      </w:pPr>
    </w:p>
    <w:p w:rsidR="007915D7" w:rsidRPr="00EC1AB2" w:rsidRDefault="007915D7" w:rsidP="007A02A8">
      <w:pPr>
        <w:spacing w:after="0" w:line="360" w:lineRule="auto"/>
        <w:ind w:left="720" w:firstLine="720"/>
        <w:jc w:val="both"/>
        <w:rPr>
          <w:rFonts w:ascii="Times New Roman" w:hAnsi="Times New Roman" w:cs="Times New Roman"/>
          <w:sz w:val="20"/>
          <w:szCs w:val="20"/>
        </w:rPr>
      </w:pPr>
      <w:r w:rsidRPr="00EC1AB2">
        <w:rPr>
          <w:rFonts w:ascii="Times New Roman" w:hAnsi="Times New Roman" w:cs="Times New Roman"/>
          <w:b/>
          <w:sz w:val="20"/>
          <w:szCs w:val="20"/>
        </w:rPr>
        <w:t xml:space="preserve">Šaltinis: </w:t>
      </w:r>
      <w:r w:rsidRPr="00EC1AB2">
        <w:rPr>
          <w:rFonts w:ascii="Times New Roman" w:hAnsi="Times New Roman" w:cs="Times New Roman"/>
          <w:sz w:val="20"/>
          <w:szCs w:val="20"/>
        </w:rPr>
        <w:t>adaptuota pagal Rimą (2010)</w:t>
      </w:r>
    </w:p>
    <w:p w:rsidR="007915D7" w:rsidRPr="00EC1AB2" w:rsidRDefault="007915D7" w:rsidP="007A02A8">
      <w:pPr>
        <w:pStyle w:val="Heading5"/>
        <w:spacing w:before="0" w:line="360" w:lineRule="auto"/>
        <w:jc w:val="center"/>
        <w:rPr>
          <w:rFonts w:ascii="Times New Roman" w:hAnsi="Times New Roman" w:cs="Times New Roman"/>
          <w:b/>
          <w:color w:val="auto"/>
          <w:sz w:val="24"/>
          <w:szCs w:val="24"/>
        </w:rPr>
      </w:pPr>
      <w:bookmarkStart w:id="54" w:name="_Toc320761908"/>
      <w:bookmarkStart w:id="55" w:name="_Toc320762143"/>
      <w:bookmarkStart w:id="56" w:name="_Toc320762545"/>
      <w:r w:rsidRPr="00EC1AB2">
        <w:rPr>
          <w:rFonts w:ascii="Times New Roman" w:hAnsi="Times New Roman" w:cs="Times New Roman"/>
          <w:color w:val="auto"/>
          <w:sz w:val="24"/>
          <w:szCs w:val="24"/>
        </w:rPr>
        <w:t>2 pav.</w:t>
      </w:r>
      <w:r w:rsidRPr="00EC1AB2">
        <w:rPr>
          <w:rFonts w:ascii="Times New Roman" w:hAnsi="Times New Roman" w:cs="Times New Roman"/>
          <w:b/>
          <w:color w:val="auto"/>
          <w:sz w:val="24"/>
          <w:szCs w:val="24"/>
        </w:rPr>
        <w:t xml:space="preserve"> Rizikos kapitalo fondo struktūra</w:t>
      </w:r>
      <w:bookmarkEnd w:id="54"/>
      <w:bookmarkEnd w:id="55"/>
      <w:bookmarkEnd w:id="56"/>
    </w:p>
    <w:p w:rsidR="007915D7" w:rsidRPr="00EC1AB2" w:rsidRDefault="007915D7" w:rsidP="007A02A8">
      <w:pPr>
        <w:pStyle w:val="Heading5"/>
        <w:spacing w:before="0" w:line="360" w:lineRule="auto"/>
        <w:jc w:val="center"/>
        <w:rPr>
          <w:rFonts w:ascii="Times New Roman" w:hAnsi="Times New Roman" w:cs="Times New Roman"/>
          <w:b/>
          <w:color w:val="auto"/>
          <w:sz w:val="24"/>
          <w:szCs w:val="24"/>
        </w:rPr>
      </w:pPr>
    </w:p>
    <w:p w:rsidR="007915D7" w:rsidRPr="00EC1AB2" w:rsidRDefault="007915D7" w:rsidP="007A02A8">
      <w:pPr>
        <w:spacing w:after="0" w:line="360" w:lineRule="auto"/>
        <w:ind w:firstLine="567"/>
        <w:jc w:val="both"/>
        <w:rPr>
          <w:rFonts w:ascii="Times New Roman" w:hAnsi="Times New Roman" w:cs="Times New Roman"/>
          <w:bCs/>
          <w:sz w:val="24"/>
          <w:szCs w:val="24"/>
        </w:rPr>
      </w:pPr>
      <w:r w:rsidRPr="00EC1AB2">
        <w:rPr>
          <w:rFonts w:ascii="Times New Roman" w:hAnsi="Times New Roman" w:cs="Times New Roman"/>
          <w:sz w:val="24"/>
          <w:szCs w:val="24"/>
        </w:rPr>
        <w:t>Kaip matyti iš 2 pav. rizikos kapitalo fondo turtą sudaro investuotojų bei valdytojo (rizikos kapitalo v</w:t>
      </w:r>
      <w:r w:rsidR="0075367B" w:rsidRPr="00EC1AB2">
        <w:rPr>
          <w:rFonts w:ascii="Times New Roman" w:hAnsi="Times New Roman" w:cs="Times New Roman"/>
          <w:sz w:val="24"/>
          <w:szCs w:val="24"/>
        </w:rPr>
        <w:t>aldymo įmonės) įnašai. RKF inve</w:t>
      </w:r>
      <w:r w:rsidRPr="00EC1AB2">
        <w:rPr>
          <w:rFonts w:ascii="Times New Roman" w:hAnsi="Times New Roman" w:cs="Times New Roman"/>
          <w:sz w:val="24"/>
          <w:szCs w:val="24"/>
        </w:rPr>
        <w:t>stuotojus galima suskir</w:t>
      </w:r>
      <w:r w:rsidR="0075367B" w:rsidRPr="00EC1AB2">
        <w:rPr>
          <w:rFonts w:ascii="Times New Roman" w:hAnsi="Times New Roman" w:cs="Times New Roman"/>
          <w:sz w:val="24"/>
          <w:szCs w:val="24"/>
        </w:rPr>
        <w:t>s</w:t>
      </w:r>
      <w:r w:rsidRPr="00EC1AB2">
        <w:rPr>
          <w:rFonts w:ascii="Times New Roman" w:hAnsi="Times New Roman" w:cs="Times New Roman"/>
          <w:sz w:val="24"/>
          <w:szCs w:val="24"/>
        </w:rPr>
        <w:t xml:space="preserve">tyti į individualius (privačius asmenis) ir institucinius (draudimo įmonės, fondų fondai, pensijų fondai ir kt.). Paminėtina, kad valdytojas gali būti </w:t>
      </w:r>
      <w:r w:rsidRPr="00EC1AB2">
        <w:rPr>
          <w:rFonts w:ascii="Times New Roman" w:hAnsi="Times New Roman" w:cs="Times New Roman"/>
          <w:bCs/>
          <w:sz w:val="24"/>
          <w:szCs w:val="24"/>
        </w:rPr>
        <w:t>nepriklausomas</w:t>
      </w:r>
      <w:r w:rsidRPr="00EC1AB2">
        <w:rPr>
          <w:rFonts w:ascii="Times New Roman" w:hAnsi="Times New Roman" w:cs="Times New Roman"/>
          <w:sz w:val="24"/>
          <w:szCs w:val="24"/>
        </w:rPr>
        <w:t xml:space="preserve">, </w:t>
      </w:r>
      <w:r w:rsidRPr="00EC1AB2">
        <w:rPr>
          <w:rFonts w:ascii="Times New Roman" w:hAnsi="Times New Roman" w:cs="Times New Roman"/>
          <w:bCs/>
          <w:sz w:val="24"/>
          <w:szCs w:val="24"/>
        </w:rPr>
        <w:t xml:space="preserve">priklausomas arba pusiau priklausomas. „Priklausomi ir pusiau priklausomi valdytojai paprastai yra antrinės bankų ar kitų finansų įstaigų bendrovės, </w:t>
      </w:r>
      <w:r w:rsidRPr="00EC1AB2">
        <w:rPr>
          <w:rFonts w:ascii="Times New Roman" w:hAnsi="Times New Roman" w:cs="Times New Roman"/>
          <w:bCs/>
          <w:sz w:val="24"/>
          <w:szCs w:val="24"/>
        </w:rPr>
        <w:lastRenderedPageBreak/>
        <w:t>bendradarbiaujančios, atitinkamai, išimtinai su vienu ar su vienu dominuojančiu fondo investuotoju (t.y. valdančios savo pagrindinės bendrovės pateiktas lėšas)“ (Rimas, 2010, p. 56).</w:t>
      </w:r>
    </w:p>
    <w:p w:rsidR="007915D7" w:rsidRPr="00EC1AB2" w:rsidRDefault="0075367B" w:rsidP="007A02A8">
      <w:pPr>
        <w:autoSpaceDE w:val="0"/>
        <w:autoSpaceDN w:val="0"/>
        <w:adjustRightInd w:val="0"/>
        <w:spacing w:after="0" w:line="360" w:lineRule="auto"/>
        <w:ind w:firstLine="567"/>
        <w:jc w:val="both"/>
        <w:rPr>
          <w:rFonts w:ascii="Times New Roman" w:hAnsi="Times New Roman" w:cs="Times New Roman"/>
          <w:color w:val="0D0D0D" w:themeColor="text1" w:themeTint="F2"/>
          <w:sz w:val="24"/>
          <w:szCs w:val="24"/>
        </w:rPr>
      </w:pPr>
      <w:r w:rsidRPr="00EC1AB2">
        <w:rPr>
          <w:rFonts w:ascii="Times New Roman" w:hAnsi="Times New Roman" w:cs="Times New Roman"/>
          <w:sz w:val="24"/>
          <w:szCs w:val="24"/>
        </w:rPr>
        <w:t>Dažnai RKF</w:t>
      </w:r>
      <w:r w:rsidR="007915D7" w:rsidRPr="00EC1AB2">
        <w:rPr>
          <w:rFonts w:ascii="Times New Roman" w:hAnsi="Times New Roman" w:cs="Times New Roman"/>
          <w:sz w:val="24"/>
          <w:szCs w:val="24"/>
        </w:rPr>
        <w:t xml:space="preserve"> organizuojami komanditinės ūkinės bendrijos forma, kur inve</w:t>
      </w:r>
      <w:r w:rsidRPr="00EC1AB2">
        <w:rPr>
          <w:rFonts w:ascii="Times New Roman" w:hAnsi="Times New Roman" w:cs="Times New Roman"/>
          <w:sz w:val="24"/>
          <w:szCs w:val="24"/>
        </w:rPr>
        <w:t>st</w:t>
      </w:r>
      <w:r w:rsidR="007915D7" w:rsidRPr="00EC1AB2">
        <w:rPr>
          <w:rFonts w:ascii="Times New Roman" w:hAnsi="Times New Roman" w:cs="Times New Roman"/>
          <w:sz w:val="24"/>
          <w:szCs w:val="24"/>
        </w:rPr>
        <w:t xml:space="preserve">uotojai yra nariai komanditoriai, t.y. atsako tik savo įnašais, o rizikos kapitalo valdymo įmonė – tikrasis narys, rizikuojantis </w:t>
      </w:r>
      <w:r w:rsidR="006B35FC" w:rsidRPr="00EC1AB2">
        <w:rPr>
          <w:rFonts w:ascii="Times New Roman" w:hAnsi="Times New Roman" w:cs="Times New Roman"/>
          <w:sz w:val="24"/>
          <w:szCs w:val="24"/>
        </w:rPr>
        <w:t xml:space="preserve">visu savo turtu. </w:t>
      </w:r>
      <w:r w:rsidR="00285AFE" w:rsidRPr="00EC1AB2">
        <w:rPr>
          <w:rFonts w:ascii="Times New Roman" w:hAnsi="Times New Roman" w:cs="Times New Roman"/>
          <w:sz w:val="24"/>
          <w:szCs w:val="24"/>
        </w:rPr>
        <w:t xml:space="preserve">Kaip teigia Gompers, Lerner (2004), </w:t>
      </w:r>
      <w:r w:rsidR="007915D7" w:rsidRPr="00EC1AB2">
        <w:rPr>
          <w:rFonts w:ascii="Times New Roman" w:hAnsi="Times New Roman" w:cs="Times New Roman"/>
          <w:sz w:val="24"/>
          <w:szCs w:val="24"/>
        </w:rPr>
        <w:t xml:space="preserve">dažniausiai narių komanditorių įnašai sudaro 99 % fondo kapitalo, kai tuo tarpu valdymo įmonei priklauso tik 1 % kapitalo. </w:t>
      </w:r>
      <w:r w:rsidRPr="00EC1AB2">
        <w:rPr>
          <w:rFonts w:ascii="Times New Roman" w:eastAsia="+mn-ea" w:hAnsi="Times New Roman" w:cs="Times New Roman"/>
          <w:sz w:val="24"/>
          <w:szCs w:val="24"/>
        </w:rPr>
        <w:t xml:space="preserve">Rizikos kapitalo </w:t>
      </w:r>
      <w:r w:rsidR="006B35FC" w:rsidRPr="00EC1AB2">
        <w:rPr>
          <w:rFonts w:ascii="Times New Roman" w:eastAsia="+mn-ea" w:hAnsi="Times New Roman" w:cs="Times New Roman"/>
          <w:color w:val="0D0D0D" w:themeColor="text1" w:themeTint="F2"/>
          <w:sz w:val="24"/>
          <w:szCs w:val="24"/>
        </w:rPr>
        <w:t xml:space="preserve">valdymo </w:t>
      </w:r>
      <w:r w:rsidRPr="00EC1AB2">
        <w:rPr>
          <w:rFonts w:ascii="Times New Roman" w:eastAsia="+mn-ea" w:hAnsi="Times New Roman" w:cs="Times New Roman"/>
          <w:color w:val="0D0D0D" w:themeColor="text1" w:themeTint="F2"/>
          <w:sz w:val="24"/>
          <w:szCs w:val="24"/>
        </w:rPr>
        <w:t>įmonės</w:t>
      </w:r>
      <w:r w:rsidR="007915D7" w:rsidRPr="00EC1AB2">
        <w:rPr>
          <w:rFonts w:ascii="Times New Roman" w:eastAsia="+mn-ea" w:hAnsi="Times New Roman" w:cs="Times New Roman"/>
          <w:color w:val="0D0D0D" w:themeColor="text1" w:themeTint="F2"/>
          <w:sz w:val="24"/>
          <w:szCs w:val="24"/>
        </w:rPr>
        <w:t xml:space="preserve"> įnašas yra daugiau ne </w:t>
      </w:r>
      <w:r w:rsidR="00C63329" w:rsidRPr="00EC1AB2">
        <w:rPr>
          <w:rFonts w:ascii="Times New Roman" w:eastAsia="+mn-ea" w:hAnsi="Times New Roman" w:cs="Times New Roman"/>
          <w:color w:val="0D0D0D" w:themeColor="text1" w:themeTint="F2"/>
          <w:sz w:val="24"/>
          <w:szCs w:val="24"/>
        </w:rPr>
        <w:t>finansinis kapitalas, o intelekt</w:t>
      </w:r>
      <w:r w:rsidR="007915D7" w:rsidRPr="00EC1AB2">
        <w:rPr>
          <w:rFonts w:ascii="Times New Roman" w:eastAsia="+mn-ea" w:hAnsi="Times New Roman" w:cs="Times New Roman"/>
          <w:color w:val="0D0D0D" w:themeColor="text1" w:themeTint="F2"/>
          <w:sz w:val="24"/>
          <w:szCs w:val="24"/>
        </w:rPr>
        <w:t xml:space="preserve">inis. Ji taip pat atlieka fondo valdymo funkcijas: </w:t>
      </w:r>
    </w:p>
    <w:p w:rsidR="007915D7" w:rsidRPr="00EC1AB2" w:rsidRDefault="00C63329" w:rsidP="007A02A8">
      <w:pPr>
        <w:pStyle w:val="ListParagraph"/>
        <w:numPr>
          <w:ilvl w:val="0"/>
          <w:numId w:val="28"/>
        </w:numPr>
        <w:spacing w:after="0" w:line="360" w:lineRule="auto"/>
        <w:jc w:val="both"/>
        <w:textAlignment w:val="baseline"/>
        <w:rPr>
          <w:rFonts w:ascii="Times New Roman" w:hAnsi="Times New Roman" w:cs="Times New Roman"/>
          <w:color w:val="0D0D0D" w:themeColor="text1" w:themeTint="F2"/>
          <w:sz w:val="24"/>
          <w:szCs w:val="24"/>
        </w:rPr>
      </w:pPr>
      <w:r w:rsidRPr="00EC1AB2">
        <w:rPr>
          <w:rFonts w:ascii="Times New Roman" w:hAnsi="Times New Roman" w:cs="Times New Roman"/>
          <w:color w:val="0D0D0D" w:themeColor="text1" w:themeTint="F2"/>
          <w:sz w:val="24"/>
          <w:szCs w:val="24"/>
        </w:rPr>
        <w:t>Suformuoja investavimo politiką;</w:t>
      </w:r>
      <w:r w:rsidR="007915D7" w:rsidRPr="00EC1AB2">
        <w:rPr>
          <w:rFonts w:ascii="Times New Roman" w:hAnsi="Times New Roman" w:cs="Times New Roman"/>
          <w:color w:val="0D0D0D" w:themeColor="text1" w:themeTint="F2"/>
          <w:sz w:val="24"/>
          <w:szCs w:val="24"/>
        </w:rPr>
        <w:t xml:space="preserve"> </w:t>
      </w:r>
    </w:p>
    <w:p w:rsidR="007915D7" w:rsidRPr="00EC1AB2" w:rsidRDefault="00A1234D" w:rsidP="007A02A8">
      <w:pPr>
        <w:pStyle w:val="ListParagraph"/>
        <w:numPr>
          <w:ilvl w:val="0"/>
          <w:numId w:val="28"/>
        </w:numPr>
        <w:spacing w:after="0" w:line="360" w:lineRule="auto"/>
        <w:jc w:val="both"/>
        <w:textAlignment w:val="baseline"/>
        <w:rPr>
          <w:rFonts w:ascii="Times New Roman" w:hAnsi="Times New Roman" w:cs="Times New Roman"/>
          <w:color w:val="0D0D0D" w:themeColor="text1" w:themeTint="F2"/>
          <w:sz w:val="24"/>
          <w:szCs w:val="24"/>
        </w:rPr>
      </w:pPr>
      <w:r w:rsidRPr="00EC1AB2">
        <w:rPr>
          <w:rFonts w:ascii="Times New Roman" w:hAnsi="Times New Roman" w:cs="Times New Roman"/>
          <w:color w:val="0D0D0D" w:themeColor="text1" w:themeTint="F2"/>
          <w:sz w:val="24"/>
          <w:szCs w:val="24"/>
        </w:rPr>
        <w:t>I</w:t>
      </w:r>
      <w:r w:rsidR="007915D7" w:rsidRPr="00EC1AB2">
        <w:rPr>
          <w:rFonts w:ascii="Times New Roman" w:hAnsi="Times New Roman" w:cs="Times New Roman"/>
          <w:color w:val="0D0D0D" w:themeColor="text1" w:themeTint="F2"/>
          <w:sz w:val="24"/>
          <w:szCs w:val="24"/>
        </w:rPr>
        <w:t>eško ir atrenka investavimo politiką ati</w:t>
      </w:r>
      <w:r w:rsidR="00837DED" w:rsidRPr="00EC1AB2">
        <w:rPr>
          <w:rFonts w:ascii="Times New Roman" w:hAnsi="Times New Roman" w:cs="Times New Roman"/>
          <w:color w:val="0D0D0D" w:themeColor="text1" w:themeTint="F2"/>
          <w:sz w:val="24"/>
          <w:szCs w:val="24"/>
        </w:rPr>
        <w:t>tinkančius projektus;</w:t>
      </w:r>
      <w:r w:rsidR="007915D7" w:rsidRPr="00EC1AB2">
        <w:rPr>
          <w:rFonts w:ascii="Times New Roman" w:hAnsi="Times New Roman" w:cs="Times New Roman"/>
          <w:color w:val="0D0D0D" w:themeColor="text1" w:themeTint="F2"/>
          <w:sz w:val="24"/>
          <w:szCs w:val="24"/>
        </w:rPr>
        <w:t xml:space="preserve"> </w:t>
      </w:r>
    </w:p>
    <w:p w:rsidR="007915D7" w:rsidRPr="00EC1AB2" w:rsidRDefault="00A1234D" w:rsidP="007A02A8">
      <w:pPr>
        <w:pStyle w:val="ListParagraph"/>
        <w:numPr>
          <w:ilvl w:val="0"/>
          <w:numId w:val="28"/>
        </w:numPr>
        <w:spacing w:after="0" w:line="360" w:lineRule="auto"/>
        <w:jc w:val="both"/>
        <w:textAlignment w:val="baseline"/>
        <w:rPr>
          <w:rFonts w:ascii="Times New Roman" w:hAnsi="Times New Roman" w:cs="Times New Roman"/>
          <w:color w:val="0D0D0D" w:themeColor="text1" w:themeTint="F2"/>
          <w:sz w:val="24"/>
          <w:szCs w:val="24"/>
        </w:rPr>
      </w:pPr>
      <w:r w:rsidRPr="00EC1AB2">
        <w:rPr>
          <w:rFonts w:ascii="Times New Roman" w:hAnsi="Times New Roman" w:cs="Times New Roman"/>
          <w:color w:val="0D0D0D" w:themeColor="text1" w:themeTint="F2"/>
          <w:sz w:val="24"/>
          <w:szCs w:val="24"/>
        </w:rPr>
        <w:t>P</w:t>
      </w:r>
      <w:r w:rsidR="007915D7" w:rsidRPr="00EC1AB2">
        <w:rPr>
          <w:rFonts w:ascii="Times New Roman" w:hAnsi="Times New Roman" w:cs="Times New Roman"/>
          <w:color w:val="0D0D0D" w:themeColor="text1" w:themeTint="F2"/>
          <w:sz w:val="24"/>
          <w:szCs w:val="24"/>
        </w:rPr>
        <w:t>erteikia savo patirtį, žinias, verslo kontak</w:t>
      </w:r>
      <w:r w:rsidR="00837DED" w:rsidRPr="00EC1AB2">
        <w:rPr>
          <w:rFonts w:ascii="Times New Roman" w:hAnsi="Times New Roman" w:cs="Times New Roman"/>
          <w:color w:val="0D0D0D" w:themeColor="text1" w:themeTint="F2"/>
          <w:sz w:val="24"/>
          <w:szCs w:val="24"/>
        </w:rPr>
        <w:t>tus įmonėms, į kurias investavo;</w:t>
      </w:r>
      <w:r w:rsidR="007915D7" w:rsidRPr="00EC1AB2">
        <w:rPr>
          <w:rFonts w:ascii="Times New Roman" w:hAnsi="Times New Roman" w:cs="Times New Roman"/>
          <w:color w:val="0D0D0D" w:themeColor="text1" w:themeTint="F2"/>
          <w:sz w:val="24"/>
          <w:szCs w:val="24"/>
        </w:rPr>
        <w:t xml:space="preserve"> </w:t>
      </w:r>
    </w:p>
    <w:p w:rsidR="007915D7" w:rsidRPr="00EC1AB2" w:rsidRDefault="00A1234D" w:rsidP="007A02A8">
      <w:pPr>
        <w:pStyle w:val="ListParagraph"/>
        <w:numPr>
          <w:ilvl w:val="0"/>
          <w:numId w:val="28"/>
        </w:numPr>
        <w:spacing w:after="0" w:line="360" w:lineRule="auto"/>
        <w:jc w:val="both"/>
        <w:textAlignment w:val="baseline"/>
        <w:rPr>
          <w:rFonts w:ascii="Times New Roman" w:hAnsi="Times New Roman" w:cs="Times New Roman"/>
          <w:color w:val="0D0D0D" w:themeColor="text1" w:themeTint="F2"/>
          <w:sz w:val="24"/>
          <w:szCs w:val="24"/>
        </w:rPr>
      </w:pPr>
      <w:r w:rsidRPr="00EC1AB2">
        <w:rPr>
          <w:rFonts w:ascii="Times New Roman" w:hAnsi="Times New Roman" w:cs="Times New Roman"/>
          <w:color w:val="0D0D0D" w:themeColor="text1" w:themeTint="F2"/>
          <w:sz w:val="24"/>
          <w:szCs w:val="24"/>
        </w:rPr>
        <w:t>A</w:t>
      </w:r>
      <w:r w:rsidR="007915D7" w:rsidRPr="00EC1AB2">
        <w:rPr>
          <w:rFonts w:ascii="Times New Roman" w:hAnsi="Times New Roman" w:cs="Times New Roman"/>
          <w:color w:val="0D0D0D" w:themeColor="text1" w:themeTint="F2"/>
          <w:sz w:val="24"/>
          <w:szCs w:val="24"/>
        </w:rPr>
        <w:t xml:space="preserve">tlieka investicijų monitoringą, priima sprendimus dėl pasitraukimo. </w:t>
      </w:r>
    </w:p>
    <w:p w:rsidR="007915D7" w:rsidRPr="00EC1AB2" w:rsidRDefault="007915D7"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color w:val="0D0D0D" w:themeColor="text1" w:themeTint="F2"/>
          <w:sz w:val="24"/>
          <w:szCs w:val="24"/>
        </w:rPr>
        <w:t xml:space="preserve">Vadovaujančiam partneriui </w:t>
      </w:r>
      <w:r w:rsidRPr="00EC1AB2">
        <w:rPr>
          <w:rFonts w:ascii="Times New Roman" w:hAnsi="Times New Roman" w:cs="Times New Roman"/>
          <w:sz w:val="24"/>
          <w:szCs w:val="24"/>
        </w:rPr>
        <w:t>sprendimus padeda priimti atskira i</w:t>
      </w:r>
      <w:r w:rsidR="008B114F" w:rsidRPr="00EC1AB2">
        <w:rPr>
          <w:rFonts w:ascii="Times New Roman" w:hAnsi="Times New Roman" w:cs="Times New Roman"/>
          <w:sz w:val="24"/>
          <w:szCs w:val="24"/>
        </w:rPr>
        <w:t>nvestavimo patarėjų įmonė</w:t>
      </w:r>
      <w:r w:rsidRPr="00EC1AB2">
        <w:rPr>
          <w:rFonts w:ascii="Times New Roman" w:hAnsi="Times New Roman" w:cs="Times New Roman"/>
          <w:sz w:val="24"/>
          <w:szCs w:val="24"/>
        </w:rPr>
        <w:t>, kuriose dirba asmenys, turintys specialių žinių investavimo objektų atrinkimo, investavimo vykdymo ir investicijų valdymo klausimais.</w:t>
      </w:r>
    </w:p>
    <w:p w:rsidR="007915D7" w:rsidRPr="00EC1AB2" w:rsidRDefault="007915D7" w:rsidP="007A02A8">
      <w:pPr>
        <w:spacing w:after="0" w:line="360" w:lineRule="auto"/>
        <w:ind w:firstLine="567"/>
        <w:jc w:val="both"/>
        <w:textAlignment w:val="baseline"/>
        <w:rPr>
          <w:rFonts w:ascii="Times New Roman" w:eastAsia="+mn-ea" w:hAnsi="Times New Roman" w:cs="Times New Roman"/>
          <w:sz w:val="24"/>
          <w:szCs w:val="24"/>
        </w:rPr>
      </w:pPr>
      <w:r w:rsidRPr="00EC1AB2">
        <w:rPr>
          <w:rFonts w:ascii="Times New Roman" w:eastAsia="+mn-ea" w:hAnsi="Times New Roman" w:cs="Times New Roman"/>
          <w:sz w:val="24"/>
          <w:szCs w:val="24"/>
        </w:rPr>
        <w:t>Skirstant uždirbtą pel</w:t>
      </w:r>
      <w:r w:rsidR="008B114F" w:rsidRPr="00EC1AB2">
        <w:rPr>
          <w:rFonts w:ascii="Times New Roman" w:eastAsia="+mn-ea" w:hAnsi="Times New Roman" w:cs="Times New Roman"/>
          <w:sz w:val="24"/>
          <w:szCs w:val="24"/>
        </w:rPr>
        <w:t>ną rizikos kapitalo valdymo įmonei</w:t>
      </w:r>
      <w:r w:rsidRPr="00EC1AB2">
        <w:rPr>
          <w:rFonts w:ascii="Times New Roman" w:eastAsia="+mn-ea" w:hAnsi="Times New Roman" w:cs="Times New Roman"/>
          <w:sz w:val="24"/>
          <w:szCs w:val="24"/>
        </w:rPr>
        <w:t xml:space="preserve"> atitenka apie 20 procentų visos RKF grąžos, t.y. neproporcingai jos finansiniam įnašui. Toks pelno skirstymas suteikia stiprią motyvaciją fondo valdytojui atlikti savo darbą kuo geriau. </w:t>
      </w:r>
    </w:p>
    <w:p w:rsidR="007915D7" w:rsidRPr="00EC1AB2" w:rsidRDefault="007915D7"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Investuotojai (nariai komanditoriai), nedalyvaujantys RKF valdyme moka metinį valdymo mokestį, kuris svyruoja apie 2,5 % fondo kapitalo. Anot Rimo (2010), valdymo moke</w:t>
      </w:r>
      <w:r w:rsidR="00847FFA" w:rsidRPr="00EC1AB2">
        <w:rPr>
          <w:rFonts w:ascii="Times New Roman" w:hAnsi="Times New Roman" w:cs="Times New Roman"/>
          <w:sz w:val="24"/>
          <w:szCs w:val="24"/>
        </w:rPr>
        <w:t>s</w:t>
      </w:r>
      <w:r w:rsidRPr="00EC1AB2">
        <w:rPr>
          <w:rFonts w:ascii="Times New Roman" w:hAnsi="Times New Roman" w:cs="Times New Roman"/>
          <w:sz w:val="24"/>
          <w:szCs w:val="24"/>
        </w:rPr>
        <w:t>tis – realios fondo valdytojo darbo sąnaudos, priklauso nuo šių veiksnių:</w:t>
      </w:r>
    </w:p>
    <w:p w:rsidR="007915D7" w:rsidRPr="00EC1AB2" w:rsidRDefault="00837DED" w:rsidP="007A02A8">
      <w:pPr>
        <w:autoSpaceDE w:val="0"/>
        <w:autoSpaceDN w:val="0"/>
        <w:adjustRightInd w:val="0"/>
        <w:spacing w:after="0" w:line="360" w:lineRule="auto"/>
        <w:ind w:left="567"/>
        <w:jc w:val="both"/>
        <w:rPr>
          <w:rFonts w:ascii="Times New Roman" w:hAnsi="Times New Roman" w:cs="Times New Roman"/>
          <w:sz w:val="24"/>
          <w:szCs w:val="24"/>
        </w:rPr>
      </w:pPr>
      <w:r w:rsidRPr="00EC1AB2">
        <w:rPr>
          <w:rFonts w:ascii="Times New Roman" w:hAnsi="Times New Roman" w:cs="Times New Roman"/>
          <w:sz w:val="24"/>
          <w:szCs w:val="24"/>
        </w:rPr>
        <w:t>1. F</w:t>
      </w:r>
      <w:r w:rsidR="007915D7" w:rsidRPr="00EC1AB2">
        <w:rPr>
          <w:rFonts w:ascii="Times New Roman" w:hAnsi="Times New Roman" w:cs="Times New Roman"/>
          <w:sz w:val="24"/>
          <w:szCs w:val="24"/>
        </w:rPr>
        <w:t>ondo dydžio (dažniausiai, kuo didesnis fondas, tuo valdymo mokesčio procentinė išraiška mažesnė);</w:t>
      </w:r>
    </w:p>
    <w:p w:rsidR="007915D7" w:rsidRPr="00EC1AB2" w:rsidRDefault="00837DED" w:rsidP="007A02A8">
      <w:pPr>
        <w:autoSpaceDE w:val="0"/>
        <w:autoSpaceDN w:val="0"/>
        <w:adjustRightInd w:val="0"/>
        <w:spacing w:after="0" w:line="360" w:lineRule="auto"/>
        <w:ind w:left="567"/>
        <w:jc w:val="both"/>
        <w:rPr>
          <w:rFonts w:ascii="Times New Roman" w:hAnsi="Times New Roman" w:cs="Times New Roman"/>
          <w:sz w:val="24"/>
          <w:szCs w:val="24"/>
        </w:rPr>
      </w:pPr>
      <w:r w:rsidRPr="00EC1AB2">
        <w:rPr>
          <w:rFonts w:ascii="Times New Roman" w:hAnsi="Times New Roman" w:cs="Times New Roman"/>
          <w:sz w:val="24"/>
          <w:szCs w:val="24"/>
        </w:rPr>
        <w:t>2. I</w:t>
      </w:r>
      <w:r w:rsidR="007915D7" w:rsidRPr="00EC1AB2">
        <w:rPr>
          <w:rFonts w:ascii="Times New Roman" w:hAnsi="Times New Roman" w:cs="Times New Roman"/>
          <w:sz w:val="24"/>
          <w:szCs w:val="24"/>
        </w:rPr>
        <w:t>nvestavimo strategijos (kuo didesnis bendrovių, į kurias investuojama, skaičius ir kuo didesnės darbo sąnaudos, tuo šis mokestis didesnis. Pavyzdžiui, rizikos kapitalo valdymas prižiūrint veiklą pradedančią bendrovę gali pareikalauti didelių darbo sąnaudų).</w:t>
      </w:r>
    </w:p>
    <w:p w:rsidR="007915D7" w:rsidRPr="00EC1AB2" w:rsidRDefault="007915D7"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Pasak Compers, Lerner (2001), išskiriamos</w:t>
      </w:r>
      <w:r w:rsidR="00B17956" w:rsidRPr="00EC1AB2">
        <w:rPr>
          <w:rFonts w:ascii="Times New Roman" w:hAnsi="Times New Roman" w:cs="Times New Roman"/>
          <w:sz w:val="24"/>
          <w:szCs w:val="24"/>
        </w:rPr>
        <w:t xml:space="preserve"> keturios RKF</w:t>
      </w:r>
      <w:r w:rsidRPr="00EC1AB2">
        <w:rPr>
          <w:rFonts w:ascii="Times New Roman" w:hAnsi="Times New Roman" w:cs="Times New Roman"/>
          <w:sz w:val="24"/>
          <w:szCs w:val="24"/>
        </w:rPr>
        <w:t xml:space="preserve"> gyvavimo stadijos. Fondo veikla dažniausiai trunka dešimtmetį. P</w:t>
      </w:r>
      <w:r w:rsidR="00837DED" w:rsidRPr="00EC1AB2">
        <w:rPr>
          <w:rFonts w:ascii="Times New Roman" w:hAnsi="Times New Roman" w:cs="Times New Roman"/>
          <w:sz w:val="24"/>
          <w:szCs w:val="24"/>
        </w:rPr>
        <w:t>irmame etape</w:t>
      </w:r>
      <w:r w:rsidR="00B17956" w:rsidRPr="00EC1AB2">
        <w:rPr>
          <w:rFonts w:ascii="Times New Roman" w:hAnsi="Times New Roman" w:cs="Times New Roman"/>
          <w:sz w:val="24"/>
          <w:szCs w:val="24"/>
        </w:rPr>
        <w:t xml:space="preserve"> pagrindinis rizikos kapitalo valdymo įmonės</w:t>
      </w:r>
      <w:r w:rsidRPr="00EC1AB2">
        <w:rPr>
          <w:rFonts w:ascii="Times New Roman" w:hAnsi="Times New Roman" w:cs="Times New Roman"/>
          <w:sz w:val="24"/>
          <w:szCs w:val="24"/>
        </w:rPr>
        <w:t xml:space="preserve"> tikslas yra lėšų į fondą pritraukimas, kitaip sakant investuotojų paieška. Šis etapas trunka nuo pusės iki vienerių metų. Suformavus fondo kapitalą ieškoma investicijų objektų ir finansuojamos įmonės, ši fondo veikla trunka nuo trijų iki šešerių me</w:t>
      </w:r>
      <w:r w:rsidR="00B17956" w:rsidRPr="00EC1AB2">
        <w:rPr>
          <w:rFonts w:ascii="Times New Roman" w:hAnsi="Times New Roman" w:cs="Times New Roman"/>
          <w:sz w:val="24"/>
          <w:szCs w:val="24"/>
        </w:rPr>
        <w:t xml:space="preserve">tų. Kitas žingsnis yra  </w:t>
      </w:r>
      <w:r w:rsidRPr="00EC1AB2">
        <w:rPr>
          <w:rFonts w:ascii="Times New Roman" w:hAnsi="Times New Roman" w:cs="Times New Roman"/>
          <w:sz w:val="24"/>
          <w:szCs w:val="24"/>
        </w:rPr>
        <w:t xml:space="preserve">portfelio įmonės </w:t>
      </w:r>
      <w:r w:rsidR="00B17956" w:rsidRPr="00EC1AB2">
        <w:rPr>
          <w:rFonts w:ascii="Times New Roman" w:hAnsi="Times New Roman" w:cs="Times New Roman"/>
          <w:sz w:val="24"/>
          <w:szCs w:val="24"/>
        </w:rPr>
        <w:t>augimo siekimas.</w:t>
      </w:r>
      <w:r w:rsidRPr="00EC1AB2">
        <w:rPr>
          <w:rFonts w:ascii="Times New Roman" w:hAnsi="Times New Roman" w:cs="Times New Roman"/>
          <w:sz w:val="24"/>
          <w:szCs w:val="24"/>
        </w:rPr>
        <w:t xml:space="preserve"> P</w:t>
      </w:r>
      <w:r w:rsidR="00D3575A" w:rsidRPr="00EC1AB2">
        <w:rPr>
          <w:rFonts w:ascii="Times New Roman" w:hAnsi="Times New Roman" w:cs="Times New Roman"/>
          <w:sz w:val="24"/>
          <w:szCs w:val="24"/>
        </w:rPr>
        <w:t>askutinis RKF</w:t>
      </w:r>
      <w:r w:rsidRPr="00EC1AB2">
        <w:rPr>
          <w:rFonts w:ascii="Times New Roman" w:hAnsi="Times New Roman" w:cs="Times New Roman"/>
          <w:sz w:val="24"/>
          <w:szCs w:val="24"/>
        </w:rPr>
        <w:t xml:space="preserve"> veiklos etapas yra fondo uždarymas. Šiuo laikotarpiu likviduojamos visos fondo turėtos investicijos, tai padarom vienu iš šių būdų: investicijų pardavimu trečiosioms šalims, kitiems įmonės akcininkams arba įmonės turimų akcijų parda</w:t>
      </w:r>
      <w:r w:rsidR="007D7BA3" w:rsidRPr="00EC1AB2">
        <w:rPr>
          <w:rFonts w:ascii="Times New Roman" w:hAnsi="Times New Roman" w:cs="Times New Roman"/>
          <w:sz w:val="24"/>
          <w:szCs w:val="24"/>
        </w:rPr>
        <w:t>vimu per IPO</w:t>
      </w:r>
      <w:r w:rsidRPr="00EC1AB2">
        <w:rPr>
          <w:rFonts w:ascii="Times New Roman" w:hAnsi="Times New Roman" w:cs="Times New Roman"/>
          <w:sz w:val="24"/>
          <w:szCs w:val="24"/>
        </w:rPr>
        <w:t xml:space="preserve">. Paminėtina, kad pastarasis būdas pelningiausias. </w:t>
      </w:r>
    </w:p>
    <w:p w:rsidR="007915D7" w:rsidRPr="00EC1AB2" w:rsidRDefault="007915D7"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lastRenderedPageBreak/>
        <w:t>Apibendrinant galima išskirti šiuos esminius RKF veiklos bruožus:</w:t>
      </w:r>
    </w:p>
    <w:p w:rsidR="007915D7" w:rsidRPr="00EC1AB2" w:rsidRDefault="007915D7" w:rsidP="007A02A8">
      <w:pPr>
        <w:pStyle w:val="ListParagraph"/>
        <w:numPr>
          <w:ilvl w:val="0"/>
          <w:numId w:val="29"/>
        </w:numPr>
        <w:spacing w:after="0" w:line="360" w:lineRule="auto"/>
        <w:jc w:val="both"/>
        <w:rPr>
          <w:rFonts w:ascii="Times New Roman" w:hAnsi="Times New Roman" w:cs="Times New Roman"/>
          <w:sz w:val="24"/>
          <w:szCs w:val="24"/>
        </w:rPr>
      </w:pPr>
      <w:r w:rsidRPr="00EC1AB2">
        <w:rPr>
          <w:rFonts w:ascii="Times New Roman" w:hAnsi="Times New Roman" w:cs="Times New Roman"/>
          <w:sz w:val="24"/>
          <w:szCs w:val="24"/>
        </w:rPr>
        <w:t>Dažnia</w:t>
      </w:r>
      <w:r w:rsidR="00C5078D" w:rsidRPr="00EC1AB2">
        <w:rPr>
          <w:rFonts w:ascii="Times New Roman" w:hAnsi="Times New Roman" w:cs="Times New Roman"/>
          <w:sz w:val="24"/>
          <w:szCs w:val="24"/>
        </w:rPr>
        <w:t>usiai RKF yra komanditinė ūkinė</w:t>
      </w:r>
      <w:r w:rsidRPr="00EC1AB2">
        <w:rPr>
          <w:rFonts w:ascii="Times New Roman" w:hAnsi="Times New Roman" w:cs="Times New Roman"/>
          <w:sz w:val="24"/>
          <w:szCs w:val="24"/>
        </w:rPr>
        <w:t xml:space="preserve"> bendrija, kurią sudaro tikrasis narys – valdymo įmonė ir ribotos atsakomybės nariai, kurie valdyme nedalyvauja;</w:t>
      </w:r>
    </w:p>
    <w:p w:rsidR="007915D7" w:rsidRPr="00EC1AB2" w:rsidRDefault="007915D7" w:rsidP="007A02A8">
      <w:pPr>
        <w:pStyle w:val="ListParagraph"/>
        <w:numPr>
          <w:ilvl w:val="0"/>
          <w:numId w:val="29"/>
        </w:numPr>
        <w:spacing w:after="0" w:line="360" w:lineRule="auto"/>
        <w:jc w:val="both"/>
        <w:rPr>
          <w:rFonts w:ascii="Times New Roman" w:hAnsi="Times New Roman" w:cs="Times New Roman"/>
          <w:sz w:val="24"/>
          <w:szCs w:val="24"/>
        </w:rPr>
      </w:pPr>
      <w:r w:rsidRPr="00EC1AB2">
        <w:rPr>
          <w:rFonts w:ascii="Times New Roman" w:hAnsi="Times New Roman" w:cs="Times New Roman"/>
          <w:sz w:val="24"/>
          <w:szCs w:val="24"/>
        </w:rPr>
        <w:t>Paprastai fiksuojamas tiek fondo terminas, tiek dydis;</w:t>
      </w:r>
    </w:p>
    <w:p w:rsidR="007915D7" w:rsidRPr="00EC1AB2" w:rsidRDefault="007915D7" w:rsidP="007A02A8">
      <w:pPr>
        <w:pStyle w:val="ListParagraph"/>
        <w:numPr>
          <w:ilvl w:val="0"/>
          <w:numId w:val="29"/>
        </w:numPr>
        <w:spacing w:after="0" w:line="360" w:lineRule="auto"/>
        <w:jc w:val="both"/>
        <w:rPr>
          <w:rFonts w:ascii="Times New Roman" w:hAnsi="Times New Roman" w:cs="Times New Roman"/>
          <w:sz w:val="24"/>
          <w:szCs w:val="24"/>
        </w:rPr>
      </w:pPr>
      <w:r w:rsidRPr="00EC1AB2">
        <w:rPr>
          <w:rFonts w:ascii="Times New Roman" w:hAnsi="Times New Roman" w:cs="Times New Roman"/>
          <w:sz w:val="24"/>
          <w:szCs w:val="24"/>
        </w:rPr>
        <w:t>Narių komanditorių investicija į fondą palyginus nelikvidi, nes ribojamas jos išpirkimas ar perleidimas investavimo laikotarpiu ar iki visos investicijos realizuojamos;</w:t>
      </w:r>
    </w:p>
    <w:p w:rsidR="007915D7" w:rsidRPr="00EC1AB2" w:rsidRDefault="007915D7" w:rsidP="007A02A8">
      <w:pPr>
        <w:pStyle w:val="ListParagraph"/>
        <w:numPr>
          <w:ilvl w:val="0"/>
          <w:numId w:val="29"/>
        </w:numPr>
        <w:spacing w:after="0" w:line="360" w:lineRule="auto"/>
        <w:jc w:val="both"/>
        <w:rPr>
          <w:rFonts w:ascii="Times New Roman" w:hAnsi="Times New Roman" w:cs="Times New Roman"/>
          <w:sz w:val="24"/>
          <w:szCs w:val="24"/>
        </w:rPr>
      </w:pPr>
      <w:r w:rsidRPr="00EC1AB2">
        <w:rPr>
          <w:rFonts w:ascii="Times New Roman" w:hAnsi="Times New Roman" w:cs="Times New Roman"/>
          <w:sz w:val="24"/>
          <w:szCs w:val="24"/>
        </w:rPr>
        <w:t>Tiek valdymo įmonė, tiek nariai koma</w:t>
      </w:r>
      <w:r w:rsidR="00C5078D" w:rsidRPr="00EC1AB2">
        <w:rPr>
          <w:rFonts w:ascii="Times New Roman" w:hAnsi="Times New Roman" w:cs="Times New Roman"/>
          <w:sz w:val="24"/>
          <w:szCs w:val="24"/>
        </w:rPr>
        <w:t>n</w:t>
      </w:r>
      <w:r w:rsidRPr="00EC1AB2">
        <w:rPr>
          <w:rFonts w:ascii="Times New Roman" w:hAnsi="Times New Roman" w:cs="Times New Roman"/>
          <w:sz w:val="24"/>
          <w:szCs w:val="24"/>
        </w:rPr>
        <w:t>ditoriai, investuodami į fondą, siekia išskirtinai didelės grąžos.</w:t>
      </w:r>
    </w:p>
    <w:p w:rsidR="007915D7" w:rsidRPr="00EC1AB2" w:rsidRDefault="007915D7" w:rsidP="007A02A8">
      <w:pPr>
        <w:spacing w:after="0" w:line="360" w:lineRule="auto"/>
        <w:ind w:firstLine="720"/>
        <w:jc w:val="both"/>
        <w:rPr>
          <w:rFonts w:ascii="Times New Roman" w:hAnsi="Times New Roman" w:cs="Times New Roman"/>
          <w:sz w:val="24"/>
          <w:szCs w:val="24"/>
        </w:rPr>
      </w:pPr>
      <w:r w:rsidRPr="00EC1AB2">
        <w:rPr>
          <w:rFonts w:ascii="Times New Roman" w:hAnsi="Times New Roman" w:cs="Times New Roman"/>
          <w:sz w:val="24"/>
          <w:szCs w:val="24"/>
        </w:rPr>
        <w:t>Privataus kapitalo rinka nacionaliniais teisės aktais reglamentu</w:t>
      </w:r>
      <w:r w:rsidR="001C3BFA" w:rsidRPr="00EC1AB2">
        <w:rPr>
          <w:rFonts w:ascii="Times New Roman" w:hAnsi="Times New Roman" w:cs="Times New Roman"/>
          <w:sz w:val="24"/>
          <w:szCs w:val="24"/>
        </w:rPr>
        <w:t>ojama daugelyje ES</w:t>
      </w:r>
      <w:r w:rsidRPr="00EC1AB2">
        <w:rPr>
          <w:rFonts w:ascii="Times New Roman" w:hAnsi="Times New Roman" w:cs="Times New Roman"/>
          <w:sz w:val="24"/>
          <w:szCs w:val="24"/>
        </w:rPr>
        <w:t xml:space="preserve"> šalių, tačiau </w:t>
      </w:r>
      <w:r w:rsidR="00761E80" w:rsidRPr="00EC1AB2">
        <w:rPr>
          <w:rFonts w:ascii="Times New Roman" w:hAnsi="Times New Roman" w:cs="Times New Roman"/>
          <w:sz w:val="24"/>
          <w:szCs w:val="24"/>
        </w:rPr>
        <w:t>iki 2011</w:t>
      </w:r>
      <w:r w:rsidR="00D54F63" w:rsidRPr="00EC1AB2">
        <w:rPr>
          <w:rFonts w:ascii="Times New Roman" w:hAnsi="Times New Roman" w:cs="Times New Roman"/>
          <w:sz w:val="24"/>
          <w:szCs w:val="24"/>
        </w:rPr>
        <w:t xml:space="preserve"> m. vidurio, kuomet buvo priimta </w:t>
      </w:r>
      <w:r w:rsidR="002E643E" w:rsidRPr="00EC1AB2">
        <w:rPr>
          <w:rFonts w:ascii="Times New Roman" w:hAnsi="Times New Roman" w:cs="Times New Roman"/>
          <w:bCs/>
          <w:sz w:val="24"/>
          <w:szCs w:val="24"/>
        </w:rPr>
        <w:t>Alternatyvaus investavimo fondų valdytojų (AIFV)</w:t>
      </w:r>
      <w:r w:rsidR="002E643E" w:rsidRPr="00EC1AB2">
        <w:rPr>
          <w:bCs/>
        </w:rPr>
        <w:t xml:space="preserve"> </w:t>
      </w:r>
      <w:r w:rsidR="002E643E" w:rsidRPr="00EC1AB2">
        <w:rPr>
          <w:rFonts w:ascii="Times New Roman" w:hAnsi="Times New Roman" w:cs="Times New Roman"/>
          <w:sz w:val="24"/>
          <w:szCs w:val="24"/>
        </w:rPr>
        <w:t xml:space="preserve"> direktyva,</w:t>
      </w:r>
      <w:r w:rsidR="00D54F63" w:rsidRPr="00EC1AB2">
        <w:rPr>
          <w:rFonts w:ascii="Times New Roman" w:hAnsi="Times New Roman" w:cs="Times New Roman"/>
          <w:sz w:val="24"/>
          <w:szCs w:val="24"/>
        </w:rPr>
        <w:t xml:space="preserve"> nebuvo</w:t>
      </w:r>
      <w:r w:rsidRPr="00EC1AB2">
        <w:rPr>
          <w:rFonts w:ascii="Times New Roman" w:hAnsi="Times New Roman" w:cs="Times New Roman"/>
          <w:sz w:val="24"/>
          <w:szCs w:val="24"/>
        </w:rPr>
        <w:t xml:space="preserve"> harm</w:t>
      </w:r>
      <w:r w:rsidR="001C3BFA" w:rsidRPr="00EC1AB2">
        <w:rPr>
          <w:rFonts w:ascii="Times New Roman" w:hAnsi="Times New Roman" w:cs="Times New Roman"/>
          <w:sz w:val="24"/>
          <w:szCs w:val="24"/>
        </w:rPr>
        <w:t>onizuotos bazės ES</w:t>
      </w:r>
      <w:r w:rsidR="002E643E" w:rsidRPr="00EC1AB2">
        <w:rPr>
          <w:rFonts w:ascii="Times New Roman" w:hAnsi="Times New Roman" w:cs="Times New Roman"/>
          <w:sz w:val="24"/>
          <w:szCs w:val="24"/>
        </w:rPr>
        <w:t xml:space="preserve"> lygiu ir buvo taikomos </w:t>
      </w:r>
      <w:r w:rsidRPr="00EC1AB2">
        <w:rPr>
          <w:rFonts w:ascii="Times New Roman" w:hAnsi="Times New Roman" w:cs="Times New Roman"/>
          <w:sz w:val="24"/>
          <w:szCs w:val="24"/>
        </w:rPr>
        <w:t>kelios tei</w:t>
      </w:r>
      <w:r w:rsidR="002E643E" w:rsidRPr="00EC1AB2">
        <w:rPr>
          <w:rFonts w:ascii="Times New Roman" w:hAnsi="Times New Roman" w:cs="Times New Roman"/>
          <w:sz w:val="24"/>
          <w:szCs w:val="24"/>
        </w:rPr>
        <w:t xml:space="preserve">sinės priemonės, kurios </w:t>
      </w:r>
      <w:r w:rsidR="00761E80" w:rsidRPr="00EC1AB2">
        <w:rPr>
          <w:rFonts w:ascii="Times New Roman" w:hAnsi="Times New Roman" w:cs="Times New Roman"/>
          <w:sz w:val="24"/>
          <w:szCs w:val="24"/>
        </w:rPr>
        <w:t>netiesiogiai veikė</w:t>
      </w:r>
      <w:r w:rsidRPr="00EC1AB2">
        <w:rPr>
          <w:rFonts w:ascii="Times New Roman" w:hAnsi="Times New Roman" w:cs="Times New Roman"/>
          <w:sz w:val="24"/>
          <w:szCs w:val="24"/>
        </w:rPr>
        <w:t xml:space="preserve"> šią rinką, tačia</w:t>
      </w:r>
      <w:r w:rsidR="002E643E" w:rsidRPr="00EC1AB2">
        <w:rPr>
          <w:rFonts w:ascii="Times New Roman" w:hAnsi="Times New Roman" w:cs="Times New Roman"/>
          <w:sz w:val="24"/>
          <w:szCs w:val="24"/>
        </w:rPr>
        <w:t>u galiojo</w:t>
      </w:r>
      <w:r w:rsidR="00D20AE5" w:rsidRPr="00EC1AB2">
        <w:rPr>
          <w:rFonts w:ascii="Times New Roman" w:hAnsi="Times New Roman" w:cs="Times New Roman"/>
          <w:sz w:val="24"/>
          <w:szCs w:val="24"/>
        </w:rPr>
        <w:t xml:space="preserve"> visos ES</w:t>
      </w:r>
      <w:r w:rsidRPr="00EC1AB2">
        <w:rPr>
          <w:rFonts w:ascii="Times New Roman" w:hAnsi="Times New Roman" w:cs="Times New Roman"/>
          <w:sz w:val="24"/>
          <w:szCs w:val="24"/>
        </w:rPr>
        <w:t xml:space="preserve"> mastu, t.y. </w:t>
      </w:r>
      <w:r w:rsidRPr="00EC1AB2">
        <w:rPr>
          <w:rStyle w:val="Strong"/>
          <w:rFonts w:ascii="Times New Roman" w:hAnsi="Times New Roman" w:cs="Times New Roman"/>
          <w:b w:val="0"/>
          <w:sz w:val="24"/>
          <w:szCs w:val="24"/>
        </w:rPr>
        <w:t>Finansinių priemonių rinkų direktyva (MiFiD),</w:t>
      </w:r>
      <w:r w:rsidRPr="00EC1AB2">
        <w:rPr>
          <w:rStyle w:val="Strong"/>
          <w:rFonts w:ascii="Times New Roman" w:hAnsi="Times New Roman" w:cs="Times New Roman"/>
          <w:sz w:val="24"/>
          <w:szCs w:val="24"/>
        </w:rPr>
        <w:t xml:space="preserve"> </w:t>
      </w:r>
      <w:r w:rsidRPr="00EC1AB2">
        <w:rPr>
          <w:rFonts w:ascii="Times New Roman" w:hAnsi="Times New Roman" w:cs="Times New Roman"/>
          <w:sz w:val="24"/>
          <w:szCs w:val="24"/>
        </w:rPr>
        <w:t>Kolektyvinio investavimo į perleidžiamuosius vertybinius popierius subjektų direktyva (UCITS), Pensijų fondų direktyva bei Kapitalo reikal</w:t>
      </w:r>
      <w:r w:rsidR="000728C1" w:rsidRPr="00EC1AB2">
        <w:rPr>
          <w:rFonts w:ascii="Times New Roman" w:hAnsi="Times New Roman" w:cs="Times New Roman"/>
          <w:sz w:val="24"/>
          <w:szCs w:val="24"/>
        </w:rPr>
        <w:t>a</w:t>
      </w:r>
      <w:r w:rsidRPr="00EC1AB2">
        <w:rPr>
          <w:rFonts w:ascii="Times New Roman" w:hAnsi="Times New Roman" w:cs="Times New Roman"/>
          <w:sz w:val="24"/>
          <w:szCs w:val="24"/>
        </w:rPr>
        <w:t xml:space="preserve">vimų direktyva. </w:t>
      </w:r>
    </w:p>
    <w:p w:rsidR="007915D7" w:rsidRPr="00EC1AB2" w:rsidRDefault="007915D7"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Investicinių fondų ir jų valdytojų veiklą Lietuvos Respublikoje nuo 2003 m. reglamentuoja Kolektyvinio investavimo subjektų įstatymas (Žin., 2003, Nr. 74-3424 </w:t>
      </w:r>
      <w:bookmarkStart w:id="57" w:name="html"/>
      <w:r w:rsidRPr="00EC1AB2">
        <w:rPr>
          <w:rFonts w:ascii="Times New Roman" w:hAnsi="Times New Roman" w:cs="Times New Roman"/>
          <w:sz w:val="24"/>
          <w:szCs w:val="24"/>
        </w:rPr>
        <w:t xml:space="preserve">) </w:t>
      </w:r>
      <w:bookmarkEnd w:id="57"/>
      <w:r w:rsidRPr="00EC1AB2">
        <w:rPr>
          <w:rFonts w:ascii="Times New Roman" w:hAnsi="Times New Roman" w:cs="Times New Roman"/>
          <w:sz w:val="24"/>
          <w:szCs w:val="24"/>
        </w:rPr>
        <w:t xml:space="preserve">(toliau – KISĮ). Specialiuosius kolektyvinio investavimo subjektus (toliau – SKIS) (privataus kapitalo, alternatyviuosius, nekilnojamojo turto ir kitus specialiuosius KIS) Lietuvoje imta reglamentuoti nuo 2007 m., atlikus KISĮ pakeitimus. Nežiūrint į tai, Lietuvoje šiai dienai įsteigti tik keli privataus kapitalo ir alternatyvaus investavimo KIS, o dauguma užsiimančių šia veikla rinkos profesionalų ieškosi palankesnių sąlygų kaimyninėse šalyse (Estijoje, Švedijoje, Suomijoje) ar kitose ES valstybėse narėse (Liuksemburge, Olandijoje ir kt.). </w:t>
      </w:r>
    </w:p>
    <w:p w:rsidR="007915D7" w:rsidRPr="00EC1AB2" w:rsidRDefault="007915D7"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KISĮ pakeitimo ir papildymo projekto aiškinamajame rašte, po konsultacijų su rinkos profesionalais bei atlikus SKIS teisinės bazės analizę prieita išvada, kad vienomis iš svarbiausių nepakankamo speci</w:t>
      </w:r>
      <w:r w:rsidR="005D506A" w:rsidRPr="00EC1AB2">
        <w:rPr>
          <w:rFonts w:ascii="Times New Roman" w:hAnsi="Times New Roman" w:cs="Times New Roman"/>
          <w:sz w:val="24"/>
          <w:szCs w:val="24"/>
        </w:rPr>
        <w:t>aliųjų KIS steigimosi</w:t>
      </w:r>
      <w:r w:rsidRPr="00EC1AB2">
        <w:rPr>
          <w:rFonts w:ascii="Times New Roman" w:hAnsi="Times New Roman" w:cs="Times New Roman"/>
          <w:sz w:val="24"/>
          <w:szCs w:val="24"/>
        </w:rPr>
        <w:t xml:space="preserve"> Lietuvoje priežasčių laikytinos: </w:t>
      </w:r>
    </w:p>
    <w:p w:rsidR="007915D7" w:rsidRPr="00EC1AB2" w:rsidRDefault="00837DED" w:rsidP="007A02A8">
      <w:pPr>
        <w:pStyle w:val="NormalWeb"/>
        <w:numPr>
          <w:ilvl w:val="0"/>
          <w:numId w:val="30"/>
        </w:numPr>
        <w:shd w:val="clear" w:color="auto" w:fill="FFFFFF" w:themeFill="background1"/>
        <w:spacing w:line="360" w:lineRule="auto"/>
        <w:jc w:val="both"/>
      </w:pPr>
      <w:r w:rsidRPr="00EC1AB2">
        <w:rPr>
          <w:shd w:val="clear" w:color="auto" w:fill="FFFFFF" w:themeFill="background1"/>
        </w:rPr>
        <w:t>Ū</w:t>
      </w:r>
      <w:r w:rsidR="007915D7" w:rsidRPr="00EC1AB2">
        <w:rPr>
          <w:shd w:val="clear" w:color="auto" w:fill="FFFFFF" w:themeFill="background1"/>
        </w:rPr>
        <w:t>kinių bendrijų veiklą reglamentuojančios teisinės bazės netinkamumas investicinei veiklai ir neatitikimas įprastai tarptautinei praktikai</w:t>
      </w:r>
      <w:r w:rsidR="007915D7" w:rsidRPr="00EC1AB2">
        <w:t>;</w:t>
      </w:r>
    </w:p>
    <w:p w:rsidR="007915D7" w:rsidRPr="00EC1AB2" w:rsidRDefault="00837DED" w:rsidP="007A02A8">
      <w:pPr>
        <w:pStyle w:val="NormalWeb"/>
        <w:numPr>
          <w:ilvl w:val="0"/>
          <w:numId w:val="30"/>
        </w:numPr>
        <w:shd w:val="clear" w:color="auto" w:fill="FFFFFF" w:themeFill="background1"/>
        <w:spacing w:line="360" w:lineRule="auto"/>
        <w:jc w:val="both"/>
      </w:pPr>
      <w:r w:rsidRPr="00EC1AB2">
        <w:t>P</w:t>
      </w:r>
      <w:r w:rsidR="007915D7" w:rsidRPr="00EC1AB2">
        <w:t xml:space="preserve">asaulinės praktikos neatitinkanti </w:t>
      </w:r>
      <w:r w:rsidR="007915D7" w:rsidRPr="00EC1AB2">
        <w:rPr>
          <w:i/>
          <w:iCs/>
        </w:rPr>
        <w:t xml:space="preserve">profesionaliesiems investuotojams </w:t>
      </w:r>
      <w:r w:rsidR="007915D7" w:rsidRPr="00EC1AB2">
        <w:t>skirtų SKIS (ypač privataus ir rizikos kapitalo) teisinė bazė.</w:t>
      </w:r>
    </w:p>
    <w:p w:rsidR="007915D7" w:rsidRPr="00EC1AB2" w:rsidRDefault="005D506A" w:rsidP="007A02A8">
      <w:pPr>
        <w:pStyle w:val="NormalWeb"/>
        <w:spacing w:line="360" w:lineRule="auto"/>
        <w:ind w:firstLine="567"/>
        <w:jc w:val="both"/>
      </w:pPr>
      <w:r w:rsidRPr="00EC1AB2">
        <w:t xml:space="preserve">Taip pat aiškinamajame rašte teigiama, kad </w:t>
      </w:r>
      <w:r w:rsidR="00A674D2" w:rsidRPr="00EC1AB2">
        <w:t>š</w:t>
      </w:r>
      <w:r w:rsidR="007915D7" w:rsidRPr="00EC1AB2">
        <w:t xml:space="preserve">iuo metu galiojančio KISĮ nuostatos reglamentuoja tik tų SKIS veiklą, kurių investiciniai vienetai ar akcijos Lietuvos Respublikoje siūlomi viešai, o tai reiškia, jog  neviešai savo investicinius vienetus ar akcijas siūlantys SKIS apskritai neturi galimybės licencijuotis ir veikti pagal minėtąjį įstatymą bei įgyti prižiūrimo KIS statusą, kuris neretai yra reikalingas potencialių institucinių investuotojų pritraukimui. Tokie SKIS gali veikti tik vadovaudamiesi bendrosiomis bendrovių teisės nuostatomis, dažnai negalinčiomis patenkinti </w:t>
      </w:r>
      <w:r w:rsidR="007915D7" w:rsidRPr="00EC1AB2">
        <w:lastRenderedPageBreak/>
        <w:t>profesionaliesiems investuotojams skirtų SKIS valdytojų bei investuotojų specifinius interesus (akcijų išleidimas, jų apmokėjimas, įstatinio kapitalo didinimas, pelno/nuostolio paskirstymas ir pan.). Taip pat  šiuo metu tik profesionaliesiems investuotojams skirtų SKIS veiklą reglamentuoja KISĮ, kuriuo iš esmės siekiama užtikrinti aukštą, visų pirma, neprofesionaliųjų investuotojų interesų apsaugos lygį. Tuo tarpu profesionaliesiems investuotojams skirtiems SKIS KISĮ numato tik fragmentiškas išimtis, kurios neužtikrina pasaulyje įprasto šios veiklos teisinio reguliavimo ir praktikos, todėl yra nepakankamos.</w:t>
      </w:r>
    </w:p>
    <w:p w:rsidR="007915D7" w:rsidRPr="00EC1AB2" w:rsidRDefault="007915D7" w:rsidP="007A02A8">
      <w:pPr>
        <w:pStyle w:val="NormalWeb"/>
        <w:spacing w:line="360" w:lineRule="auto"/>
        <w:ind w:firstLine="567"/>
        <w:jc w:val="both"/>
      </w:pPr>
      <w:r w:rsidRPr="00EC1AB2">
        <w:t>Siekiant Lietuvos investicinio patrauklumo didinimo ir aktyvesnio ekonomikos vystymosi Vertybinių popierių komisijos (VPK) inicijuota tarpinstitucinė darbo grupė parengė naujo Informuotiesiems investuotojams skirtų kolektyvinio investavimo subjektų įs</w:t>
      </w:r>
      <w:r w:rsidR="002265CD" w:rsidRPr="00EC1AB2">
        <w:t>tatymo ir galiojančio KISĮ</w:t>
      </w:r>
      <w:r w:rsidRPr="00EC1AB2">
        <w:t xml:space="preserve"> pakeitimo projektus. Šiais projektais siekiama nustatyti pasaulinę SKIS veiklos praktiką atitinkančius reikalavimus.</w:t>
      </w:r>
    </w:p>
    <w:p w:rsidR="007915D7" w:rsidRPr="00EC1AB2" w:rsidRDefault="007915D7" w:rsidP="007A02A8">
      <w:pPr>
        <w:pStyle w:val="NormalWeb"/>
        <w:spacing w:line="360" w:lineRule="auto"/>
        <w:ind w:firstLine="567"/>
        <w:jc w:val="both"/>
      </w:pPr>
      <w:r w:rsidRPr="00EC1AB2">
        <w:t>Pažymėtina, kad siekiant minėtų tikslų, darbo grupės dalyvių bendru sutarimu, rengiant SKIS reguliavimo teisinės bazės pakeitimus remtasi vienos populiariausių ir geriausiai pasaulyje žinomų jurisdikcijų – Liuksemburgo Kunigaikštystės specialiųjų KIS teisinio reglamentavimo principais. Liuksemburgas kaip pavyzdinė jurisdikcija buvo pasirinktas taip pat ir dėl jo patrauklumo pasaulio investuotojams, kurį visų pirma lemia egzistuojančio teisinio reguliavimo lankstumas, palanki mokesčių sistema bei gerai išvystytos SKIS investicinių ir susijusių paslaugų infrastruktūros. Galima išskirti tris pagrindinius uždavinius, kurių siekiama šiuo įstatymo projektu:</w:t>
      </w:r>
    </w:p>
    <w:p w:rsidR="00B76560" w:rsidRPr="00EC1AB2" w:rsidRDefault="007915D7" w:rsidP="007A02A8">
      <w:pPr>
        <w:pStyle w:val="NormalWeb"/>
        <w:numPr>
          <w:ilvl w:val="0"/>
          <w:numId w:val="31"/>
        </w:numPr>
        <w:spacing w:line="360" w:lineRule="auto"/>
        <w:jc w:val="both"/>
      </w:pPr>
      <w:r w:rsidRPr="00EC1AB2">
        <w:rPr>
          <w:i/>
        </w:rPr>
        <w:t xml:space="preserve">Subalansuoti informuotiesiems investuotojams skirtų SKIS veiklai, informacijos atskleidimui bei priežiūrai keliamus reikalavimus </w:t>
      </w:r>
      <w:r w:rsidRPr="00EC1AB2">
        <w:t xml:space="preserve">(Projekte numatyta, kad neviešo investicinių vienetų, akcijų siūlymo ar neviešo siūlymo įnešti įnašus atveju SKIS (t. y. investicinė bendrovė arba investicinis fondas) skirtingai nei valdymo įmonė ar investicinė bendrovė prieš pradedant viešą akcijų (investicinių vienetų) siūlymą ar viešą siūlymą įnešti įnašus, dėl veiklos leidimo išdavimo (ar analogiškų veiksmų investicinio fondo atžvilgiu) į VPK gali kreiptis jau pradėjus neviešą platinimą ar siūlymą, bet ne vėliau kaip per vieną mėnesį nuo SKIS įsteigimo dienos. Šiais su platinimo pobūdžiu susietais reglamentavimo skirtumais siekiama atsižvelgti į SKIS veiklos specifiką ir įprastą praktiką, jog veiklos leidimo gavimą SKIS įprastai inicijuota tik jau turėdamas investuotojus (gavęs jų įsipareigojimus investuoti konkrečią sumą). Tokios praktikos susiformavimą sąlygojo investuotojų paieškos proceso sudėtingumas – neretai valdytojo planuojama kritinė suma (investuotojų įsipareigojimai) gali būti ir nesurinkta, dėl ko SKIS valdytojai, įsisteigę ir gavę leidimus veiklai </w:t>
      </w:r>
      <w:r w:rsidRPr="00EC1AB2">
        <w:rPr>
          <w:i/>
          <w:iCs/>
        </w:rPr>
        <w:t xml:space="preserve">a priori </w:t>
      </w:r>
      <w:r w:rsidRPr="00EC1AB2">
        <w:t xml:space="preserve">, patirtų laiko ir finansinių nuostolių. Taip pat Projekte įtvirtintos nuostatos supaprastinančios reikalavimus </w:t>
      </w:r>
      <w:r w:rsidRPr="00EC1AB2">
        <w:rPr>
          <w:bCs/>
          <w:iCs/>
        </w:rPr>
        <w:t>SKIS prospekt</w:t>
      </w:r>
      <w:r w:rsidR="00837DED" w:rsidRPr="00EC1AB2">
        <w:rPr>
          <w:bCs/>
          <w:iCs/>
        </w:rPr>
        <w:t>ui (informaciniam memorandumui);</w:t>
      </w:r>
      <w:r w:rsidRPr="00EC1AB2">
        <w:t xml:space="preserve"> </w:t>
      </w:r>
    </w:p>
    <w:p w:rsidR="007915D7" w:rsidRPr="00EC1AB2" w:rsidRDefault="007915D7" w:rsidP="007A02A8">
      <w:pPr>
        <w:pStyle w:val="NormalWeb"/>
        <w:numPr>
          <w:ilvl w:val="0"/>
          <w:numId w:val="31"/>
        </w:numPr>
        <w:spacing w:line="360" w:lineRule="auto"/>
        <w:jc w:val="both"/>
      </w:pPr>
      <w:r w:rsidRPr="00EC1AB2">
        <w:rPr>
          <w:i/>
        </w:rPr>
        <w:lastRenderedPageBreak/>
        <w:t xml:space="preserve">Praplėsti galimų SKIS veiklos formų spektrą </w:t>
      </w:r>
      <w:r w:rsidRPr="00EC1AB2">
        <w:t>(Projekte pagal jį veikiantiems SKIS numatoma galimybė investicinę veiklą vykdyti: valdymo įmonės valdomo investicinio fondo forma, arba investicinės bendrovės forma, pastarąją steigiant akcinės bendrovės, uždarosios akcinės bendrovės arba pasaulyje įprastos ūkinės bendrijos (tikrosios ir komanditinės) teisine veiklos forma. Pažymėtina, kad Projektu nepanaikinama galimybė SKIS steigti kaip atviro arba uždaro tipo SKIS);</w:t>
      </w:r>
    </w:p>
    <w:p w:rsidR="007915D7" w:rsidRPr="00EC1AB2" w:rsidRDefault="007915D7" w:rsidP="007A02A8">
      <w:pPr>
        <w:pStyle w:val="NormalWeb"/>
        <w:numPr>
          <w:ilvl w:val="0"/>
          <w:numId w:val="31"/>
        </w:numPr>
        <w:spacing w:line="360" w:lineRule="auto"/>
        <w:jc w:val="both"/>
      </w:pPr>
      <w:r w:rsidRPr="00EC1AB2">
        <w:rPr>
          <w:i/>
        </w:rPr>
        <w:t xml:space="preserve">Įtvirtinti bendrąjį principą, kad priežiūrai mažiau reikšmingi valdytojų ir investuotojų santykiai </w:t>
      </w:r>
      <w:r w:rsidRPr="00EC1AB2">
        <w:t xml:space="preserve">(pavyzdžiui, informacijos investuotojams teikimas, šalių tarpusavio teisės ir pareigos, SKIS investavimo strategija, investicijų vertės nustatymas, specialiųjų KIS akcijų, vienetų įsigijimas ar įnašų mokėjimas, išlaidų dengimo principai ir kt.) </w:t>
      </w:r>
      <w:r w:rsidRPr="00EC1AB2">
        <w:rPr>
          <w:i/>
        </w:rPr>
        <w:t xml:space="preserve">nustatomi bendru SKIS valdytojo ir investuotojų sutarimu ir įtvirtinami tokio SKIS sudarymo dokumentuose. </w:t>
      </w:r>
    </w:p>
    <w:p w:rsidR="007915D7" w:rsidRPr="00EC1AB2" w:rsidRDefault="007915D7" w:rsidP="007A02A8">
      <w:pPr>
        <w:pStyle w:val="NormalWeb"/>
        <w:spacing w:line="360" w:lineRule="auto"/>
        <w:ind w:firstLine="567"/>
        <w:jc w:val="both"/>
      </w:pPr>
      <w:r w:rsidRPr="00EC1AB2">
        <w:t>Grįž</w:t>
      </w:r>
      <w:r w:rsidR="006046E7" w:rsidRPr="00EC1AB2">
        <w:t>tant prie RKF</w:t>
      </w:r>
      <w:r w:rsidRPr="00EC1AB2">
        <w:t xml:space="preserve"> reglamentavimo ES lygiu</w:t>
      </w:r>
      <w:r w:rsidR="002E643E" w:rsidRPr="00EC1AB2">
        <w:t>, kaip jau minėta, palyginti neseniai įsigaliojo</w:t>
      </w:r>
      <w:r w:rsidR="004A037E" w:rsidRPr="00EC1AB2">
        <w:t xml:space="preserve"> (2011 m. rugpjūčio mėn.) </w:t>
      </w:r>
      <w:r w:rsidR="0098255A" w:rsidRPr="00EC1AB2">
        <w:rPr>
          <w:bCs/>
        </w:rPr>
        <w:t>AIFV</w:t>
      </w:r>
      <w:r w:rsidR="002E643E" w:rsidRPr="00EC1AB2">
        <w:rPr>
          <w:bCs/>
        </w:rPr>
        <w:t xml:space="preserve"> direktyva</w:t>
      </w:r>
      <w:r w:rsidRPr="00EC1AB2">
        <w:rPr>
          <w:bCs/>
        </w:rPr>
        <w:t xml:space="preserve">, </w:t>
      </w:r>
      <w:r w:rsidRPr="00EC1AB2">
        <w:t>kurio</w:t>
      </w:r>
      <w:r w:rsidR="00D841D1" w:rsidRPr="00EC1AB2">
        <w:t>s</w:t>
      </w:r>
      <w:r w:rsidRPr="00EC1AB2">
        <w:t xml:space="preserve"> kūrimą paskatino pasaulio finansų krizė. </w:t>
      </w:r>
    </w:p>
    <w:p w:rsidR="007915D7" w:rsidRPr="00EC1AB2" w:rsidRDefault="002265CD" w:rsidP="007A02A8">
      <w:pPr>
        <w:pStyle w:val="NormalWeb"/>
        <w:spacing w:line="360" w:lineRule="auto"/>
        <w:ind w:firstLine="567"/>
        <w:jc w:val="both"/>
      </w:pPr>
      <w:r w:rsidRPr="00EC1AB2">
        <w:t>EVCA</w:t>
      </w:r>
      <w:r w:rsidR="007915D7" w:rsidRPr="00EC1AB2">
        <w:t xml:space="preserve"> (2010) ataskaitoje minimos dvi rizikos rūšys, kurios paskat</w:t>
      </w:r>
      <w:r w:rsidR="004A037E" w:rsidRPr="00EC1AB2">
        <w:t xml:space="preserve">ino reguliuoti </w:t>
      </w:r>
      <w:r w:rsidR="0014384D" w:rsidRPr="00EC1AB2">
        <w:t>AIFV</w:t>
      </w:r>
      <w:r w:rsidR="007915D7" w:rsidRPr="00EC1AB2">
        <w:t>:</w:t>
      </w:r>
    </w:p>
    <w:p w:rsidR="007915D7" w:rsidRPr="00EC1AB2" w:rsidRDefault="007915D7" w:rsidP="007A02A8">
      <w:pPr>
        <w:pStyle w:val="ListParagraph"/>
        <w:numPr>
          <w:ilvl w:val="0"/>
          <w:numId w:val="32"/>
        </w:numPr>
        <w:spacing w:after="0" w:line="360" w:lineRule="auto"/>
        <w:jc w:val="both"/>
        <w:textAlignment w:val="baseline"/>
        <w:rPr>
          <w:rFonts w:ascii="Times New Roman" w:hAnsi="Times New Roman" w:cs="Times New Roman"/>
          <w:sz w:val="24"/>
          <w:szCs w:val="24"/>
        </w:rPr>
      </w:pPr>
      <w:r w:rsidRPr="00EC1AB2">
        <w:rPr>
          <w:rFonts w:ascii="Times New Roman" w:eastAsia="+mn-ea" w:hAnsi="Times New Roman" w:cs="Times New Roman"/>
          <w:bCs/>
          <w:i/>
          <w:sz w:val="24"/>
          <w:szCs w:val="24"/>
        </w:rPr>
        <w:t>Makro rizika</w:t>
      </w:r>
      <w:r w:rsidRPr="00EC1AB2">
        <w:rPr>
          <w:rFonts w:ascii="Times New Roman" w:eastAsia="+mn-ea" w:hAnsi="Times New Roman" w:cs="Times New Roman"/>
          <w:bCs/>
          <w:sz w:val="24"/>
          <w:szCs w:val="24"/>
        </w:rPr>
        <w:t xml:space="preserve">, kurią </w:t>
      </w:r>
      <w:r w:rsidRPr="00EC1AB2">
        <w:rPr>
          <w:rFonts w:ascii="Times New Roman" w:eastAsia="+mn-ea" w:hAnsi="Times New Roman" w:cs="Times New Roman"/>
          <w:b/>
          <w:bCs/>
          <w:sz w:val="24"/>
          <w:szCs w:val="24"/>
        </w:rPr>
        <w:t xml:space="preserve"> </w:t>
      </w:r>
      <w:r w:rsidRPr="00EC1AB2">
        <w:rPr>
          <w:rFonts w:ascii="Times New Roman" w:eastAsia="+mn-ea" w:hAnsi="Times New Roman" w:cs="Times New Roman"/>
          <w:sz w:val="24"/>
          <w:szCs w:val="24"/>
        </w:rPr>
        <w:t xml:space="preserve">daugiausia kelia rizikos draudimo fondai (angl. - </w:t>
      </w:r>
      <w:r w:rsidRPr="00EC1AB2">
        <w:rPr>
          <w:rFonts w:ascii="Times New Roman" w:eastAsia="+mn-ea" w:hAnsi="Times New Roman" w:cs="Times New Roman"/>
          <w:i/>
          <w:iCs/>
          <w:sz w:val="24"/>
          <w:szCs w:val="24"/>
        </w:rPr>
        <w:t>hedge funds</w:t>
      </w:r>
      <w:r w:rsidRPr="00EC1AB2">
        <w:rPr>
          <w:rFonts w:ascii="Times New Roman" w:eastAsia="+mn-ea" w:hAnsi="Times New Roman" w:cs="Times New Roman"/>
          <w:sz w:val="24"/>
          <w:szCs w:val="24"/>
        </w:rPr>
        <w:t>) ir žaliavų fondai, naudojantys finansinius svertus, taip pat investiciniame portfelyje esančių bendrovių valdymo rizikos priskirtinos privataus kapitalo investiciniams fondams;</w:t>
      </w:r>
    </w:p>
    <w:p w:rsidR="007915D7" w:rsidRPr="00EC1AB2" w:rsidRDefault="007915D7" w:rsidP="007A02A8">
      <w:pPr>
        <w:pStyle w:val="ListParagraph"/>
        <w:numPr>
          <w:ilvl w:val="0"/>
          <w:numId w:val="32"/>
        </w:numPr>
        <w:spacing w:after="0" w:line="360" w:lineRule="auto"/>
        <w:jc w:val="both"/>
        <w:textAlignment w:val="baseline"/>
        <w:rPr>
          <w:rFonts w:ascii="Times New Roman" w:hAnsi="Times New Roman" w:cs="Times New Roman"/>
          <w:sz w:val="24"/>
          <w:szCs w:val="24"/>
        </w:rPr>
      </w:pPr>
      <w:r w:rsidRPr="00EC1AB2">
        <w:rPr>
          <w:rFonts w:ascii="Times New Roman" w:eastAsia="+mn-ea" w:hAnsi="Times New Roman" w:cs="Times New Roman"/>
          <w:bCs/>
          <w:i/>
          <w:sz w:val="24"/>
          <w:szCs w:val="24"/>
        </w:rPr>
        <w:t>Mikro rizika</w:t>
      </w:r>
      <w:r w:rsidRPr="00EC1AB2">
        <w:rPr>
          <w:rFonts w:ascii="Times New Roman" w:eastAsia="+mn-ea" w:hAnsi="Times New Roman" w:cs="Times New Roman"/>
          <w:sz w:val="24"/>
          <w:szCs w:val="24"/>
        </w:rPr>
        <w:t xml:space="preserve">, kuri kyla dėl nepakankamos vidaus rizikos kontrolės sistemos, būdingos visiems fondams. </w:t>
      </w:r>
    </w:p>
    <w:p w:rsidR="007915D7" w:rsidRPr="00EC1AB2" w:rsidRDefault="007915D7" w:rsidP="007A02A8">
      <w:pPr>
        <w:spacing w:after="0" w:line="360" w:lineRule="auto"/>
        <w:ind w:firstLine="567"/>
        <w:jc w:val="both"/>
        <w:textAlignment w:val="baseline"/>
        <w:rPr>
          <w:rFonts w:ascii="Times New Roman" w:eastAsia="+mn-ea" w:hAnsi="Times New Roman" w:cs="Times New Roman"/>
          <w:sz w:val="24"/>
          <w:szCs w:val="24"/>
        </w:rPr>
      </w:pPr>
      <w:r w:rsidRPr="00EC1AB2">
        <w:rPr>
          <w:rFonts w:ascii="Times New Roman" w:eastAsia="+mn-ea" w:hAnsi="Times New Roman" w:cs="Times New Roman"/>
          <w:bCs/>
          <w:sz w:val="24"/>
          <w:szCs w:val="24"/>
        </w:rPr>
        <w:t>Anot Raidla Lejins &amp; Norcous (2010), reguliavimo būtinumas pagrindžiamas tuo, jog</w:t>
      </w:r>
      <w:r w:rsidRPr="00EC1AB2">
        <w:rPr>
          <w:rFonts w:ascii="Times New Roman" w:eastAsia="+mn-ea" w:hAnsi="Times New Roman" w:cs="Times New Roman"/>
          <w:sz w:val="24"/>
          <w:szCs w:val="24"/>
        </w:rPr>
        <w:t xml:space="preserve"> dėl fondų veiklos </w:t>
      </w:r>
      <w:r w:rsidRPr="00EC1AB2">
        <w:rPr>
          <w:rFonts w:ascii="Times New Roman" w:eastAsia="+mn-ea" w:hAnsi="Times New Roman" w:cs="Times New Roman"/>
          <w:bCs/>
          <w:sz w:val="24"/>
          <w:szCs w:val="24"/>
        </w:rPr>
        <w:t>tarptautinio pobūdžio</w:t>
      </w:r>
      <w:r w:rsidRPr="00EC1AB2">
        <w:rPr>
          <w:rFonts w:ascii="Times New Roman" w:eastAsia="+mn-ea" w:hAnsi="Times New Roman" w:cs="Times New Roman"/>
          <w:b/>
          <w:bCs/>
          <w:sz w:val="24"/>
          <w:szCs w:val="24"/>
        </w:rPr>
        <w:t xml:space="preserve"> </w:t>
      </w:r>
      <w:r w:rsidRPr="00EC1AB2">
        <w:rPr>
          <w:rFonts w:ascii="Times New Roman" w:eastAsia="+mn-ea" w:hAnsi="Times New Roman" w:cs="Times New Roman"/>
          <w:sz w:val="24"/>
          <w:szCs w:val="24"/>
        </w:rPr>
        <w:t xml:space="preserve">jų keliamos rizikos yra tarptautinės, t.y. nesusijusios tik su viena rinka ar turto rūšimi. AIFV dažnai veikia skirtingose valstybėse (AIF registravimo vieta, AIFV registravimo vieta, AIF siūlymo vieta, investuotojų vieta, kreditorių vieta, įsigijimo objektų vieta), kadangi rizika peržengia vienos valstybės ribas, šių fondų veikla ypač pavojinga rinkos stabilumui. </w:t>
      </w:r>
      <w:r w:rsidRPr="00EC1AB2">
        <w:rPr>
          <w:rFonts w:ascii="Times New Roman" w:hAnsi="Times New Roman" w:cs="Times New Roman"/>
          <w:sz w:val="24"/>
          <w:szCs w:val="24"/>
        </w:rPr>
        <w:t xml:space="preserve"> </w:t>
      </w:r>
      <w:r w:rsidRPr="00EC1AB2">
        <w:rPr>
          <w:rFonts w:ascii="Times New Roman" w:eastAsia="+mn-ea" w:hAnsi="Times New Roman" w:cs="Times New Roman"/>
          <w:sz w:val="24"/>
          <w:szCs w:val="24"/>
        </w:rPr>
        <w:t>AIFV gali turėti esminę įtaką kainų formavimui ir likvidumui skirtingose finansų rinkose.</w:t>
      </w:r>
      <w:r w:rsidRPr="00EC1AB2">
        <w:rPr>
          <w:rFonts w:ascii="Times New Roman" w:hAnsi="Times New Roman" w:cs="Times New Roman"/>
          <w:sz w:val="24"/>
          <w:szCs w:val="24"/>
        </w:rPr>
        <w:t xml:space="preserve"> </w:t>
      </w:r>
      <w:r w:rsidRPr="00EC1AB2">
        <w:rPr>
          <w:rFonts w:ascii="Times New Roman" w:eastAsia="+mn-ea" w:hAnsi="Times New Roman" w:cs="Times New Roman"/>
          <w:sz w:val="24"/>
          <w:szCs w:val="24"/>
        </w:rPr>
        <w:t xml:space="preserve">Finansų rinkos glaudžiai susijusios, rizikos, kilusios vienoje nacionalinėje rinkoje, greitai įtakoja kitas rinkas, todėl buvo nuspręsta, kad tik per bendrą rinkų reguliavimą galima efektyviai sumažinti rizikas. </w:t>
      </w:r>
    </w:p>
    <w:p w:rsidR="007915D7" w:rsidRPr="00EC1AB2" w:rsidRDefault="0014384D" w:rsidP="007A02A8">
      <w:pPr>
        <w:pStyle w:val="NormalWeb"/>
        <w:spacing w:line="360" w:lineRule="auto"/>
        <w:ind w:firstLine="567"/>
        <w:jc w:val="both"/>
        <w:textAlignment w:val="baseline"/>
      </w:pPr>
      <w:r w:rsidRPr="00EC1AB2">
        <w:rPr>
          <w:rFonts w:eastAsia="+mn-ea"/>
        </w:rPr>
        <w:t xml:space="preserve">Remiantis </w:t>
      </w:r>
      <w:r w:rsidRPr="00EC1AB2">
        <w:rPr>
          <w:bCs/>
        </w:rPr>
        <w:t xml:space="preserve">Charles Rivers Associate (2010), </w:t>
      </w:r>
      <w:r w:rsidRPr="00EC1AB2">
        <w:rPr>
          <w:rFonts w:eastAsia="+mn-ea"/>
        </w:rPr>
        <w:t>g</w:t>
      </w:r>
      <w:r w:rsidR="007915D7" w:rsidRPr="00EC1AB2">
        <w:rPr>
          <w:rFonts w:eastAsia="+mn-ea"/>
        </w:rPr>
        <w:t>alima išskirti šiuos pagrindinius AIFV direktyvos tikslus:</w:t>
      </w:r>
    </w:p>
    <w:p w:rsidR="007915D7" w:rsidRPr="00EC1AB2" w:rsidRDefault="007915D7" w:rsidP="007A02A8">
      <w:pPr>
        <w:pStyle w:val="ListParagraph"/>
        <w:numPr>
          <w:ilvl w:val="0"/>
          <w:numId w:val="33"/>
        </w:numPr>
        <w:spacing w:after="0" w:line="360" w:lineRule="auto"/>
        <w:jc w:val="both"/>
        <w:rPr>
          <w:rFonts w:ascii="Times New Roman" w:hAnsi="Times New Roman" w:cs="Times New Roman"/>
          <w:sz w:val="24"/>
          <w:szCs w:val="24"/>
        </w:rPr>
      </w:pPr>
      <w:r w:rsidRPr="00EC1AB2">
        <w:rPr>
          <w:rFonts w:ascii="Times New Roman" w:eastAsia="+mn-ea" w:hAnsi="Times New Roman" w:cs="Times New Roman"/>
          <w:kern w:val="24"/>
          <w:sz w:val="24"/>
          <w:szCs w:val="24"/>
        </w:rPr>
        <w:t>Užtikrinti, kad AIFV būtų taikomi tinkami veiklos leidimo ir registracijos reikalavimai;</w:t>
      </w:r>
    </w:p>
    <w:p w:rsidR="007915D7" w:rsidRPr="00EC1AB2" w:rsidRDefault="007915D7" w:rsidP="007A02A8">
      <w:pPr>
        <w:pStyle w:val="ListParagraph"/>
        <w:numPr>
          <w:ilvl w:val="0"/>
          <w:numId w:val="33"/>
        </w:numPr>
        <w:spacing w:after="0" w:line="360" w:lineRule="auto"/>
        <w:jc w:val="both"/>
        <w:rPr>
          <w:rFonts w:ascii="Times New Roman" w:hAnsi="Times New Roman" w:cs="Times New Roman"/>
          <w:sz w:val="24"/>
          <w:szCs w:val="24"/>
        </w:rPr>
      </w:pPr>
      <w:r w:rsidRPr="00EC1AB2">
        <w:rPr>
          <w:rFonts w:ascii="Times New Roman" w:eastAsia="+mn-ea" w:hAnsi="Times New Roman" w:cs="Times New Roman"/>
          <w:kern w:val="24"/>
          <w:sz w:val="24"/>
          <w:szCs w:val="24"/>
        </w:rPr>
        <w:t>Sukurti tinkamą makrolygio rizikos ribojimo ir stebėsenos sistemą;</w:t>
      </w:r>
    </w:p>
    <w:p w:rsidR="007915D7" w:rsidRPr="00EC1AB2" w:rsidRDefault="007915D7" w:rsidP="007A02A8">
      <w:pPr>
        <w:pStyle w:val="ListParagraph"/>
        <w:numPr>
          <w:ilvl w:val="0"/>
          <w:numId w:val="33"/>
        </w:numPr>
        <w:spacing w:after="0" w:line="360" w:lineRule="auto"/>
        <w:jc w:val="both"/>
        <w:rPr>
          <w:rFonts w:ascii="Times New Roman" w:hAnsi="Times New Roman" w:cs="Times New Roman"/>
          <w:sz w:val="24"/>
          <w:szCs w:val="24"/>
        </w:rPr>
      </w:pPr>
      <w:r w:rsidRPr="00EC1AB2">
        <w:rPr>
          <w:rFonts w:ascii="Times New Roman" w:eastAsia="+mn-ea" w:hAnsi="Times New Roman" w:cs="Times New Roman"/>
          <w:kern w:val="24"/>
          <w:sz w:val="24"/>
          <w:szCs w:val="24"/>
        </w:rPr>
        <w:t>Nustatyti AIF investuotojų apsaugos metodus;</w:t>
      </w:r>
    </w:p>
    <w:p w:rsidR="007915D7" w:rsidRPr="00EC1AB2" w:rsidRDefault="007915D7" w:rsidP="007A02A8">
      <w:pPr>
        <w:pStyle w:val="ListParagraph"/>
        <w:numPr>
          <w:ilvl w:val="0"/>
          <w:numId w:val="33"/>
        </w:numPr>
        <w:spacing w:after="0" w:line="360" w:lineRule="auto"/>
        <w:jc w:val="both"/>
        <w:rPr>
          <w:rFonts w:ascii="Times New Roman" w:hAnsi="Times New Roman" w:cs="Times New Roman"/>
          <w:sz w:val="24"/>
          <w:szCs w:val="24"/>
        </w:rPr>
      </w:pPr>
      <w:r w:rsidRPr="00EC1AB2">
        <w:rPr>
          <w:rFonts w:ascii="Times New Roman" w:eastAsia="+mn-ea" w:hAnsi="Times New Roman" w:cs="Times New Roman"/>
          <w:kern w:val="24"/>
          <w:sz w:val="24"/>
          <w:szCs w:val="24"/>
        </w:rPr>
        <w:t>Didinti AIFV, turinčių bendrovių kontrolinius paketus, atsakomybę;</w:t>
      </w:r>
    </w:p>
    <w:p w:rsidR="007915D7" w:rsidRPr="00EC1AB2" w:rsidRDefault="007915D7" w:rsidP="007A02A8">
      <w:pPr>
        <w:pStyle w:val="ListParagraph"/>
        <w:numPr>
          <w:ilvl w:val="0"/>
          <w:numId w:val="33"/>
        </w:numPr>
        <w:spacing w:after="0" w:line="360" w:lineRule="auto"/>
        <w:jc w:val="both"/>
        <w:rPr>
          <w:rFonts w:ascii="Times New Roman" w:hAnsi="Times New Roman" w:cs="Times New Roman"/>
          <w:sz w:val="24"/>
          <w:szCs w:val="24"/>
        </w:rPr>
      </w:pPr>
      <w:r w:rsidRPr="00EC1AB2">
        <w:rPr>
          <w:rFonts w:ascii="Times New Roman" w:eastAsia="+mn-ea" w:hAnsi="Times New Roman" w:cs="Times New Roman"/>
          <w:kern w:val="24"/>
          <w:sz w:val="24"/>
          <w:szCs w:val="24"/>
        </w:rPr>
        <w:t>Sukurti vieningą AIF rinką;</w:t>
      </w:r>
    </w:p>
    <w:p w:rsidR="007915D7" w:rsidRPr="00EC1AB2" w:rsidRDefault="007915D7" w:rsidP="007A02A8">
      <w:pPr>
        <w:pStyle w:val="ListParagraph"/>
        <w:numPr>
          <w:ilvl w:val="0"/>
          <w:numId w:val="33"/>
        </w:numPr>
        <w:spacing w:after="0" w:line="360" w:lineRule="auto"/>
        <w:jc w:val="both"/>
        <w:rPr>
          <w:rFonts w:ascii="Times New Roman" w:hAnsi="Times New Roman" w:cs="Times New Roman"/>
          <w:sz w:val="24"/>
          <w:szCs w:val="24"/>
        </w:rPr>
      </w:pPr>
      <w:r w:rsidRPr="00EC1AB2">
        <w:rPr>
          <w:rFonts w:ascii="Times New Roman" w:eastAsia="+mn-ea" w:hAnsi="Times New Roman" w:cs="Times New Roman"/>
          <w:kern w:val="24"/>
          <w:sz w:val="24"/>
          <w:szCs w:val="24"/>
        </w:rPr>
        <w:lastRenderedPageBreak/>
        <w:t>Užtikrinti veiksmų proporcingumą keliamai rizikai ir tinkamą diferencijavimą, atsižvelgiant į AIFV verslo modelio skirtumus.</w:t>
      </w:r>
    </w:p>
    <w:p w:rsidR="007915D7" w:rsidRPr="00EC1AB2" w:rsidRDefault="007915D7" w:rsidP="007A02A8">
      <w:pPr>
        <w:spacing w:after="0" w:line="360" w:lineRule="auto"/>
        <w:ind w:firstLine="567"/>
        <w:jc w:val="both"/>
        <w:rPr>
          <w:rFonts w:ascii="Times New Roman" w:hAnsi="Times New Roman" w:cs="Times New Roman"/>
          <w:sz w:val="24"/>
          <w:szCs w:val="24"/>
        </w:rPr>
      </w:pPr>
      <w:r w:rsidRPr="00EC1AB2">
        <w:rPr>
          <w:rFonts w:ascii="Times New Roman" w:eastAsia="+mn-ea" w:hAnsi="Times New Roman" w:cs="Times New Roman"/>
          <w:sz w:val="24"/>
          <w:szCs w:val="24"/>
        </w:rPr>
        <w:t>P</w:t>
      </w:r>
      <w:r w:rsidR="00D841D1" w:rsidRPr="00EC1AB2">
        <w:rPr>
          <w:rFonts w:ascii="Times New Roman" w:eastAsia="+mn-ea" w:hAnsi="Times New Roman" w:cs="Times New Roman"/>
          <w:sz w:val="24"/>
          <w:szCs w:val="24"/>
        </w:rPr>
        <w:t xml:space="preserve">aminėtina, kad direktyva siekiama </w:t>
      </w:r>
      <w:r w:rsidRPr="00EC1AB2">
        <w:rPr>
          <w:rFonts w:ascii="Times New Roman" w:eastAsia="+mn-ea" w:hAnsi="Times New Roman" w:cs="Times New Roman"/>
          <w:sz w:val="24"/>
          <w:szCs w:val="24"/>
        </w:rPr>
        <w:t>reguliuoti tik tuos AIFV, kurių investicinė veikla kelia makro-lygio riziką finansų rinkoms, todėl direktyva numato</w:t>
      </w:r>
      <w:r w:rsidRPr="00EC1AB2">
        <w:rPr>
          <w:rFonts w:ascii="Times New Roman" w:eastAsia="+mn-ea" w:hAnsi="Times New Roman" w:cs="Times New Roman"/>
          <w:i/>
          <w:iCs/>
          <w:sz w:val="24"/>
          <w:szCs w:val="24"/>
        </w:rPr>
        <w:t xml:space="preserve"> </w:t>
      </w:r>
      <w:r w:rsidRPr="00EC1AB2">
        <w:rPr>
          <w:rFonts w:ascii="Times New Roman" w:eastAsia="+mn-ea" w:hAnsi="Times New Roman" w:cs="Times New Roman"/>
          <w:sz w:val="24"/>
          <w:szCs w:val="24"/>
        </w:rPr>
        <w:t xml:space="preserve">išimtis AIFV valdantiems portfelius tokių AIF, kurių bendras valdomas turtas, įskaitant visą turtą, įgytą naudojant finansinį svertą, neviršija 100 mln. EUR ribos arba 500 mln. EUR ribos, kai AIF portfelį sudaro AIF, kurie nenaudoja finansinio sverto ir neturi išpirkimo teisių, vykdytinų per 5 metus nuo kiekvieno AIF įsteigimo datos. </w:t>
      </w:r>
    </w:p>
    <w:p w:rsidR="007915D7" w:rsidRPr="00EC1AB2" w:rsidRDefault="00CC1E52" w:rsidP="007A02A8">
      <w:pPr>
        <w:kinsoku w:val="0"/>
        <w:overflowPunct w:val="0"/>
        <w:spacing w:after="0" w:line="360" w:lineRule="auto"/>
        <w:ind w:firstLine="567"/>
        <w:jc w:val="both"/>
        <w:textAlignment w:val="baseline"/>
        <w:rPr>
          <w:rFonts w:ascii="Times New Roman" w:eastAsia="+mn-ea" w:hAnsi="Times New Roman" w:cs="Times New Roman"/>
          <w:sz w:val="24"/>
          <w:szCs w:val="24"/>
        </w:rPr>
      </w:pPr>
      <w:r w:rsidRPr="00EC1AB2">
        <w:rPr>
          <w:rFonts w:ascii="Times New Roman" w:eastAsia="+mn-ea" w:hAnsi="Times New Roman" w:cs="Times New Roman"/>
          <w:kern w:val="24"/>
          <w:sz w:val="24"/>
          <w:szCs w:val="24"/>
        </w:rPr>
        <w:t>AIFV d</w:t>
      </w:r>
      <w:r w:rsidR="007915D7" w:rsidRPr="00EC1AB2">
        <w:rPr>
          <w:rFonts w:ascii="Times New Roman" w:eastAsia="+mn-ea" w:hAnsi="Times New Roman" w:cs="Times New Roman"/>
          <w:kern w:val="24"/>
          <w:sz w:val="24"/>
          <w:szCs w:val="24"/>
        </w:rPr>
        <w:t>irektyvoje įtvirtinta nuostata, kad Jeigu AIFV išduotas leidimas vykdyti veiklą vienoje ES valstybėje narėje, AIFV gali vykdyti tą pačią veiklą taip pat ir visose likusiose ES valstybėse narėse, taip pat nustatyta AIFV teisė teikti AIF, kuris registruotas kitoje ES valstybėje narėje, valdymo paslaugas tiesiogiai arba per įsteigtą filialą. Europos Sąjungos valstybė narė, kurioje AIFV paslaugos yra teikiamos, tampa atsakinga už AIFV priežiūrą.</w:t>
      </w:r>
      <w:r w:rsidR="007915D7" w:rsidRPr="00EC1AB2">
        <w:rPr>
          <w:rFonts w:ascii="Times New Roman" w:hAnsi="Times New Roman" w:cs="Times New Roman"/>
          <w:sz w:val="24"/>
          <w:szCs w:val="24"/>
        </w:rPr>
        <w:t xml:space="preserve"> Paminėtina, kad </w:t>
      </w:r>
      <w:r w:rsidR="005734F3" w:rsidRPr="00EC1AB2">
        <w:rPr>
          <w:rFonts w:ascii="Times New Roman" w:eastAsia="+mn-ea" w:hAnsi="Times New Roman" w:cs="Times New Roman"/>
          <w:kern w:val="24"/>
          <w:sz w:val="24"/>
          <w:szCs w:val="24"/>
        </w:rPr>
        <w:t>ne ES</w:t>
      </w:r>
      <w:r w:rsidR="007915D7" w:rsidRPr="00EC1AB2">
        <w:rPr>
          <w:rFonts w:ascii="Times New Roman" w:eastAsia="+mn-ea" w:hAnsi="Times New Roman" w:cs="Times New Roman"/>
          <w:kern w:val="24"/>
          <w:sz w:val="24"/>
          <w:szCs w:val="24"/>
        </w:rPr>
        <w:t xml:space="preserve"> AI</w:t>
      </w:r>
      <w:r w:rsidR="005734F3" w:rsidRPr="00EC1AB2">
        <w:rPr>
          <w:rFonts w:ascii="Times New Roman" w:eastAsia="+mn-ea" w:hAnsi="Times New Roman" w:cs="Times New Roman"/>
          <w:kern w:val="24"/>
          <w:sz w:val="24"/>
          <w:szCs w:val="24"/>
        </w:rPr>
        <w:t>FV gali veikti ES</w:t>
      </w:r>
      <w:r w:rsidR="007915D7" w:rsidRPr="00EC1AB2">
        <w:rPr>
          <w:rFonts w:ascii="Times New Roman" w:eastAsia="+mn-ea" w:hAnsi="Times New Roman" w:cs="Times New Roman"/>
          <w:kern w:val="24"/>
          <w:sz w:val="24"/>
          <w:szCs w:val="24"/>
        </w:rPr>
        <w:t>, tik jeigu gauna veiklos leidi</w:t>
      </w:r>
      <w:r w:rsidR="005734F3" w:rsidRPr="00EC1AB2">
        <w:rPr>
          <w:rFonts w:ascii="Times New Roman" w:eastAsia="+mn-ea" w:hAnsi="Times New Roman" w:cs="Times New Roman"/>
          <w:kern w:val="24"/>
          <w:sz w:val="24"/>
          <w:szCs w:val="24"/>
        </w:rPr>
        <w:t>mą kurioje nors ES</w:t>
      </w:r>
      <w:r w:rsidR="007915D7" w:rsidRPr="00EC1AB2">
        <w:rPr>
          <w:rFonts w:ascii="Times New Roman" w:eastAsia="+mn-ea" w:hAnsi="Times New Roman" w:cs="Times New Roman"/>
          <w:kern w:val="24"/>
          <w:sz w:val="24"/>
          <w:szCs w:val="24"/>
        </w:rPr>
        <w:t xml:space="preserve"> valstybėje narėje.</w:t>
      </w:r>
      <w:r w:rsidR="007915D7" w:rsidRPr="00EC1AB2">
        <w:rPr>
          <w:rFonts w:ascii="Times New Roman" w:hAnsi="Times New Roman" w:cs="Times New Roman"/>
          <w:sz w:val="24"/>
          <w:szCs w:val="24"/>
        </w:rPr>
        <w:t xml:space="preserve"> </w:t>
      </w:r>
    </w:p>
    <w:p w:rsidR="007915D7" w:rsidRPr="00EC1AB2" w:rsidRDefault="007915D7" w:rsidP="007A02A8">
      <w:pPr>
        <w:kinsoku w:val="0"/>
        <w:overflowPunct w:val="0"/>
        <w:spacing w:after="0" w:line="360" w:lineRule="auto"/>
        <w:ind w:firstLine="567"/>
        <w:jc w:val="both"/>
        <w:textAlignment w:val="baseline"/>
        <w:rPr>
          <w:rFonts w:ascii="Times New Roman" w:hAnsi="Times New Roman" w:cs="Times New Roman"/>
          <w:sz w:val="24"/>
          <w:szCs w:val="24"/>
        </w:rPr>
      </w:pPr>
      <w:r w:rsidRPr="00EC1AB2">
        <w:rPr>
          <w:rFonts w:ascii="Times New Roman" w:eastAsia="+mn-ea" w:hAnsi="Times New Roman" w:cs="Times New Roman"/>
          <w:sz w:val="24"/>
          <w:szCs w:val="24"/>
        </w:rPr>
        <w:t xml:space="preserve">Taigi, </w:t>
      </w:r>
      <w:r w:rsidR="003E73F2" w:rsidRPr="00EC1AB2">
        <w:rPr>
          <w:rFonts w:ascii="Times New Roman" w:eastAsia="+mn-ea" w:hAnsi="Times New Roman" w:cs="Times New Roman"/>
          <w:sz w:val="24"/>
          <w:szCs w:val="24"/>
        </w:rPr>
        <w:t xml:space="preserve">kaip teigiama EVCA (2010) </w:t>
      </w:r>
      <w:r w:rsidR="00CC1E52" w:rsidRPr="00EC1AB2">
        <w:rPr>
          <w:rFonts w:ascii="Times New Roman" w:eastAsia="+mn-ea" w:hAnsi="Times New Roman" w:cs="Times New Roman"/>
          <w:sz w:val="24"/>
          <w:szCs w:val="24"/>
        </w:rPr>
        <w:t>AIFV d</w:t>
      </w:r>
      <w:r w:rsidRPr="00EC1AB2">
        <w:rPr>
          <w:rFonts w:ascii="Times New Roman" w:eastAsia="+mn-ea" w:hAnsi="Times New Roman" w:cs="Times New Roman"/>
          <w:sz w:val="24"/>
          <w:szCs w:val="24"/>
        </w:rPr>
        <w:t>irektyva siekiama reguliuoti AIFV, kurie valdo AIF ir sistemiškai naudoja didelius finansinius svertus.</w:t>
      </w:r>
      <w:r w:rsidRPr="00EC1AB2">
        <w:rPr>
          <w:rFonts w:ascii="Times New Roman" w:hAnsi="Times New Roman" w:cs="Times New Roman"/>
          <w:sz w:val="24"/>
          <w:szCs w:val="24"/>
        </w:rPr>
        <w:t xml:space="preserve"> </w:t>
      </w:r>
      <w:r w:rsidRPr="00EC1AB2">
        <w:rPr>
          <w:rFonts w:ascii="Times New Roman" w:eastAsia="+mn-ea" w:hAnsi="Times New Roman" w:cs="Times New Roman"/>
          <w:sz w:val="24"/>
          <w:szCs w:val="24"/>
        </w:rPr>
        <w:t>AIFV turi pareigą kas ketvirtį įvertinti, ar sistemiškai naudoja didelį finansinį svertą, ir informuoti atitinkamas institucijas. Laikoma, kad AIF sistemiškai naudoja didelį finansinį svertą, kai bendras finansinis svertas iš visų šaltinių viršija AIF nuosavą kapitalą du iš paskutinių keturių ketvirčių.</w:t>
      </w:r>
      <w:r w:rsidRPr="00EC1AB2">
        <w:rPr>
          <w:rFonts w:ascii="Times New Roman" w:hAnsi="Times New Roman" w:cs="Times New Roman"/>
          <w:sz w:val="24"/>
          <w:szCs w:val="24"/>
        </w:rPr>
        <w:t xml:space="preserve"> </w:t>
      </w:r>
      <w:r w:rsidRPr="00EC1AB2">
        <w:rPr>
          <w:rFonts w:ascii="Times New Roman" w:eastAsia="+mn-ea" w:hAnsi="Times New Roman" w:cs="Times New Roman"/>
          <w:sz w:val="24"/>
          <w:szCs w:val="24"/>
        </w:rPr>
        <w:t>Jeigu sistemiškai naudojamas didelis finansinis svertas, kyla pareiga atskleisti informaciją apie svertus ir skolint</w:t>
      </w:r>
      <w:r w:rsidR="005734F3" w:rsidRPr="00EC1AB2">
        <w:rPr>
          <w:rFonts w:ascii="Times New Roman" w:eastAsia="+mn-ea" w:hAnsi="Times New Roman" w:cs="Times New Roman"/>
          <w:sz w:val="24"/>
          <w:szCs w:val="24"/>
        </w:rPr>
        <w:t>ojus investuotojams bei kompetent</w:t>
      </w:r>
      <w:r w:rsidRPr="00EC1AB2">
        <w:rPr>
          <w:rFonts w:ascii="Times New Roman" w:eastAsia="+mn-ea" w:hAnsi="Times New Roman" w:cs="Times New Roman"/>
          <w:sz w:val="24"/>
          <w:szCs w:val="24"/>
        </w:rPr>
        <w:t xml:space="preserve">ingoms institucijoms. </w:t>
      </w:r>
    </w:p>
    <w:p w:rsidR="007915D7" w:rsidRPr="00EC1AB2" w:rsidRDefault="005734F3" w:rsidP="007A02A8">
      <w:pPr>
        <w:spacing w:after="0" w:line="360" w:lineRule="auto"/>
        <w:ind w:firstLine="567"/>
        <w:jc w:val="both"/>
        <w:textAlignment w:val="baseline"/>
        <w:rPr>
          <w:rFonts w:ascii="Times New Roman" w:hAnsi="Times New Roman" w:cs="Times New Roman"/>
          <w:sz w:val="24"/>
          <w:szCs w:val="24"/>
        </w:rPr>
      </w:pPr>
      <w:r w:rsidRPr="00EC1AB2">
        <w:rPr>
          <w:rFonts w:ascii="Times New Roman" w:eastAsia="+mn-ea" w:hAnsi="Times New Roman" w:cs="Times New Roman"/>
          <w:sz w:val="24"/>
          <w:szCs w:val="24"/>
        </w:rPr>
        <w:t>Direktyvoje</w:t>
      </w:r>
      <w:r w:rsidR="007915D7" w:rsidRPr="00EC1AB2">
        <w:rPr>
          <w:rFonts w:ascii="Times New Roman" w:eastAsia="+mn-ea" w:hAnsi="Times New Roman" w:cs="Times New Roman"/>
          <w:sz w:val="24"/>
          <w:szCs w:val="24"/>
        </w:rPr>
        <w:t xml:space="preserve"> įtvirtinta </w:t>
      </w:r>
      <w:r w:rsidR="007915D7" w:rsidRPr="00EC1AB2">
        <w:rPr>
          <w:rFonts w:ascii="Times New Roman" w:eastAsia="+mn-ea" w:hAnsi="Times New Roman" w:cs="Times New Roman"/>
          <w:kern w:val="24"/>
          <w:sz w:val="24"/>
          <w:szCs w:val="24"/>
        </w:rPr>
        <w:t>minimalaus kapitalo riba – 125 000 EUR, j</w:t>
      </w:r>
      <w:r w:rsidRPr="00EC1AB2">
        <w:rPr>
          <w:rFonts w:ascii="Times New Roman" w:eastAsia="+mn-ea" w:hAnsi="Times New Roman" w:cs="Times New Roman"/>
          <w:kern w:val="24"/>
          <w:sz w:val="24"/>
          <w:szCs w:val="24"/>
        </w:rPr>
        <w:t>eigu AIFV portfelio vertė viršija 250 mln. EUR, AIFV privalo</w:t>
      </w:r>
      <w:r w:rsidR="007915D7" w:rsidRPr="00EC1AB2">
        <w:rPr>
          <w:rFonts w:ascii="Times New Roman" w:eastAsia="+mn-ea" w:hAnsi="Times New Roman" w:cs="Times New Roman"/>
          <w:kern w:val="24"/>
          <w:sz w:val="24"/>
          <w:szCs w:val="24"/>
        </w:rPr>
        <w:t xml:space="preserve"> turėti papildomą kiekį</w:t>
      </w:r>
      <w:r w:rsidRPr="00EC1AB2">
        <w:rPr>
          <w:rFonts w:ascii="Times New Roman" w:eastAsia="+mn-ea" w:hAnsi="Times New Roman" w:cs="Times New Roman"/>
          <w:kern w:val="24"/>
          <w:sz w:val="24"/>
          <w:szCs w:val="24"/>
        </w:rPr>
        <w:t xml:space="preserve"> nuosavų lėšų. Toks kiekis turi</w:t>
      </w:r>
      <w:r w:rsidR="007915D7" w:rsidRPr="00EC1AB2">
        <w:rPr>
          <w:rFonts w:ascii="Times New Roman" w:eastAsia="+mn-ea" w:hAnsi="Times New Roman" w:cs="Times New Roman"/>
          <w:kern w:val="24"/>
          <w:sz w:val="24"/>
          <w:szCs w:val="24"/>
        </w:rPr>
        <w:t xml:space="preserve"> būti lygus 0.02%, skaičiuojant šį procentą nuo sumos, kuria portfelių vertė viršija 250 mln. EUR. </w:t>
      </w:r>
    </w:p>
    <w:p w:rsidR="007915D7" w:rsidRPr="00EC1AB2" w:rsidRDefault="007915D7" w:rsidP="007A02A8">
      <w:pPr>
        <w:spacing w:after="0" w:line="360" w:lineRule="auto"/>
        <w:ind w:firstLine="567"/>
        <w:jc w:val="both"/>
        <w:textAlignment w:val="baseline"/>
        <w:rPr>
          <w:rFonts w:ascii="Times New Roman" w:hAnsi="Times New Roman" w:cs="Times New Roman"/>
          <w:sz w:val="24"/>
          <w:szCs w:val="24"/>
        </w:rPr>
      </w:pPr>
      <w:r w:rsidRPr="00EC1AB2">
        <w:rPr>
          <w:rFonts w:ascii="Times New Roman" w:eastAsia="+mn-ea" w:hAnsi="Times New Roman" w:cs="Times New Roman"/>
          <w:kern w:val="24"/>
          <w:sz w:val="24"/>
          <w:szCs w:val="24"/>
        </w:rPr>
        <w:t>Galima pastebėti, jog privataus kapitalo, rizikos draudimo bei nekilnojamojo turto fondai turi skirtingus verslo</w:t>
      </w:r>
      <w:r w:rsidR="003E73F2" w:rsidRPr="00EC1AB2">
        <w:rPr>
          <w:rFonts w:ascii="Times New Roman" w:eastAsia="+mn-ea" w:hAnsi="Times New Roman" w:cs="Times New Roman"/>
          <w:kern w:val="24"/>
          <w:sz w:val="24"/>
          <w:szCs w:val="24"/>
        </w:rPr>
        <w:t xml:space="preserve"> modelius, to nepaisymas šioje d</w:t>
      </w:r>
      <w:r w:rsidRPr="00EC1AB2">
        <w:rPr>
          <w:rFonts w:ascii="Times New Roman" w:eastAsia="+mn-ea" w:hAnsi="Times New Roman" w:cs="Times New Roman"/>
          <w:kern w:val="24"/>
          <w:sz w:val="24"/>
          <w:szCs w:val="24"/>
        </w:rPr>
        <w:t xml:space="preserve">irektyvoje iškreipia konkurencijos sąlygas skirtingiems fondams. </w:t>
      </w:r>
      <w:r w:rsidRPr="00EC1AB2">
        <w:rPr>
          <w:rFonts w:ascii="Times New Roman" w:hAnsi="Times New Roman" w:cs="Times New Roman"/>
          <w:sz w:val="24"/>
          <w:szCs w:val="24"/>
        </w:rPr>
        <w:t xml:space="preserve">EVCA (2010)  vertindama </w:t>
      </w:r>
      <w:r w:rsidR="003E73F2" w:rsidRPr="00EC1AB2">
        <w:rPr>
          <w:rFonts w:ascii="Times New Roman" w:hAnsi="Times New Roman" w:cs="Times New Roman"/>
          <w:sz w:val="24"/>
          <w:szCs w:val="24"/>
        </w:rPr>
        <w:t>d</w:t>
      </w:r>
      <w:r w:rsidRPr="00EC1AB2">
        <w:rPr>
          <w:rFonts w:ascii="Times New Roman" w:eastAsia="+mn-ea" w:hAnsi="Times New Roman" w:cs="Times New Roman"/>
          <w:kern w:val="24"/>
          <w:sz w:val="24"/>
          <w:szCs w:val="24"/>
        </w:rPr>
        <w:t>irektyvą, kaip neigiamas pasekmes/grėsmes išskiria:</w:t>
      </w:r>
    </w:p>
    <w:p w:rsidR="007915D7" w:rsidRPr="00EC1AB2" w:rsidRDefault="007915D7" w:rsidP="007A02A8">
      <w:pPr>
        <w:pStyle w:val="ListParagraph"/>
        <w:numPr>
          <w:ilvl w:val="0"/>
          <w:numId w:val="34"/>
        </w:numPr>
        <w:spacing w:after="0" w:line="360" w:lineRule="auto"/>
        <w:jc w:val="both"/>
        <w:textAlignment w:val="baseline"/>
        <w:rPr>
          <w:rFonts w:ascii="Times New Roman" w:hAnsi="Times New Roman" w:cs="Times New Roman"/>
          <w:sz w:val="24"/>
          <w:szCs w:val="24"/>
        </w:rPr>
      </w:pPr>
      <w:r w:rsidRPr="00EC1AB2">
        <w:rPr>
          <w:rFonts w:ascii="Times New Roman" w:eastAsia="+mn-ea" w:hAnsi="Times New Roman" w:cs="Times New Roman"/>
          <w:kern w:val="24"/>
          <w:sz w:val="24"/>
          <w:szCs w:val="24"/>
        </w:rPr>
        <w:t>Smarkiai išaugsiantį reguliuojančių institucijų darbo krūvį;</w:t>
      </w:r>
    </w:p>
    <w:p w:rsidR="007915D7" w:rsidRPr="00EC1AB2" w:rsidRDefault="007915D7" w:rsidP="007A02A8">
      <w:pPr>
        <w:pStyle w:val="ListParagraph"/>
        <w:numPr>
          <w:ilvl w:val="0"/>
          <w:numId w:val="34"/>
        </w:numPr>
        <w:spacing w:after="0" w:line="360" w:lineRule="auto"/>
        <w:jc w:val="both"/>
        <w:textAlignment w:val="baseline"/>
        <w:rPr>
          <w:rFonts w:ascii="Times New Roman" w:hAnsi="Times New Roman" w:cs="Times New Roman"/>
          <w:sz w:val="24"/>
          <w:szCs w:val="24"/>
        </w:rPr>
      </w:pPr>
      <w:r w:rsidRPr="00EC1AB2">
        <w:rPr>
          <w:rFonts w:ascii="Times New Roman" w:eastAsia="+mn-ea" w:hAnsi="Times New Roman" w:cs="Times New Roman"/>
          <w:kern w:val="24"/>
          <w:sz w:val="24"/>
          <w:szCs w:val="24"/>
        </w:rPr>
        <w:t xml:space="preserve">Mažėsiantį finansinių produktų inovatyvumą; </w:t>
      </w:r>
    </w:p>
    <w:p w:rsidR="007915D7" w:rsidRPr="00EC1AB2" w:rsidRDefault="007915D7" w:rsidP="007A02A8">
      <w:pPr>
        <w:pStyle w:val="ListParagraph"/>
        <w:numPr>
          <w:ilvl w:val="0"/>
          <w:numId w:val="34"/>
        </w:numPr>
        <w:kinsoku w:val="0"/>
        <w:overflowPunct w:val="0"/>
        <w:spacing w:after="0" w:line="360" w:lineRule="auto"/>
        <w:jc w:val="both"/>
        <w:textAlignment w:val="baseline"/>
        <w:rPr>
          <w:rFonts w:ascii="Times New Roman" w:hAnsi="Times New Roman" w:cs="Times New Roman"/>
          <w:sz w:val="24"/>
          <w:szCs w:val="24"/>
        </w:rPr>
      </w:pPr>
      <w:r w:rsidRPr="00EC1AB2">
        <w:rPr>
          <w:rFonts w:ascii="Times New Roman" w:eastAsia="+mn-ea" w:hAnsi="Times New Roman" w:cs="Times New Roman"/>
          <w:kern w:val="24"/>
          <w:sz w:val="24"/>
          <w:szCs w:val="24"/>
        </w:rPr>
        <w:t>Apsunkinamą privataus kapitalo fondų veiklą (vertinimas, informacijos atskleidimas);</w:t>
      </w:r>
    </w:p>
    <w:p w:rsidR="007915D7" w:rsidRPr="00EC1AB2" w:rsidRDefault="005734F3" w:rsidP="007A02A8">
      <w:pPr>
        <w:kinsoku w:val="0"/>
        <w:overflowPunct w:val="0"/>
        <w:spacing w:after="0" w:line="360" w:lineRule="auto"/>
        <w:ind w:firstLine="567"/>
        <w:jc w:val="both"/>
        <w:textAlignment w:val="baseline"/>
        <w:rPr>
          <w:rFonts w:ascii="Times New Roman" w:eastAsia="+mn-ea" w:hAnsi="Times New Roman" w:cs="Times New Roman"/>
          <w:kern w:val="24"/>
          <w:sz w:val="24"/>
          <w:szCs w:val="24"/>
        </w:rPr>
      </w:pPr>
      <w:r w:rsidRPr="00EC1AB2">
        <w:rPr>
          <w:rFonts w:ascii="Times New Roman" w:eastAsia="+mn-ea" w:hAnsi="Times New Roman" w:cs="Times New Roman"/>
          <w:bCs/>
          <w:sz w:val="24"/>
          <w:szCs w:val="24"/>
        </w:rPr>
        <w:t>Anot Raidla Lejins &amp; Norcous (2010),</w:t>
      </w:r>
      <w:r w:rsidRPr="00EC1AB2">
        <w:rPr>
          <w:rFonts w:ascii="Times New Roman" w:eastAsia="+mj-ea" w:hAnsi="Times New Roman" w:cs="Times New Roman"/>
          <w:sz w:val="24"/>
          <w:szCs w:val="24"/>
        </w:rPr>
        <w:t xml:space="preserve"> dauguma ES</w:t>
      </w:r>
      <w:r w:rsidR="007915D7" w:rsidRPr="00EC1AB2">
        <w:rPr>
          <w:rFonts w:ascii="Times New Roman" w:eastAsia="+mn-ea" w:hAnsi="Times New Roman" w:cs="Times New Roman"/>
          <w:sz w:val="24"/>
          <w:szCs w:val="24"/>
        </w:rPr>
        <w:t xml:space="preserve"> jurisdikcijų išliks nepaveiktos, nes jos turi nedaug AIFV. </w:t>
      </w:r>
      <w:r w:rsidR="007915D7" w:rsidRPr="00EC1AB2">
        <w:rPr>
          <w:rFonts w:ascii="Times New Roman" w:eastAsia="+mn-ea" w:hAnsi="Times New Roman" w:cs="Times New Roman"/>
          <w:bCs/>
          <w:sz w:val="24"/>
          <w:szCs w:val="24"/>
        </w:rPr>
        <w:t xml:space="preserve">Labiausiai paveikiamos šalys bus: </w:t>
      </w:r>
      <w:r w:rsidR="007915D7" w:rsidRPr="00EC1AB2">
        <w:rPr>
          <w:rFonts w:ascii="Times New Roman" w:eastAsia="+mn-ea" w:hAnsi="Times New Roman" w:cs="Times New Roman"/>
          <w:sz w:val="24"/>
          <w:szCs w:val="24"/>
        </w:rPr>
        <w:t xml:space="preserve">Jungtinė Karalystė, Prancūzija, Vokietija, Liuksemburgas, Airija, Nyderlandų Karalystė. Prie mažiausiai paveikiamų jurisdikcijų galima priskirti Švediją, Italiją, Ispaniją, taip pat ir Lietuvą. </w:t>
      </w:r>
      <w:r w:rsidR="007915D7" w:rsidRPr="00EC1AB2">
        <w:rPr>
          <w:rFonts w:ascii="Times New Roman" w:eastAsia="+mn-ea" w:hAnsi="Times New Roman" w:cs="Times New Roman"/>
          <w:kern w:val="24"/>
          <w:sz w:val="24"/>
          <w:szCs w:val="24"/>
        </w:rPr>
        <w:t xml:space="preserve">Lietuvoje nėra AIF, kurių dydis siektų 100 mln. EUR ir </w:t>
      </w:r>
      <w:r w:rsidR="007915D7" w:rsidRPr="00EC1AB2">
        <w:rPr>
          <w:rFonts w:ascii="Times New Roman" w:eastAsia="+mn-ea" w:hAnsi="Times New Roman" w:cs="Times New Roman"/>
          <w:kern w:val="24"/>
          <w:sz w:val="24"/>
          <w:szCs w:val="24"/>
        </w:rPr>
        <w:lastRenderedPageBreak/>
        <w:t>kurie potencialiai galėtų kelti sisteminę riziką tarptautinėms fi</w:t>
      </w:r>
      <w:r w:rsidR="00CC1E52" w:rsidRPr="00EC1AB2">
        <w:rPr>
          <w:rFonts w:ascii="Times New Roman" w:eastAsia="+mn-ea" w:hAnsi="Times New Roman" w:cs="Times New Roman"/>
          <w:kern w:val="24"/>
          <w:sz w:val="24"/>
          <w:szCs w:val="24"/>
        </w:rPr>
        <w:t>nansų rinkoms, taigi, perkėlus d</w:t>
      </w:r>
      <w:r w:rsidR="007915D7" w:rsidRPr="00EC1AB2">
        <w:rPr>
          <w:rFonts w:ascii="Times New Roman" w:eastAsia="+mn-ea" w:hAnsi="Times New Roman" w:cs="Times New Roman"/>
          <w:kern w:val="24"/>
          <w:sz w:val="24"/>
          <w:szCs w:val="24"/>
        </w:rPr>
        <w:t xml:space="preserve">irektyvą į nacionalinę teisę 2012 metais, Lietuvos AIF nebūtų reguliuojami. </w:t>
      </w:r>
    </w:p>
    <w:p w:rsidR="0002135C" w:rsidRPr="00EC1AB2" w:rsidRDefault="00223F41" w:rsidP="007A02A8">
      <w:pPr>
        <w:kinsoku w:val="0"/>
        <w:overflowPunct w:val="0"/>
        <w:spacing w:after="0" w:line="360" w:lineRule="auto"/>
        <w:ind w:firstLine="567"/>
        <w:jc w:val="both"/>
        <w:textAlignment w:val="baseline"/>
        <w:rPr>
          <w:rFonts w:ascii="Times New Roman" w:eastAsia="+mn-ea" w:hAnsi="Times New Roman" w:cs="Times New Roman"/>
          <w:kern w:val="24"/>
          <w:sz w:val="24"/>
          <w:szCs w:val="24"/>
        </w:rPr>
      </w:pPr>
      <w:r w:rsidRPr="00EC1AB2">
        <w:rPr>
          <w:rFonts w:ascii="Times New Roman" w:eastAsia="+mn-ea" w:hAnsi="Times New Roman" w:cs="Times New Roman"/>
          <w:kern w:val="24"/>
          <w:sz w:val="24"/>
          <w:szCs w:val="24"/>
        </w:rPr>
        <w:t>Taigi, ES mastu RKF n</w:t>
      </w:r>
      <w:r w:rsidR="00FC4AAF" w:rsidRPr="00EC1AB2">
        <w:rPr>
          <w:rFonts w:ascii="Times New Roman" w:eastAsia="+mn-ea" w:hAnsi="Times New Roman" w:cs="Times New Roman"/>
          <w:kern w:val="24"/>
          <w:sz w:val="24"/>
          <w:szCs w:val="24"/>
        </w:rPr>
        <w:t>uo 2011 m. imta reguliuoti</w:t>
      </w:r>
      <w:r w:rsidR="007915D7" w:rsidRPr="00EC1AB2">
        <w:rPr>
          <w:rFonts w:ascii="Times New Roman" w:eastAsia="+mn-ea" w:hAnsi="Times New Roman" w:cs="Times New Roman"/>
          <w:kern w:val="24"/>
          <w:sz w:val="24"/>
          <w:szCs w:val="24"/>
        </w:rPr>
        <w:t xml:space="preserve"> AIFV direktyva, kuri dauge</w:t>
      </w:r>
      <w:r w:rsidRPr="00EC1AB2">
        <w:rPr>
          <w:rFonts w:ascii="Times New Roman" w:eastAsia="+mn-ea" w:hAnsi="Times New Roman" w:cs="Times New Roman"/>
          <w:kern w:val="24"/>
          <w:sz w:val="24"/>
          <w:szCs w:val="24"/>
        </w:rPr>
        <w:t>lio ekspertų nuomone ne skatins,</w:t>
      </w:r>
      <w:r w:rsidR="007915D7" w:rsidRPr="00EC1AB2">
        <w:rPr>
          <w:rFonts w:ascii="Times New Roman" w:eastAsia="+mn-ea" w:hAnsi="Times New Roman" w:cs="Times New Roman"/>
          <w:kern w:val="24"/>
          <w:sz w:val="24"/>
          <w:szCs w:val="24"/>
        </w:rPr>
        <w:t xml:space="preserve"> o apsunki</w:t>
      </w:r>
      <w:r w:rsidRPr="00EC1AB2">
        <w:rPr>
          <w:rFonts w:ascii="Times New Roman" w:eastAsia="+mn-ea" w:hAnsi="Times New Roman" w:cs="Times New Roman"/>
          <w:kern w:val="24"/>
          <w:sz w:val="24"/>
          <w:szCs w:val="24"/>
        </w:rPr>
        <w:t>n</w:t>
      </w:r>
      <w:r w:rsidR="007915D7" w:rsidRPr="00EC1AB2">
        <w:rPr>
          <w:rFonts w:ascii="Times New Roman" w:eastAsia="+mn-ea" w:hAnsi="Times New Roman" w:cs="Times New Roman"/>
          <w:kern w:val="24"/>
          <w:sz w:val="24"/>
          <w:szCs w:val="24"/>
        </w:rPr>
        <w:t>s šių fondų ve</w:t>
      </w:r>
      <w:r w:rsidR="00CC1E52" w:rsidRPr="00EC1AB2">
        <w:rPr>
          <w:rFonts w:ascii="Times New Roman" w:eastAsia="+mn-ea" w:hAnsi="Times New Roman" w:cs="Times New Roman"/>
          <w:kern w:val="24"/>
          <w:sz w:val="24"/>
          <w:szCs w:val="24"/>
        </w:rPr>
        <w:t>iklą, tačiau kaip minėta, šios d</w:t>
      </w:r>
      <w:r w:rsidR="007915D7" w:rsidRPr="00EC1AB2">
        <w:rPr>
          <w:rFonts w:ascii="Times New Roman" w:eastAsia="+mn-ea" w:hAnsi="Times New Roman" w:cs="Times New Roman"/>
          <w:kern w:val="24"/>
          <w:sz w:val="24"/>
          <w:szCs w:val="24"/>
        </w:rPr>
        <w:t>irektyvos nuostatos tiesiogiai neįtakos Lietuvoje v</w:t>
      </w:r>
      <w:r w:rsidRPr="00EC1AB2">
        <w:rPr>
          <w:rFonts w:ascii="Times New Roman" w:eastAsia="+mn-ea" w:hAnsi="Times New Roman" w:cs="Times New Roman"/>
          <w:kern w:val="24"/>
          <w:sz w:val="24"/>
          <w:szCs w:val="24"/>
        </w:rPr>
        <w:t>eikiančių RKF</w:t>
      </w:r>
      <w:r w:rsidR="00E962AA" w:rsidRPr="00EC1AB2">
        <w:rPr>
          <w:rFonts w:ascii="Times New Roman" w:eastAsia="+mn-ea" w:hAnsi="Times New Roman" w:cs="Times New Roman"/>
          <w:kern w:val="24"/>
          <w:sz w:val="24"/>
          <w:szCs w:val="24"/>
        </w:rPr>
        <w:t>.</w:t>
      </w:r>
      <w:r w:rsidR="007915D7" w:rsidRPr="00EC1AB2">
        <w:rPr>
          <w:rFonts w:ascii="Times New Roman" w:eastAsia="+mn-ea" w:hAnsi="Times New Roman" w:cs="Times New Roman"/>
          <w:kern w:val="24"/>
          <w:sz w:val="24"/>
          <w:szCs w:val="24"/>
        </w:rPr>
        <w:t xml:space="preserve"> Įsigaliojus SKIS įstatymo p</w:t>
      </w:r>
      <w:r w:rsidR="00690DA9" w:rsidRPr="00EC1AB2">
        <w:rPr>
          <w:rFonts w:ascii="Times New Roman" w:eastAsia="+mn-ea" w:hAnsi="Times New Roman" w:cs="Times New Roman"/>
          <w:kern w:val="24"/>
          <w:sz w:val="24"/>
          <w:szCs w:val="24"/>
        </w:rPr>
        <w:t>rojektui, RKF</w:t>
      </w:r>
      <w:r w:rsidR="007915D7" w:rsidRPr="00EC1AB2">
        <w:rPr>
          <w:rFonts w:ascii="Times New Roman" w:eastAsia="+mn-ea" w:hAnsi="Times New Roman" w:cs="Times New Roman"/>
          <w:kern w:val="24"/>
          <w:sz w:val="24"/>
          <w:szCs w:val="24"/>
        </w:rPr>
        <w:t xml:space="preserve"> veiklai taikomos sąlygos turėtų būti priartintos prie Europos vakarų valstybėse egzistuojančių.</w:t>
      </w:r>
    </w:p>
    <w:p w:rsidR="007915D7" w:rsidRPr="00EC1AB2" w:rsidRDefault="007915D7" w:rsidP="007A02A8">
      <w:pPr>
        <w:pStyle w:val="ListParagraph"/>
        <w:kinsoku w:val="0"/>
        <w:overflowPunct w:val="0"/>
        <w:spacing w:after="0" w:line="360" w:lineRule="auto"/>
        <w:ind w:left="0"/>
        <w:jc w:val="both"/>
        <w:textAlignment w:val="baseline"/>
        <w:rPr>
          <w:rFonts w:ascii="Times New Roman" w:eastAsia="+mn-ea" w:hAnsi="Times New Roman" w:cs="Times New Roman"/>
          <w:kern w:val="24"/>
          <w:sz w:val="24"/>
          <w:szCs w:val="24"/>
        </w:rPr>
      </w:pPr>
    </w:p>
    <w:p w:rsidR="007915D7" w:rsidRPr="00EC1AB2" w:rsidRDefault="00CC1E52" w:rsidP="007A02A8">
      <w:pPr>
        <w:pStyle w:val="Heading2"/>
        <w:numPr>
          <w:ilvl w:val="1"/>
          <w:numId w:val="22"/>
        </w:numPr>
        <w:spacing w:before="0" w:after="0" w:line="360" w:lineRule="auto"/>
        <w:rPr>
          <w:i w:val="0"/>
          <w:sz w:val="24"/>
          <w:szCs w:val="24"/>
        </w:rPr>
      </w:pPr>
      <w:bookmarkStart w:id="58" w:name="_Toc320566994"/>
      <w:bookmarkStart w:id="59" w:name="_Toc320567034"/>
      <w:bookmarkStart w:id="60" w:name="_Toc320567181"/>
      <w:bookmarkStart w:id="61" w:name="_Toc320761764"/>
      <w:bookmarkStart w:id="62" w:name="_Toc320761909"/>
      <w:bookmarkStart w:id="63" w:name="_Toc320762144"/>
      <w:bookmarkStart w:id="64" w:name="_Toc320762546"/>
      <w:bookmarkStart w:id="65" w:name="_Toc321092697"/>
      <w:r w:rsidRPr="00EC1AB2">
        <w:rPr>
          <w:i w:val="0"/>
          <w:sz w:val="24"/>
          <w:szCs w:val="24"/>
        </w:rPr>
        <w:t>Rizikos kapitalo fondų</w:t>
      </w:r>
      <w:r w:rsidR="007915D7" w:rsidRPr="00EC1AB2">
        <w:rPr>
          <w:i w:val="0"/>
          <w:sz w:val="24"/>
          <w:szCs w:val="24"/>
        </w:rPr>
        <w:t xml:space="preserve"> įtaka šalies ekonomikai</w:t>
      </w:r>
      <w:bookmarkEnd w:id="58"/>
      <w:bookmarkEnd w:id="59"/>
      <w:bookmarkEnd w:id="60"/>
      <w:bookmarkEnd w:id="61"/>
      <w:bookmarkEnd w:id="62"/>
      <w:bookmarkEnd w:id="63"/>
      <w:bookmarkEnd w:id="64"/>
      <w:bookmarkEnd w:id="65"/>
    </w:p>
    <w:p w:rsidR="007915D7" w:rsidRPr="00EC1AB2" w:rsidRDefault="007915D7" w:rsidP="007A02A8">
      <w:pPr>
        <w:pStyle w:val="ListParagraph"/>
        <w:kinsoku w:val="0"/>
        <w:overflowPunct w:val="0"/>
        <w:spacing w:after="0" w:line="360" w:lineRule="auto"/>
        <w:ind w:left="1080"/>
        <w:textAlignment w:val="baseline"/>
        <w:rPr>
          <w:rFonts w:ascii="Times New Roman" w:hAnsi="Times New Roman" w:cs="Times New Roman"/>
          <w:b/>
          <w:sz w:val="28"/>
          <w:szCs w:val="28"/>
        </w:rPr>
      </w:pPr>
    </w:p>
    <w:p w:rsidR="00CB5B00" w:rsidRPr="00EC1AB2" w:rsidRDefault="006375F9"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RKF</w:t>
      </w:r>
      <w:r w:rsidR="007915D7" w:rsidRPr="00EC1AB2">
        <w:rPr>
          <w:rFonts w:ascii="Times New Roman" w:hAnsi="Times New Roman" w:cs="Times New Roman"/>
          <w:sz w:val="24"/>
          <w:szCs w:val="24"/>
        </w:rPr>
        <w:t xml:space="preserve"> investicijos yra neabejotinai rizikingos</w:t>
      </w:r>
      <w:r w:rsidR="00EC7DF5" w:rsidRPr="00EC1AB2">
        <w:rPr>
          <w:rFonts w:ascii="Times New Roman" w:hAnsi="Times New Roman" w:cs="Times New Roman"/>
          <w:sz w:val="24"/>
          <w:szCs w:val="24"/>
        </w:rPr>
        <w:t>, nes investuojama į novatoriškas idėjas</w:t>
      </w:r>
      <w:r w:rsidR="007915D7" w:rsidRPr="00EC1AB2">
        <w:rPr>
          <w:rFonts w:ascii="Times New Roman" w:hAnsi="Times New Roman" w:cs="Times New Roman"/>
          <w:sz w:val="24"/>
          <w:szCs w:val="24"/>
        </w:rPr>
        <w:t>. Kai</w:t>
      </w:r>
      <w:r w:rsidRPr="00EC1AB2">
        <w:rPr>
          <w:rFonts w:ascii="Times New Roman" w:hAnsi="Times New Roman" w:cs="Times New Roman"/>
          <w:sz w:val="24"/>
          <w:szCs w:val="24"/>
        </w:rPr>
        <w:t>p žinoma, RKF</w:t>
      </w:r>
      <w:r w:rsidR="007915D7" w:rsidRPr="00EC1AB2">
        <w:rPr>
          <w:rFonts w:ascii="Times New Roman" w:hAnsi="Times New Roman" w:cs="Times New Roman"/>
          <w:sz w:val="24"/>
          <w:szCs w:val="24"/>
        </w:rPr>
        <w:t xml:space="preserve"> skatina inov</w:t>
      </w:r>
      <w:r w:rsidR="00BC6842" w:rsidRPr="00EC1AB2">
        <w:rPr>
          <w:rFonts w:ascii="Times New Roman" w:hAnsi="Times New Roman" w:cs="Times New Roman"/>
          <w:sz w:val="24"/>
          <w:szCs w:val="24"/>
        </w:rPr>
        <w:t>acijas</w:t>
      </w:r>
      <w:r w:rsidR="00C80848" w:rsidRPr="00EC1AB2">
        <w:rPr>
          <w:rFonts w:ascii="Times New Roman" w:hAnsi="Times New Roman" w:cs="Times New Roman"/>
          <w:sz w:val="24"/>
          <w:szCs w:val="24"/>
        </w:rPr>
        <w:t xml:space="preserve"> finansuodami neseniai pradėjusias savo veiklą arba ankstyvoje plėtros stadijoje esančias įmones, kurios kuria</w:t>
      </w:r>
      <w:r w:rsidR="00100BB5" w:rsidRPr="00EC1AB2">
        <w:rPr>
          <w:rFonts w:ascii="Times New Roman" w:hAnsi="Times New Roman" w:cs="Times New Roman"/>
          <w:sz w:val="24"/>
          <w:szCs w:val="24"/>
        </w:rPr>
        <w:t xml:space="preserve"> naujus, inovatyvius produktus bei procesus.</w:t>
      </w:r>
      <w:r w:rsidR="00826486" w:rsidRPr="00EC1AB2">
        <w:rPr>
          <w:rFonts w:ascii="Times New Roman" w:hAnsi="Times New Roman" w:cs="Times New Roman"/>
          <w:sz w:val="24"/>
          <w:szCs w:val="24"/>
        </w:rPr>
        <w:t xml:space="preserve"> Kaip teigia </w:t>
      </w:r>
      <w:r w:rsidR="001F1252" w:rsidRPr="00EC1AB2">
        <w:rPr>
          <w:rFonts w:ascii="Times New Roman" w:hAnsi="Times New Roman" w:cs="Times New Roman"/>
          <w:sz w:val="24"/>
          <w:szCs w:val="24"/>
        </w:rPr>
        <w:t>Snieška, Venckuvienė (2011),</w:t>
      </w:r>
      <w:r w:rsidR="00AB66CF" w:rsidRPr="00EC1AB2">
        <w:rPr>
          <w:rFonts w:ascii="Times New Roman" w:hAnsi="Times New Roman" w:cs="Times New Roman"/>
          <w:sz w:val="24"/>
          <w:szCs w:val="24"/>
        </w:rPr>
        <w:t xml:space="preserve"> finansavimo stoka </w:t>
      </w:r>
      <w:r w:rsidR="001F1252" w:rsidRPr="00EC1AB2">
        <w:rPr>
          <w:rFonts w:ascii="Times New Roman" w:hAnsi="Times New Roman" w:cs="Times New Roman"/>
          <w:sz w:val="24"/>
          <w:szCs w:val="24"/>
        </w:rPr>
        <w:t>–</w:t>
      </w:r>
      <w:r w:rsidR="00AB66CF" w:rsidRPr="00EC1AB2">
        <w:rPr>
          <w:rFonts w:ascii="Times New Roman" w:hAnsi="Times New Roman" w:cs="Times New Roman"/>
          <w:sz w:val="24"/>
          <w:szCs w:val="24"/>
        </w:rPr>
        <w:t xml:space="preserve"> tai</w:t>
      </w:r>
      <w:r w:rsidR="001F1252" w:rsidRPr="00EC1AB2">
        <w:rPr>
          <w:rFonts w:ascii="Times New Roman" w:hAnsi="Times New Roman" w:cs="Times New Roman"/>
          <w:sz w:val="24"/>
          <w:szCs w:val="24"/>
        </w:rPr>
        <w:t xml:space="preserve"> </w:t>
      </w:r>
      <w:r w:rsidR="00AB66CF" w:rsidRPr="00EC1AB2">
        <w:rPr>
          <w:rFonts w:ascii="Times New Roman" w:hAnsi="Times New Roman" w:cs="Times New Roman"/>
          <w:sz w:val="24"/>
          <w:szCs w:val="24"/>
        </w:rPr>
        <w:t>pagrindinė problema, su kuria susiduria MVĮ ankstyvajame plėtros etape</w:t>
      </w:r>
      <w:r w:rsidR="00C80848" w:rsidRPr="00EC1AB2">
        <w:rPr>
          <w:rFonts w:ascii="Times New Roman" w:hAnsi="Times New Roman" w:cs="Times New Roman"/>
          <w:sz w:val="24"/>
          <w:szCs w:val="24"/>
        </w:rPr>
        <w:t>. J</w:t>
      </w:r>
      <w:r w:rsidR="00E432AE" w:rsidRPr="00EC1AB2">
        <w:rPr>
          <w:rFonts w:ascii="Times New Roman" w:hAnsi="Times New Roman" w:cs="Times New Roman"/>
          <w:sz w:val="24"/>
          <w:szCs w:val="24"/>
        </w:rPr>
        <w:t>aunos ir</w:t>
      </w:r>
      <w:r w:rsidR="00C80848" w:rsidRPr="00EC1AB2">
        <w:rPr>
          <w:rFonts w:ascii="Times New Roman" w:hAnsi="Times New Roman" w:cs="Times New Roman"/>
          <w:sz w:val="24"/>
          <w:szCs w:val="24"/>
        </w:rPr>
        <w:t xml:space="preserve"> </w:t>
      </w:r>
      <w:r w:rsidR="00E432AE" w:rsidRPr="00EC1AB2">
        <w:rPr>
          <w:rFonts w:ascii="Times New Roman" w:hAnsi="Times New Roman" w:cs="Times New Roman"/>
          <w:sz w:val="24"/>
          <w:szCs w:val="24"/>
        </w:rPr>
        <w:t>perspektyvios įmonės neturi ilgalaikės veiklos rezultatų,</w:t>
      </w:r>
      <w:r w:rsidR="00C80848" w:rsidRPr="00EC1AB2">
        <w:rPr>
          <w:rFonts w:ascii="Times New Roman" w:hAnsi="Times New Roman" w:cs="Times New Roman"/>
          <w:sz w:val="24"/>
          <w:szCs w:val="24"/>
        </w:rPr>
        <w:t xml:space="preserve"> todėl</w:t>
      </w:r>
      <w:r w:rsidR="00E432AE" w:rsidRPr="00EC1AB2">
        <w:rPr>
          <w:rFonts w:ascii="Times New Roman" w:hAnsi="Times New Roman" w:cs="Times New Roman"/>
          <w:sz w:val="24"/>
          <w:szCs w:val="24"/>
        </w:rPr>
        <w:t xml:space="preserve"> dažnai s</w:t>
      </w:r>
      <w:r w:rsidR="00C80848" w:rsidRPr="00EC1AB2">
        <w:rPr>
          <w:rFonts w:ascii="Times New Roman" w:hAnsi="Times New Roman" w:cs="Times New Roman"/>
          <w:sz w:val="24"/>
          <w:szCs w:val="24"/>
        </w:rPr>
        <w:t>usiduria su apyvartinių lėšų trū</w:t>
      </w:r>
      <w:r w:rsidR="00E432AE" w:rsidRPr="00EC1AB2">
        <w:rPr>
          <w:rFonts w:ascii="Times New Roman" w:hAnsi="Times New Roman" w:cs="Times New Roman"/>
          <w:sz w:val="24"/>
          <w:szCs w:val="24"/>
        </w:rPr>
        <w:t>kumu ir neturi pakankamai</w:t>
      </w:r>
      <w:r w:rsidR="00C80848" w:rsidRPr="00EC1AB2">
        <w:rPr>
          <w:rFonts w:ascii="Times New Roman" w:hAnsi="Times New Roman" w:cs="Times New Roman"/>
          <w:sz w:val="24"/>
          <w:szCs w:val="24"/>
        </w:rPr>
        <w:t xml:space="preserve"> turto, kad galėtų naudoti kaip </w:t>
      </w:r>
      <w:r w:rsidR="00E432AE" w:rsidRPr="00EC1AB2">
        <w:rPr>
          <w:rFonts w:ascii="Times New Roman" w:hAnsi="Times New Roman" w:cs="Times New Roman"/>
          <w:sz w:val="24"/>
          <w:szCs w:val="24"/>
        </w:rPr>
        <w:t>užstatą banku</w:t>
      </w:r>
      <w:r w:rsidR="00C80848" w:rsidRPr="00EC1AB2">
        <w:rPr>
          <w:rFonts w:ascii="Times New Roman" w:hAnsi="Times New Roman" w:cs="Times New Roman"/>
          <w:sz w:val="24"/>
          <w:szCs w:val="24"/>
        </w:rPr>
        <w:t xml:space="preserve">i, </w:t>
      </w:r>
      <w:r w:rsidR="00EC23FE" w:rsidRPr="00EC1AB2">
        <w:rPr>
          <w:rFonts w:ascii="Times New Roman" w:hAnsi="Times New Roman" w:cs="Times New Roman"/>
          <w:sz w:val="24"/>
          <w:szCs w:val="24"/>
        </w:rPr>
        <w:t xml:space="preserve">todėl rizikos kapitalo vaidmuo </w:t>
      </w:r>
      <w:r w:rsidR="00100BB5" w:rsidRPr="00EC1AB2">
        <w:rPr>
          <w:rFonts w:ascii="Times New Roman" w:hAnsi="Times New Roman" w:cs="Times New Roman"/>
          <w:sz w:val="24"/>
          <w:szCs w:val="24"/>
        </w:rPr>
        <w:t xml:space="preserve">šiame įmonės vystymosi etape </w:t>
      </w:r>
      <w:r w:rsidR="00EC23FE" w:rsidRPr="00EC1AB2">
        <w:rPr>
          <w:rFonts w:ascii="Times New Roman" w:hAnsi="Times New Roman" w:cs="Times New Roman"/>
          <w:sz w:val="24"/>
          <w:szCs w:val="24"/>
        </w:rPr>
        <w:t xml:space="preserve">tampa </w:t>
      </w:r>
      <w:r w:rsidR="00100BB5" w:rsidRPr="00EC1AB2">
        <w:rPr>
          <w:rFonts w:ascii="Times New Roman" w:hAnsi="Times New Roman" w:cs="Times New Roman"/>
          <w:sz w:val="24"/>
          <w:szCs w:val="24"/>
        </w:rPr>
        <w:t>ypač</w:t>
      </w:r>
      <w:r w:rsidR="00EC23FE" w:rsidRPr="00EC1AB2">
        <w:rPr>
          <w:rFonts w:ascii="Times New Roman" w:hAnsi="Times New Roman" w:cs="Times New Roman"/>
          <w:sz w:val="24"/>
          <w:szCs w:val="24"/>
        </w:rPr>
        <w:t xml:space="preserve"> svarbus.</w:t>
      </w:r>
    </w:p>
    <w:p w:rsidR="00F548CD" w:rsidRPr="00EC1AB2" w:rsidRDefault="006972AF"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Kaip jau minėta, RKF portfelio įmonei suteikia ne tik finansinį kapitalą, bet ir </w:t>
      </w:r>
      <w:r w:rsidR="000D621F" w:rsidRPr="00EC1AB2">
        <w:rPr>
          <w:rFonts w:ascii="Times New Roman" w:hAnsi="Times New Roman" w:cs="Times New Roman"/>
          <w:sz w:val="24"/>
          <w:szCs w:val="24"/>
        </w:rPr>
        <w:t xml:space="preserve">nepakeičiamos vertės </w:t>
      </w:r>
      <w:r w:rsidRPr="00EC1AB2">
        <w:rPr>
          <w:rFonts w:ascii="Times New Roman" w:hAnsi="Times New Roman" w:cs="Times New Roman"/>
          <w:sz w:val="24"/>
          <w:szCs w:val="24"/>
        </w:rPr>
        <w:t>konsultacijas verslo plėtojimo, produkto plėtojimo ir kt. klausimais.</w:t>
      </w:r>
      <w:r w:rsidR="00673EE8" w:rsidRPr="00EC1AB2">
        <w:rPr>
          <w:rFonts w:ascii="Times New Roman" w:hAnsi="Times New Roman" w:cs="Times New Roman"/>
          <w:sz w:val="24"/>
          <w:szCs w:val="24"/>
        </w:rPr>
        <w:t xml:space="preserve"> Taigi, </w:t>
      </w:r>
      <w:r w:rsidR="00F548CD" w:rsidRPr="00EC1AB2">
        <w:rPr>
          <w:rFonts w:ascii="Times New Roman" w:hAnsi="Times New Roman" w:cs="Times New Roman"/>
          <w:sz w:val="24"/>
          <w:szCs w:val="24"/>
        </w:rPr>
        <w:t xml:space="preserve">RKF </w:t>
      </w:r>
      <w:r w:rsidR="00673EE8" w:rsidRPr="00EC1AB2">
        <w:rPr>
          <w:rFonts w:ascii="Times New Roman" w:hAnsi="Times New Roman" w:cs="Times New Roman"/>
          <w:sz w:val="24"/>
          <w:szCs w:val="24"/>
        </w:rPr>
        <w:t xml:space="preserve">finansuodamas įmones daro </w:t>
      </w:r>
      <w:r w:rsidR="000D621F" w:rsidRPr="00EC1AB2">
        <w:rPr>
          <w:rFonts w:ascii="Times New Roman" w:hAnsi="Times New Roman" w:cs="Times New Roman"/>
          <w:sz w:val="24"/>
          <w:szCs w:val="24"/>
        </w:rPr>
        <w:t xml:space="preserve">teigiamą </w:t>
      </w:r>
      <w:r w:rsidR="00673EE8" w:rsidRPr="00EC1AB2">
        <w:rPr>
          <w:rFonts w:ascii="Times New Roman" w:hAnsi="Times New Roman" w:cs="Times New Roman"/>
          <w:sz w:val="24"/>
          <w:szCs w:val="24"/>
        </w:rPr>
        <w:t>įtaką ekonomikai</w:t>
      </w:r>
      <w:r w:rsidR="000D621F" w:rsidRPr="00EC1AB2">
        <w:rPr>
          <w:rFonts w:ascii="Times New Roman" w:hAnsi="Times New Roman" w:cs="Times New Roman"/>
          <w:sz w:val="24"/>
          <w:szCs w:val="24"/>
        </w:rPr>
        <w:t>, nors ir netiesiogiai</w:t>
      </w:r>
      <w:r w:rsidR="002B0A9F" w:rsidRPr="00EC1AB2">
        <w:rPr>
          <w:rFonts w:ascii="Times New Roman" w:hAnsi="Times New Roman" w:cs="Times New Roman"/>
          <w:sz w:val="24"/>
          <w:szCs w:val="24"/>
        </w:rPr>
        <w:t xml:space="preserve"> </w:t>
      </w:r>
      <w:r w:rsidR="001C446E" w:rsidRPr="00EC1AB2">
        <w:rPr>
          <w:rFonts w:ascii="Times New Roman" w:hAnsi="Times New Roman" w:cs="Times New Roman"/>
          <w:sz w:val="24"/>
          <w:szCs w:val="24"/>
        </w:rPr>
        <w:t>(žr. 3 pav.).</w:t>
      </w:r>
    </w:p>
    <w:p w:rsidR="0080367C" w:rsidRPr="00EC1AB2" w:rsidRDefault="0080367C" w:rsidP="007A02A8">
      <w:pPr>
        <w:autoSpaceDE w:val="0"/>
        <w:autoSpaceDN w:val="0"/>
        <w:adjustRightInd w:val="0"/>
        <w:spacing w:after="0" w:line="360" w:lineRule="auto"/>
        <w:ind w:firstLine="567"/>
        <w:jc w:val="both"/>
        <w:rPr>
          <w:rFonts w:ascii="Times New Roman" w:hAnsi="Times New Roman" w:cs="Times New Roman"/>
          <w:sz w:val="24"/>
          <w:szCs w:val="24"/>
        </w:rPr>
      </w:pPr>
    </w:p>
    <w:p w:rsidR="0080367C" w:rsidRPr="00EC1AB2" w:rsidRDefault="006951AF"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rPr>
        <w:object w:dxaOrig="11140" w:dyaOrig="575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6.25pt;height:215.25pt" o:ole="">
            <v:imagedata r:id="rId12" o:title="" gain="109227f" grayscale="t" bilevel="t"/>
          </v:shape>
          <o:OLEObject Type="Embed" ProgID="Visio.Drawing.11" ShapeID="_x0000_i1025" DrawAspect="Content" ObjectID="_1396379494" r:id="rId13"/>
        </w:object>
      </w:r>
    </w:p>
    <w:p w:rsidR="0080367C" w:rsidRPr="00EC1AB2" w:rsidRDefault="006951AF" w:rsidP="007A02A8">
      <w:pPr>
        <w:autoSpaceDE w:val="0"/>
        <w:autoSpaceDN w:val="0"/>
        <w:adjustRightInd w:val="0"/>
        <w:spacing w:after="0" w:line="360" w:lineRule="auto"/>
        <w:ind w:firstLine="567"/>
        <w:jc w:val="both"/>
        <w:rPr>
          <w:rFonts w:ascii="Times New Roman" w:hAnsi="Times New Roman" w:cs="Times New Roman"/>
          <w:sz w:val="20"/>
          <w:szCs w:val="20"/>
        </w:rPr>
      </w:pPr>
      <w:r w:rsidRPr="00EC1AB2">
        <w:rPr>
          <w:rFonts w:ascii="Times New Roman" w:hAnsi="Times New Roman" w:cs="Times New Roman"/>
          <w:b/>
          <w:sz w:val="20"/>
          <w:szCs w:val="20"/>
        </w:rPr>
        <w:t>Šaltinis:</w:t>
      </w:r>
      <w:r w:rsidRPr="00EC1AB2">
        <w:rPr>
          <w:rFonts w:ascii="Times New Roman" w:hAnsi="Times New Roman" w:cs="Times New Roman"/>
          <w:sz w:val="20"/>
          <w:szCs w:val="20"/>
        </w:rPr>
        <w:t xml:space="preserve"> Snieška, Venckuvienė (2009)</w:t>
      </w:r>
    </w:p>
    <w:p w:rsidR="006951AF" w:rsidRPr="00EC1AB2" w:rsidRDefault="006951AF" w:rsidP="007A02A8">
      <w:pPr>
        <w:pStyle w:val="Heading5"/>
        <w:spacing w:before="0" w:line="360" w:lineRule="auto"/>
        <w:jc w:val="center"/>
        <w:rPr>
          <w:rFonts w:ascii="Times New Roman" w:hAnsi="Times New Roman" w:cs="Times New Roman"/>
          <w:b/>
          <w:color w:val="auto"/>
          <w:sz w:val="24"/>
          <w:szCs w:val="24"/>
        </w:rPr>
      </w:pPr>
      <w:bookmarkStart w:id="66" w:name="_Toc320761910"/>
      <w:bookmarkStart w:id="67" w:name="_Toc320762145"/>
      <w:bookmarkStart w:id="68" w:name="_Toc320762547"/>
      <w:r w:rsidRPr="00EC1AB2">
        <w:rPr>
          <w:rFonts w:ascii="Times New Roman" w:hAnsi="Times New Roman" w:cs="Times New Roman"/>
          <w:color w:val="auto"/>
          <w:sz w:val="24"/>
          <w:szCs w:val="24"/>
        </w:rPr>
        <w:t>3 pav.</w:t>
      </w:r>
      <w:r w:rsidRPr="00EC1AB2">
        <w:rPr>
          <w:rFonts w:ascii="Times New Roman" w:hAnsi="Times New Roman" w:cs="Times New Roman"/>
          <w:b/>
          <w:color w:val="auto"/>
          <w:sz w:val="24"/>
          <w:szCs w:val="24"/>
        </w:rPr>
        <w:t xml:space="preserve"> </w:t>
      </w:r>
      <w:r w:rsidR="00E30D9F" w:rsidRPr="00EC1AB2">
        <w:rPr>
          <w:rFonts w:ascii="Times New Roman" w:hAnsi="Times New Roman" w:cs="Times New Roman"/>
          <w:b/>
          <w:color w:val="auto"/>
          <w:sz w:val="24"/>
          <w:szCs w:val="24"/>
        </w:rPr>
        <w:t>Rizikos kapitalo įtaka regiono konkurencingumui</w:t>
      </w:r>
      <w:bookmarkEnd w:id="66"/>
      <w:bookmarkEnd w:id="67"/>
      <w:bookmarkEnd w:id="68"/>
    </w:p>
    <w:p w:rsidR="00E30D9F" w:rsidRPr="00EC1AB2" w:rsidRDefault="00E30D9F" w:rsidP="007A02A8">
      <w:pPr>
        <w:autoSpaceDE w:val="0"/>
        <w:autoSpaceDN w:val="0"/>
        <w:adjustRightInd w:val="0"/>
        <w:spacing w:after="0" w:line="360" w:lineRule="auto"/>
        <w:ind w:firstLine="567"/>
        <w:jc w:val="both"/>
        <w:rPr>
          <w:rFonts w:ascii="Times New Roman" w:hAnsi="Times New Roman" w:cs="Times New Roman"/>
          <w:sz w:val="24"/>
          <w:szCs w:val="24"/>
        </w:rPr>
      </w:pPr>
    </w:p>
    <w:p w:rsidR="0080367C" w:rsidRPr="00EC1AB2" w:rsidRDefault="006D13DD"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lastRenderedPageBreak/>
        <w:t xml:space="preserve">Kaip matyti iš 3 pav. </w:t>
      </w:r>
      <w:r w:rsidR="00FD31D1" w:rsidRPr="00EC1AB2">
        <w:rPr>
          <w:rFonts w:ascii="Times New Roman" w:hAnsi="Times New Roman" w:cs="Times New Roman"/>
          <w:sz w:val="24"/>
          <w:szCs w:val="24"/>
        </w:rPr>
        <w:t xml:space="preserve">investavus kapitalą į ankstyvos plėtros stadijos inovatyvią įmonę, t.y. finansuojant inovatyvius projektus auga produktyvumas, taip pat įmonės sukuriama pridėtinė vertė, užimama rinkos dalis, </w:t>
      </w:r>
      <w:r w:rsidR="00792014" w:rsidRPr="00EC1AB2">
        <w:rPr>
          <w:rFonts w:ascii="Times New Roman" w:hAnsi="Times New Roman" w:cs="Times New Roman"/>
          <w:sz w:val="24"/>
          <w:szCs w:val="24"/>
        </w:rPr>
        <w:t>skatinamas</w:t>
      </w:r>
      <w:r w:rsidR="00627547" w:rsidRPr="00EC1AB2">
        <w:rPr>
          <w:rFonts w:ascii="Times New Roman" w:hAnsi="Times New Roman" w:cs="Times New Roman"/>
          <w:sz w:val="24"/>
          <w:szCs w:val="24"/>
        </w:rPr>
        <w:t xml:space="preserve"> ekonomik</w:t>
      </w:r>
      <w:r w:rsidR="00792014" w:rsidRPr="00EC1AB2">
        <w:rPr>
          <w:rFonts w:ascii="Times New Roman" w:hAnsi="Times New Roman" w:cs="Times New Roman"/>
          <w:sz w:val="24"/>
          <w:szCs w:val="24"/>
        </w:rPr>
        <w:t xml:space="preserve">os augimas, </w:t>
      </w:r>
      <w:r w:rsidR="00FD31D1" w:rsidRPr="00EC1AB2">
        <w:rPr>
          <w:rFonts w:ascii="Times New Roman" w:hAnsi="Times New Roman" w:cs="Times New Roman"/>
          <w:sz w:val="24"/>
          <w:szCs w:val="24"/>
        </w:rPr>
        <w:t>nedarb</w:t>
      </w:r>
      <w:r w:rsidR="00792014" w:rsidRPr="00EC1AB2">
        <w:rPr>
          <w:rFonts w:ascii="Times New Roman" w:hAnsi="Times New Roman" w:cs="Times New Roman"/>
          <w:sz w:val="24"/>
          <w:szCs w:val="24"/>
        </w:rPr>
        <w:t xml:space="preserve">o lygio mažėjimas, </w:t>
      </w:r>
      <w:r w:rsidR="00FD31D1" w:rsidRPr="00EC1AB2">
        <w:rPr>
          <w:rFonts w:ascii="Times New Roman" w:hAnsi="Times New Roman" w:cs="Times New Roman"/>
          <w:sz w:val="24"/>
          <w:szCs w:val="24"/>
        </w:rPr>
        <w:t>pragyvenimo</w:t>
      </w:r>
      <w:r w:rsidR="00792014" w:rsidRPr="00EC1AB2">
        <w:rPr>
          <w:rFonts w:ascii="Times New Roman" w:hAnsi="Times New Roman" w:cs="Times New Roman"/>
          <w:sz w:val="24"/>
          <w:szCs w:val="24"/>
        </w:rPr>
        <w:t xml:space="preserve"> lygio augimas, taigi </w:t>
      </w:r>
      <w:r w:rsidR="00FD31D1" w:rsidRPr="00EC1AB2">
        <w:rPr>
          <w:rFonts w:ascii="Times New Roman" w:hAnsi="Times New Roman" w:cs="Times New Roman"/>
          <w:sz w:val="24"/>
          <w:szCs w:val="24"/>
        </w:rPr>
        <w:t>didėja viso regiono konkurencingumas.</w:t>
      </w:r>
    </w:p>
    <w:p w:rsidR="000009AE" w:rsidRPr="00EC1AB2" w:rsidRDefault="0021588B"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RKF</w:t>
      </w:r>
      <w:r w:rsidR="00895A55" w:rsidRPr="00EC1AB2">
        <w:rPr>
          <w:rFonts w:ascii="Times New Roman" w:hAnsi="Times New Roman" w:cs="Times New Roman"/>
          <w:sz w:val="24"/>
          <w:szCs w:val="24"/>
        </w:rPr>
        <w:t xml:space="preserve"> galima apibūdinti kaip lėšų perdavimo kanalus, nes jie teikia finansavimą</w:t>
      </w:r>
      <w:r w:rsidR="004F615C" w:rsidRPr="00EC1AB2">
        <w:rPr>
          <w:rFonts w:ascii="Times New Roman" w:hAnsi="Times New Roman" w:cs="Times New Roman"/>
          <w:sz w:val="24"/>
          <w:szCs w:val="24"/>
        </w:rPr>
        <w:t xml:space="preserve"> </w:t>
      </w:r>
      <w:r w:rsidR="007915D7" w:rsidRPr="00EC1AB2">
        <w:rPr>
          <w:rFonts w:ascii="Times New Roman" w:hAnsi="Times New Roman" w:cs="Times New Roman"/>
          <w:sz w:val="24"/>
          <w:szCs w:val="24"/>
        </w:rPr>
        <w:t>ek</w:t>
      </w:r>
      <w:r w:rsidR="004F615C" w:rsidRPr="00EC1AB2">
        <w:rPr>
          <w:rFonts w:ascii="Times New Roman" w:hAnsi="Times New Roman" w:cs="Times New Roman"/>
          <w:sz w:val="24"/>
          <w:szCs w:val="24"/>
        </w:rPr>
        <w:t xml:space="preserve">onomikos sektoriams, </w:t>
      </w:r>
      <w:r w:rsidR="007915D7" w:rsidRPr="00EC1AB2">
        <w:rPr>
          <w:rFonts w:ascii="Times New Roman" w:hAnsi="Times New Roman" w:cs="Times New Roman"/>
          <w:sz w:val="24"/>
          <w:szCs w:val="24"/>
        </w:rPr>
        <w:t>neturi</w:t>
      </w:r>
      <w:r w:rsidR="004F615C" w:rsidRPr="00EC1AB2">
        <w:rPr>
          <w:rFonts w:ascii="Times New Roman" w:hAnsi="Times New Roman" w:cs="Times New Roman"/>
          <w:sz w:val="24"/>
          <w:szCs w:val="24"/>
        </w:rPr>
        <w:t>ntiems</w:t>
      </w:r>
      <w:r w:rsidR="007915D7" w:rsidRPr="00EC1AB2">
        <w:rPr>
          <w:rFonts w:ascii="Times New Roman" w:hAnsi="Times New Roman" w:cs="Times New Roman"/>
          <w:sz w:val="24"/>
          <w:szCs w:val="24"/>
        </w:rPr>
        <w:t xml:space="preserve"> galimybės tiesiogiai d</w:t>
      </w:r>
      <w:r w:rsidR="00895A55" w:rsidRPr="00EC1AB2">
        <w:rPr>
          <w:rFonts w:ascii="Times New Roman" w:hAnsi="Times New Roman" w:cs="Times New Roman"/>
          <w:sz w:val="24"/>
          <w:szCs w:val="24"/>
        </w:rPr>
        <w:t>alyvauti kapitalo rinkoje (žr. 4</w:t>
      </w:r>
      <w:r w:rsidR="007915D7" w:rsidRPr="00EC1AB2">
        <w:rPr>
          <w:rFonts w:ascii="Times New Roman" w:hAnsi="Times New Roman" w:cs="Times New Roman"/>
          <w:sz w:val="24"/>
          <w:szCs w:val="24"/>
        </w:rPr>
        <w:t xml:space="preserve"> pav.). </w:t>
      </w:r>
    </w:p>
    <w:p w:rsidR="00EE7118" w:rsidRPr="00EC1AB2" w:rsidRDefault="007A02A8"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noProof/>
          <w:sz w:val="24"/>
          <w:szCs w:val="24"/>
          <w:lang w:eastAsia="lt-LT"/>
        </w:rPr>
        <w:drawing>
          <wp:anchor distT="0" distB="0" distL="114300" distR="114300" simplePos="0" relativeHeight="251961344" behindDoc="0" locked="0" layoutInCell="1" allowOverlap="1" wp14:anchorId="3EA4069D" wp14:editId="359E9505">
            <wp:simplePos x="0" y="0"/>
            <wp:positionH relativeFrom="column">
              <wp:posOffset>413385</wp:posOffset>
            </wp:positionH>
            <wp:positionV relativeFrom="paragraph">
              <wp:posOffset>520700</wp:posOffset>
            </wp:positionV>
            <wp:extent cx="5486400" cy="3200400"/>
            <wp:effectExtent l="0" t="0" r="19050" b="57150"/>
            <wp:wrapTopAndBottom/>
            <wp:docPr id="168" name="Diagram 16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14:sizeRelH relativeFrom="page">
              <wp14:pctWidth>0</wp14:pctWidth>
            </wp14:sizeRelH>
            <wp14:sizeRelV relativeFrom="page">
              <wp14:pctHeight>0</wp14:pctHeight>
            </wp14:sizeRelV>
          </wp:anchor>
        </w:drawing>
      </w:r>
      <w:r w:rsidR="00D934D3" w:rsidRPr="00EC1AB2">
        <w:rPr>
          <w:rFonts w:ascii="Times New Roman" w:hAnsi="Times New Roman" w:cs="Times New Roman"/>
          <w:noProof/>
          <w:lang w:eastAsia="lt-LT"/>
        </w:rPr>
        <mc:AlternateContent>
          <mc:Choice Requires="wpg">
            <w:drawing>
              <wp:anchor distT="0" distB="0" distL="114300" distR="114300" simplePos="0" relativeHeight="251945984" behindDoc="0" locked="0" layoutInCell="1" allowOverlap="1" wp14:anchorId="1FC7AE72" wp14:editId="4A7C05C8">
                <wp:simplePos x="0" y="0"/>
                <wp:positionH relativeFrom="column">
                  <wp:posOffset>533173</wp:posOffset>
                </wp:positionH>
                <wp:positionV relativeFrom="paragraph">
                  <wp:posOffset>645985</wp:posOffset>
                </wp:positionV>
                <wp:extent cx="4854575" cy="3094990"/>
                <wp:effectExtent l="0" t="0" r="3175" b="0"/>
                <wp:wrapNone/>
                <wp:docPr id="6" name="Group 6"/>
                <wp:cNvGraphicFramePr/>
                <a:graphic xmlns:a="http://schemas.openxmlformats.org/drawingml/2006/main">
                  <a:graphicData uri="http://schemas.microsoft.com/office/word/2010/wordprocessingGroup">
                    <wpg:wgp>
                      <wpg:cNvGrpSpPr/>
                      <wpg:grpSpPr>
                        <a:xfrm>
                          <a:off x="0" y="0"/>
                          <a:ext cx="4854575" cy="3094990"/>
                          <a:chOff x="0" y="0"/>
                          <a:chExt cx="4854956" cy="3095283"/>
                        </a:xfrm>
                      </wpg:grpSpPr>
                      <wps:wsp>
                        <wps:cNvPr id="169" name="Text Box 169"/>
                        <wps:cNvSpPr txBox="1"/>
                        <wps:spPr>
                          <a:xfrm>
                            <a:off x="3496666" y="0"/>
                            <a:ext cx="1073426" cy="39756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C1AB2" w:rsidRPr="00EE7118" w:rsidRDefault="00EC1AB2" w:rsidP="002A4D40">
                              <w:pPr>
                                <w:jc w:val="center"/>
                                <w:rPr>
                                  <w:rFonts w:ascii="Times New Roman" w:hAnsi="Times New Roman" w:cs="Times New Roman"/>
                                  <w:sz w:val="18"/>
                                  <w:szCs w:val="18"/>
                                </w:rPr>
                              </w:pPr>
                              <w:r>
                                <w:rPr>
                                  <w:rFonts w:ascii="Times New Roman" w:hAnsi="Times New Roman" w:cs="Times New Roman"/>
                                  <w:sz w:val="18"/>
                                  <w:szCs w:val="18"/>
                                </w:rPr>
                                <w:t>Indėliai, pensijų sutartys ir kt.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0" name="Text Box 170"/>
                        <wps:cNvSpPr txBox="1"/>
                        <wps:spPr>
                          <a:xfrm>
                            <a:off x="4059936" y="1221638"/>
                            <a:ext cx="795020" cy="27813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C1AB2" w:rsidRDefault="00EC1AB2" w:rsidP="00EE7118">
                              <w:r w:rsidRPr="002A4D40">
                                <w:rPr>
                                  <w:rFonts w:ascii="Times New Roman" w:hAnsi="Times New Roman" w:cs="Times New Roman"/>
                                  <w:sz w:val="18"/>
                                  <w:szCs w:val="18"/>
                                </w:rPr>
                                <w:t>Investicijo</w:t>
                              </w:r>
                              <w:r>
                                <w: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1" name="Text Box 171"/>
                        <wps:cNvSpPr txBox="1"/>
                        <wps:spPr>
                          <a:xfrm>
                            <a:off x="3408883" y="2545689"/>
                            <a:ext cx="1367625" cy="492981"/>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C1AB2" w:rsidRPr="002A4D40" w:rsidRDefault="00EC1AB2" w:rsidP="002A4D40">
                              <w:pPr>
                                <w:jc w:val="center"/>
                                <w:rPr>
                                  <w:rFonts w:ascii="Times New Roman" w:hAnsi="Times New Roman" w:cs="Times New Roman"/>
                                  <w:sz w:val="18"/>
                                  <w:szCs w:val="18"/>
                                </w:rPr>
                              </w:pPr>
                              <w:r w:rsidRPr="002A4D40">
                                <w:rPr>
                                  <w:rFonts w:ascii="Times New Roman" w:hAnsi="Times New Roman" w:cs="Times New Roman"/>
                                  <w:sz w:val="18"/>
                                  <w:szCs w:val="18"/>
                                </w:rPr>
                                <w:t xml:space="preserve">Finansinis bei intelektinis </w:t>
                              </w:r>
                              <w:r>
                                <w:rPr>
                                  <w:rFonts w:ascii="Times New Roman" w:hAnsi="Times New Roman" w:cs="Times New Roman"/>
                                  <w:sz w:val="18"/>
                                  <w:szCs w:val="18"/>
                                </w:rPr>
                                <w:t xml:space="preserve">       </w:t>
                              </w:r>
                              <w:r w:rsidRPr="002A4D40">
                                <w:rPr>
                                  <w:rFonts w:ascii="Times New Roman" w:hAnsi="Times New Roman" w:cs="Times New Roman"/>
                                  <w:sz w:val="18"/>
                                  <w:szCs w:val="18"/>
                                </w:rPr>
                                <w:t>kapitalas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2" name="Text Box 172"/>
                        <wps:cNvSpPr txBox="1"/>
                        <wps:spPr>
                          <a:xfrm>
                            <a:off x="541325" y="2626156"/>
                            <a:ext cx="1343660" cy="469127"/>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C1AB2" w:rsidRPr="002A4D40" w:rsidRDefault="00EC1AB2" w:rsidP="002A4D40">
                              <w:pPr>
                                <w:jc w:val="center"/>
                                <w:rPr>
                                  <w:rFonts w:ascii="Times New Roman" w:hAnsi="Times New Roman" w:cs="Times New Roman"/>
                                  <w:sz w:val="18"/>
                                  <w:szCs w:val="18"/>
                                </w:rPr>
                              </w:pPr>
                              <w:r w:rsidRPr="002A4D40">
                                <w:rPr>
                                  <w:rFonts w:ascii="Times New Roman" w:hAnsi="Times New Roman" w:cs="Times New Roman"/>
                                  <w:sz w:val="18"/>
                                  <w:szCs w:val="18"/>
                                </w:rPr>
                                <w:t>Investuotas finansini</w:t>
                              </w:r>
                              <w:r>
                                <w:rPr>
                                  <w:rFonts w:ascii="Times New Roman" w:hAnsi="Times New Roman" w:cs="Times New Roman"/>
                                  <w:sz w:val="18"/>
                                  <w:szCs w:val="18"/>
                                </w:rPr>
                                <w:t xml:space="preserve">s kapitalas </w:t>
                              </w:r>
                              <w:r w:rsidRPr="002A4D40">
                                <w:rPr>
                                  <w:rFonts w:ascii="Times New Roman" w:hAnsi="Times New Roman" w:cs="Times New Roman"/>
                                  <w:sz w:val="18"/>
                                  <w:szCs w:val="18"/>
                                </w:rPr>
                                <w:t>ir pelno dalis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4" name="Text Box 174"/>
                        <wps:cNvSpPr txBox="1"/>
                        <wps:spPr>
                          <a:xfrm>
                            <a:off x="760781" y="0"/>
                            <a:ext cx="1120361" cy="469126"/>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C1AB2" w:rsidRPr="002A4D40" w:rsidRDefault="00EC1AB2" w:rsidP="002A4D40">
                              <w:pPr>
                                <w:jc w:val="center"/>
                                <w:rPr>
                                  <w:rFonts w:ascii="Times New Roman" w:hAnsi="Times New Roman" w:cs="Times New Roman"/>
                                  <w:sz w:val="18"/>
                                  <w:szCs w:val="18"/>
                                </w:rPr>
                              </w:pPr>
                              <w:r w:rsidRPr="002A4D40">
                                <w:rPr>
                                  <w:rFonts w:ascii="Times New Roman" w:hAnsi="Times New Roman" w:cs="Times New Roman"/>
                                  <w:sz w:val="18"/>
                                  <w:szCs w:val="18"/>
                                </w:rPr>
                                <w:t>Palūkanos, kapitalo prieaugis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5" name="Text Box 175"/>
                        <wps:cNvSpPr txBox="1"/>
                        <wps:spPr>
                          <a:xfrm>
                            <a:off x="0" y="1119225"/>
                            <a:ext cx="1168841" cy="596348"/>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C1AB2" w:rsidRPr="002A4D40" w:rsidRDefault="00EC1AB2" w:rsidP="002A4D40">
                              <w:pPr>
                                <w:jc w:val="center"/>
                                <w:rPr>
                                  <w:rFonts w:ascii="Times New Roman" w:hAnsi="Times New Roman" w:cs="Times New Roman"/>
                                  <w:sz w:val="18"/>
                                  <w:szCs w:val="18"/>
                                </w:rPr>
                              </w:pPr>
                              <w:r w:rsidRPr="002A4D40">
                                <w:rPr>
                                  <w:rFonts w:ascii="Times New Roman" w:hAnsi="Times New Roman" w:cs="Times New Roman"/>
                                  <w:sz w:val="18"/>
                                  <w:szCs w:val="18"/>
                                </w:rPr>
                                <w:t>Investuotas finansini</w:t>
                              </w:r>
                              <w:r>
                                <w:rPr>
                                  <w:rFonts w:ascii="Times New Roman" w:hAnsi="Times New Roman" w:cs="Times New Roman"/>
                                  <w:sz w:val="18"/>
                                  <w:szCs w:val="18"/>
                                </w:rPr>
                                <w:t xml:space="preserve">s kapitalas </w:t>
                              </w:r>
                              <w:r w:rsidRPr="002A4D40">
                                <w:rPr>
                                  <w:rFonts w:ascii="Times New Roman" w:hAnsi="Times New Roman" w:cs="Times New Roman"/>
                                  <w:sz w:val="18"/>
                                  <w:szCs w:val="18"/>
                                </w:rPr>
                                <w:t>ir pelno dalis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id="Group 6" o:spid="_x0000_s1026" style="position:absolute;left:0;text-align:left;margin-left:42pt;margin-top:50.85pt;width:382.25pt;height:243.7pt;z-index:251945984" coordsize="48549,309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">
                <v:shapetype id="_x0000_t202" coordsize="21600,21600" o:spt="202" path="m,l,21600r21600,l21600,xe">
                  <v:stroke joinstyle="miter"/>
                  <v:path gradientshapeok="t" o:connecttype="rect"/>
                </v:shapetype>
                <v:shape id="Text Box 169" o:spid="_x0000_s1027" type="#_x0000_t202" style="position:absolute;left:34966;width:10734;height:39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Vzw8QA&#10;AADcAAAADwAAAGRycy9kb3ducmV2LnhtbERPTWvCQBC9C/0PyxR6KbpppWqjq5SiVbxptKW3ITsm&#10;odnZkF2T9N+7guBtHu9zZovOlKKh2hWWFbwMIhDEqdUFZwoOyao/AeE8ssbSMin4JweL+UNvhrG2&#10;Le+o2ftMhBB2MSrIva9iKV2ak0E3sBVx4E62NugDrDOpa2xDuCnlaxSNpMGCQ0OOFX3mlP7tz0bB&#10;73P2s3Xd17Edvg2r5bpJxt86UerpsfuYgvDU+bv45t7oMH/0DtdnwgVy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vVc8PEAAAA3AAAAA8AAAAAAAAAAAAAAAAAmAIAAGRycy9k&#10;b3ducmV2LnhtbFBLBQYAAAAABAAEAPUAAACJAwAAAAA=&#10;" fillcolor="white [3201]" stroked="f" strokeweight=".5pt">
                  <v:textbox>
                    <w:txbxContent>
                      <w:p w:rsidR="00A03476" w:rsidRPr="00EE7118" w:rsidRDefault="00A03476" w:rsidP="002A4D40">
                        <w:pPr>
                          <w:jc w:val="center"/>
                          <w:rPr>
                            <w:rFonts w:ascii="Times New Roman" w:hAnsi="Times New Roman" w:cs="Times New Roman"/>
                            <w:sz w:val="18"/>
                            <w:szCs w:val="18"/>
                          </w:rPr>
                        </w:pPr>
                        <w:r>
                          <w:rPr>
                            <w:rFonts w:ascii="Times New Roman" w:hAnsi="Times New Roman" w:cs="Times New Roman"/>
                            <w:sz w:val="18"/>
                            <w:szCs w:val="18"/>
                          </w:rPr>
                          <w:t>Indėliai, pensijų sutartys ir kt.</w:t>
                        </w:r>
                      </w:p>
                    </w:txbxContent>
                  </v:textbox>
                </v:shape>
                <v:shape id="Text Box 170" o:spid="_x0000_s1028" type="#_x0000_t202" style="position:absolute;left:40599;top:12216;width:7950;height:27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ZMg8cA&#10;AADcAAAADwAAAGRycy9kb3ducmV2LnhtbESPT2vCQBDF74LfYZlCL0U3rVQldZVS+g9vGm3pbchO&#10;k2B2NmS3Sfz2zqHgbYb35r3frDaDq1VHbag8G7ifJqCIc28rLgwcsrfJElSIyBZrz2TgTAE26/Fo&#10;han1Pe+o28dCSQiHFA2UMTap1iEvyWGY+oZYtF/fOoyytoW2LfYS7mr9kCRz7bBiaSixoZeS8tP+&#10;zxn4uSu+t2F4P/azx1nz+tFliy+bGXN7Mzw/gYo0xKv5//rTCv5C8OUZmUCv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82TIPHAAAA3AAAAA8AAAAAAAAAAAAAAAAAmAIAAGRy&#10;cy9kb3ducmV2LnhtbFBLBQYAAAAABAAEAPUAAACMAwAAAAA=&#10;" fillcolor="white [3201]" stroked="f" strokeweight=".5pt">
                  <v:textbox>
                    <w:txbxContent>
                      <w:p w:rsidR="00A03476" w:rsidRDefault="00A03476" w:rsidP="00EE7118">
                        <w:r w:rsidRPr="002A4D40">
                          <w:rPr>
                            <w:rFonts w:ascii="Times New Roman" w:hAnsi="Times New Roman" w:cs="Times New Roman"/>
                            <w:sz w:val="18"/>
                            <w:szCs w:val="18"/>
                          </w:rPr>
                          <w:t>Investicijo</w:t>
                        </w:r>
                        <w:r>
                          <w:t>s</w:t>
                        </w:r>
                      </w:p>
                    </w:txbxContent>
                  </v:textbox>
                </v:shape>
                <v:shape id="Text Box 171" o:spid="_x0000_s1029" type="#_x0000_t202" style="position:absolute;left:34088;top:25456;width:13677;height:49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HrpGMQA&#10;AADcAAAADwAAAGRycy9kb3ducmV2LnhtbERPS2vCQBC+C/0Pywi9iG6s+CC6SiltLd402uJtyI5J&#10;aHY2ZLdJ/PddQfA2H99zVpvOlKKh2hWWFYxHEQji1OqCMwXH5GO4AOE8ssbSMim4koPN+qm3wljb&#10;lvfUHHwmQgi7GBXk3lexlC7NyaAb2Yo4cBdbG/QB1pnUNbYh3JTyJYpm0mDBoSHHit5ySn8Pf0bB&#10;eZD97Fz3eWon00n1vm2S+bdOlHrud69LEJ46/xDf3V86zJ+P4fZMuEC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B66RjEAAAA3AAAAA8AAAAAAAAAAAAAAAAAmAIAAGRycy9k&#10;b3ducmV2LnhtbFBLBQYAAAAABAAEAPUAAACJAwAAAAA=&#10;" fillcolor="white [3201]" stroked="f" strokeweight=".5pt">
                  <v:textbox>
                    <w:txbxContent>
                      <w:p w:rsidR="00A03476" w:rsidRPr="002A4D40" w:rsidRDefault="00A03476" w:rsidP="002A4D40">
                        <w:pPr>
                          <w:jc w:val="center"/>
                          <w:rPr>
                            <w:rFonts w:ascii="Times New Roman" w:hAnsi="Times New Roman" w:cs="Times New Roman"/>
                            <w:sz w:val="18"/>
                            <w:szCs w:val="18"/>
                          </w:rPr>
                        </w:pPr>
                        <w:r w:rsidRPr="002A4D40">
                          <w:rPr>
                            <w:rFonts w:ascii="Times New Roman" w:hAnsi="Times New Roman" w:cs="Times New Roman"/>
                            <w:sz w:val="18"/>
                            <w:szCs w:val="18"/>
                          </w:rPr>
                          <w:t xml:space="preserve">Finansinis bei intelektinis </w:t>
                        </w:r>
                        <w:r>
                          <w:rPr>
                            <w:rFonts w:ascii="Times New Roman" w:hAnsi="Times New Roman" w:cs="Times New Roman"/>
                            <w:sz w:val="18"/>
                            <w:szCs w:val="18"/>
                          </w:rPr>
                          <w:t xml:space="preserve">       </w:t>
                        </w:r>
                        <w:r w:rsidRPr="002A4D40">
                          <w:rPr>
                            <w:rFonts w:ascii="Times New Roman" w:hAnsi="Times New Roman" w:cs="Times New Roman"/>
                            <w:sz w:val="18"/>
                            <w:szCs w:val="18"/>
                          </w:rPr>
                          <w:t>kapitalas</w:t>
                        </w:r>
                      </w:p>
                    </w:txbxContent>
                  </v:textbox>
                </v:shape>
                <v:shape id="Text Box 172" o:spid="_x0000_s1030" type="#_x0000_t202" style="position:absolute;left:5413;top:26261;width:13436;height:46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h3b8QA&#10;AADcAAAADwAAAGRycy9kb3ducmV2LnhtbERPTWvCQBC9F/wPyxS8lLpRsUrqKiJai7cmVeltyE6T&#10;YHY2ZLdJ/PddodDbPN7nLNe9qURLjSstKxiPIhDEmdUl5wo+0/3zAoTzyBory6TgRg7Wq8HDEmNt&#10;O/6gNvG5CCHsYlRQeF/HUrqsIINuZGviwH3bxqAPsMmlbrAL4aaSkyh6kQZLDg0F1rQtKLsmP0bB&#10;11N+Obr+7dRNZ9N6d2jT+VmnSg0f+80rCE+9/xf/ud91mD+fwP2ZcIF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Cod2/EAAAA3AAAAA8AAAAAAAAAAAAAAAAAmAIAAGRycy9k&#10;b3ducmV2LnhtbFBLBQYAAAAABAAEAPUAAACJAwAAAAA=&#10;" fillcolor="white [3201]" stroked="f" strokeweight=".5pt">
                  <v:textbox>
                    <w:txbxContent>
                      <w:p w:rsidR="00A03476" w:rsidRPr="002A4D40" w:rsidRDefault="00A03476" w:rsidP="002A4D40">
                        <w:pPr>
                          <w:jc w:val="center"/>
                          <w:rPr>
                            <w:rFonts w:ascii="Times New Roman" w:hAnsi="Times New Roman" w:cs="Times New Roman"/>
                            <w:sz w:val="18"/>
                            <w:szCs w:val="18"/>
                          </w:rPr>
                        </w:pPr>
                        <w:r w:rsidRPr="002A4D40">
                          <w:rPr>
                            <w:rFonts w:ascii="Times New Roman" w:hAnsi="Times New Roman" w:cs="Times New Roman"/>
                            <w:sz w:val="18"/>
                            <w:szCs w:val="18"/>
                          </w:rPr>
                          <w:t>Investuotas finansini</w:t>
                        </w:r>
                        <w:r>
                          <w:rPr>
                            <w:rFonts w:ascii="Times New Roman" w:hAnsi="Times New Roman" w:cs="Times New Roman"/>
                            <w:sz w:val="18"/>
                            <w:szCs w:val="18"/>
                          </w:rPr>
                          <w:t xml:space="preserve">s kapitalas </w:t>
                        </w:r>
                        <w:r w:rsidRPr="002A4D40">
                          <w:rPr>
                            <w:rFonts w:ascii="Times New Roman" w:hAnsi="Times New Roman" w:cs="Times New Roman"/>
                            <w:sz w:val="18"/>
                            <w:szCs w:val="18"/>
                          </w:rPr>
                          <w:t>ir pelno dalis</w:t>
                        </w:r>
                      </w:p>
                    </w:txbxContent>
                  </v:textbox>
                </v:shape>
                <v:shape id="Text Box 174" o:spid="_x0000_s1031" type="#_x0000_t202" style="position:absolute;left:7607;width:11204;height:46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1KgMQA&#10;AADcAAAADwAAAGRycy9kb3ducmV2LnhtbERPS2vCQBC+F/oflin0UnTju6SuItKqeNOopbchO01C&#10;s7Mhu03iv3eFQm/z8T1nvuxMKRqqXWFZwaAfgSBOrS44U3BKPnqvIJxH1lhaJgVXcrBcPD7MMda2&#10;5QM1R5+JEMIuRgW591UspUtzMuj6tiIO3LetDfoA60zqGtsQbko5jKKpNFhwaMixonVO6c/x1yj4&#10;esk+967bnNvRZFS9b5tkdtGJUs9P3eoNhKfO/4v/3Dsd5s/GcH8mXCA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ANSoDEAAAA3AAAAA8AAAAAAAAAAAAAAAAAmAIAAGRycy9k&#10;b3ducmV2LnhtbFBLBQYAAAAABAAEAPUAAACJAwAAAAA=&#10;" fillcolor="white [3201]" stroked="f" strokeweight=".5pt">
                  <v:textbox>
                    <w:txbxContent>
                      <w:p w:rsidR="00A03476" w:rsidRPr="002A4D40" w:rsidRDefault="00A03476" w:rsidP="002A4D40">
                        <w:pPr>
                          <w:jc w:val="center"/>
                          <w:rPr>
                            <w:rFonts w:ascii="Times New Roman" w:hAnsi="Times New Roman" w:cs="Times New Roman"/>
                            <w:sz w:val="18"/>
                            <w:szCs w:val="18"/>
                          </w:rPr>
                        </w:pPr>
                        <w:r w:rsidRPr="002A4D40">
                          <w:rPr>
                            <w:rFonts w:ascii="Times New Roman" w:hAnsi="Times New Roman" w:cs="Times New Roman"/>
                            <w:sz w:val="18"/>
                            <w:szCs w:val="18"/>
                          </w:rPr>
                          <w:t>Palūkanos, kapitalo prieaugis</w:t>
                        </w:r>
                      </w:p>
                    </w:txbxContent>
                  </v:textbox>
                </v:shape>
                <v:shape id="Text Box 175" o:spid="_x0000_s1032" type="#_x0000_t202" style="position:absolute;top:11192;width:11688;height:59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HvG8QA&#10;AADcAAAADwAAAGRycy9kb3ducmV2LnhtbERPS2vCQBC+C/0PyxR6kbqxYpXUVaTUB96a1Jbehuw0&#10;Cc3OhuyaxH/vCoK3+fies1j1phItNa60rGA8ikAQZ1aXnCv4SjfPcxDOI2usLJOCMzlYLR8GC4y1&#10;7fiT2sTnIoSwi1FB4X0dS+myggy6ka2JA/dnG4M+wCaXusEuhJtKvkTRqzRYcmgosKb3grL/5GQU&#10;/A7zn4Prt8duMp3UH7s2nX3rVKmnx379BsJT7+/im3uvw/zZFK7PhAvk8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9B7xvEAAAA3AAAAA8AAAAAAAAAAAAAAAAAmAIAAGRycy9k&#10;b3ducmV2LnhtbFBLBQYAAAAABAAEAPUAAACJAwAAAAA=&#10;" fillcolor="white [3201]" stroked="f" strokeweight=".5pt">
                  <v:textbox>
                    <w:txbxContent>
                      <w:p w:rsidR="00A03476" w:rsidRPr="002A4D40" w:rsidRDefault="00A03476" w:rsidP="002A4D40">
                        <w:pPr>
                          <w:jc w:val="center"/>
                          <w:rPr>
                            <w:rFonts w:ascii="Times New Roman" w:hAnsi="Times New Roman" w:cs="Times New Roman"/>
                            <w:sz w:val="18"/>
                            <w:szCs w:val="18"/>
                          </w:rPr>
                        </w:pPr>
                        <w:r w:rsidRPr="002A4D40">
                          <w:rPr>
                            <w:rFonts w:ascii="Times New Roman" w:hAnsi="Times New Roman" w:cs="Times New Roman"/>
                            <w:sz w:val="18"/>
                            <w:szCs w:val="18"/>
                          </w:rPr>
                          <w:t>Investuotas finansini</w:t>
                        </w:r>
                        <w:r>
                          <w:rPr>
                            <w:rFonts w:ascii="Times New Roman" w:hAnsi="Times New Roman" w:cs="Times New Roman"/>
                            <w:sz w:val="18"/>
                            <w:szCs w:val="18"/>
                          </w:rPr>
                          <w:t xml:space="preserve">s kapitalas </w:t>
                        </w:r>
                        <w:r w:rsidRPr="002A4D40">
                          <w:rPr>
                            <w:rFonts w:ascii="Times New Roman" w:hAnsi="Times New Roman" w:cs="Times New Roman"/>
                            <w:sz w:val="18"/>
                            <w:szCs w:val="18"/>
                          </w:rPr>
                          <w:t>ir pelno dalis</w:t>
                        </w:r>
                      </w:p>
                    </w:txbxContent>
                  </v:textbox>
                </v:shape>
              </v:group>
            </w:pict>
          </mc:Fallback>
        </mc:AlternateContent>
      </w:r>
    </w:p>
    <w:p w:rsidR="00EE7118" w:rsidRPr="00EC1AB2" w:rsidRDefault="00EE7118" w:rsidP="007A02A8">
      <w:pPr>
        <w:pStyle w:val="ListParagraph"/>
        <w:kinsoku w:val="0"/>
        <w:overflowPunct w:val="0"/>
        <w:spacing w:after="0" w:line="360" w:lineRule="auto"/>
        <w:ind w:left="1080"/>
        <w:jc w:val="center"/>
        <w:textAlignment w:val="baseline"/>
        <w:rPr>
          <w:rFonts w:ascii="Times New Roman" w:hAnsi="Times New Roman" w:cs="Times New Roman"/>
          <w:sz w:val="24"/>
          <w:szCs w:val="24"/>
        </w:rPr>
      </w:pPr>
    </w:p>
    <w:p w:rsidR="007915D7" w:rsidRPr="00EC1AB2" w:rsidRDefault="007915D7" w:rsidP="007A02A8">
      <w:pPr>
        <w:kinsoku w:val="0"/>
        <w:overflowPunct w:val="0"/>
        <w:spacing w:after="0" w:line="360" w:lineRule="auto"/>
        <w:textAlignment w:val="baseline"/>
        <w:rPr>
          <w:rFonts w:ascii="Times New Roman" w:hAnsi="Times New Roman" w:cs="Times New Roman"/>
          <w:sz w:val="24"/>
          <w:szCs w:val="24"/>
        </w:rPr>
      </w:pPr>
    </w:p>
    <w:p w:rsidR="007915D7" w:rsidRPr="00EC1AB2" w:rsidRDefault="007915D7" w:rsidP="007A02A8">
      <w:pPr>
        <w:spacing w:after="0" w:line="360" w:lineRule="auto"/>
        <w:ind w:left="720" w:firstLine="720"/>
        <w:rPr>
          <w:rFonts w:ascii="Times New Roman" w:hAnsi="Times New Roman" w:cs="Times New Roman"/>
          <w:bCs/>
          <w:sz w:val="20"/>
          <w:szCs w:val="20"/>
        </w:rPr>
      </w:pPr>
      <w:r w:rsidRPr="00EC1AB2">
        <w:rPr>
          <w:rFonts w:ascii="Times New Roman" w:hAnsi="Times New Roman" w:cs="Times New Roman"/>
          <w:b/>
          <w:sz w:val="20"/>
          <w:szCs w:val="20"/>
        </w:rPr>
        <w:t xml:space="preserve">Šaltinis: </w:t>
      </w:r>
      <w:r w:rsidRPr="00EC1AB2">
        <w:rPr>
          <w:rFonts w:ascii="Times New Roman" w:hAnsi="Times New Roman" w:cs="Times New Roman"/>
          <w:sz w:val="20"/>
          <w:szCs w:val="20"/>
        </w:rPr>
        <w:t xml:space="preserve">sudaryta pagal </w:t>
      </w:r>
      <w:r w:rsidRPr="00EC1AB2">
        <w:rPr>
          <w:rFonts w:ascii="Times New Roman" w:hAnsi="Times New Roman" w:cs="Times New Roman"/>
          <w:bCs/>
          <w:sz w:val="20"/>
          <w:szCs w:val="20"/>
        </w:rPr>
        <w:t>Tolppanen, Russel (2002)</w:t>
      </w:r>
    </w:p>
    <w:p w:rsidR="007915D7" w:rsidRPr="00EC1AB2" w:rsidRDefault="002A4D40" w:rsidP="007A02A8">
      <w:pPr>
        <w:pStyle w:val="Heading5"/>
        <w:spacing w:before="0" w:line="360" w:lineRule="auto"/>
        <w:jc w:val="center"/>
        <w:rPr>
          <w:rFonts w:ascii="Times New Roman" w:hAnsi="Times New Roman" w:cs="Times New Roman"/>
          <w:b/>
          <w:color w:val="auto"/>
          <w:sz w:val="24"/>
          <w:szCs w:val="24"/>
        </w:rPr>
      </w:pPr>
      <w:bookmarkStart w:id="69" w:name="_Toc320761911"/>
      <w:bookmarkStart w:id="70" w:name="_Toc320762146"/>
      <w:bookmarkStart w:id="71" w:name="_Toc320762548"/>
      <w:r w:rsidRPr="00EC1AB2">
        <w:rPr>
          <w:rFonts w:ascii="Times New Roman" w:hAnsi="Times New Roman" w:cs="Times New Roman"/>
          <w:color w:val="auto"/>
          <w:sz w:val="24"/>
          <w:szCs w:val="24"/>
        </w:rPr>
        <w:t>4</w:t>
      </w:r>
      <w:r w:rsidR="007915D7" w:rsidRPr="00EC1AB2">
        <w:rPr>
          <w:rFonts w:ascii="Times New Roman" w:hAnsi="Times New Roman" w:cs="Times New Roman"/>
          <w:color w:val="auto"/>
          <w:sz w:val="24"/>
          <w:szCs w:val="24"/>
        </w:rPr>
        <w:t xml:space="preserve"> pav.</w:t>
      </w:r>
      <w:r w:rsidR="007915D7" w:rsidRPr="00EC1AB2">
        <w:rPr>
          <w:rFonts w:ascii="Times New Roman" w:hAnsi="Times New Roman" w:cs="Times New Roman"/>
          <w:b/>
          <w:color w:val="auto"/>
          <w:sz w:val="24"/>
          <w:szCs w:val="24"/>
        </w:rPr>
        <w:t xml:space="preserve"> </w:t>
      </w:r>
      <w:r w:rsidR="00012725" w:rsidRPr="00EC1AB2">
        <w:rPr>
          <w:rFonts w:ascii="Times New Roman" w:hAnsi="Times New Roman" w:cs="Times New Roman"/>
          <w:b/>
          <w:color w:val="auto"/>
          <w:sz w:val="24"/>
          <w:szCs w:val="24"/>
        </w:rPr>
        <w:t>Rizikos kapitalo fondų veiklos f</w:t>
      </w:r>
      <w:r w:rsidR="007915D7" w:rsidRPr="00EC1AB2">
        <w:rPr>
          <w:rFonts w:ascii="Times New Roman" w:hAnsi="Times New Roman" w:cs="Times New Roman"/>
          <w:b/>
          <w:color w:val="auto"/>
          <w:sz w:val="24"/>
          <w:szCs w:val="24"/>
        </w:rPr>
        <w:t>inansinis ciklas</w:t>
      </w:r>
      <w:bookmarkEnd w:id="69"/>
      <w:bookmarkEnd w:id="70"/>
      <w:bookmarkEnd w:id="71"/>
    </w:p>
    <w:p w:rsidR="007915D7" w:rsidRPr="00EC1AB2" w:rsidRDefault="007915D7" w:rsidP="007A02A8">
      <w:pPr>
        <w:pStyle w:val="Heading5"/>
        <w:spacing w:before="0" w:line="360" w:lineRule="auto"/>
        <w:jc w:val="center"/>
        <w:rPr>
          <w:rFonts w:ascii="Times New Roman" w:hAnsi="Times New Roman" w:cs="Times New Roman"/>
          <w:b/>
          <w:color w:val="auto"/>
          <w:sz w:val="24"/>
          <w:szCs w:val="24"/>
        </w:rPr>
      </w:pPr>
    </w:p>
    <w:p w:rsidR="007915D7" w:rsidRPr="00EC1AB2" w:rsidRDefault="002A4D40" w:rsidP="007A02A8">
      <w:pPr>
        <w:tabs>
          <w:tab w:val="left" w:pos="0"/>
        </w:tabs>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Kaip matyti iš 4</w:t>
      </w:r>
      <w:r w:rsidR="007915D7" w:rsidRPr="00EC1AB2">
        <w:rPr>
          <w:rFonts w:ascii="Times New Roman" w:hAnsi="Times New Roman" w:cs="Times New Roman"/>
          <w:sz w:val="24"/>
          <w:szCs w:val="24"/>
        </w:rPr>
        <w:t xml:space="preserve"> pav. RKF surenka lėšas iš institucinių investuotojų, t.y. bankų, pensijų fondų, draudimo kompanijų ir kitų finansines paslaugas teikiančių įmonių, kurie per įvairius finansinius instrumentus – indėlius, obligacijas ir kt. atitinkamai surinko lėšas iš namų ūkių bei verslo vienetų.  Kitoje ciklo stadijoje fondai gautus įnašus invest</w:t>
      </w:r>
      <w:r w:rsidR="00266E3E" w:rsidRPr="00EC1AB2">
        <w:rPr>
          <w:rFonts w:ascii="Times New Roman" w:hAnsi="Times New Roman" w:cs="Times New Roman"/>
          <w:sz w:val="24"/>
          <w:szCs w:val="24"/>
        </w:rPr>
        <w:t>uoja į inovatyvias įmones. Panau</w:t>
      </w:r>
      <w:r w:rsidR="007915D7" w:rsidRPr="00EC1AB2">
        <w:rPr>
          <w:rFonts w:ascii="Times New Roman" w:hAnsi="Times New Roman" w:cs="Times New Roman"/>
          <w:sz w:val="24"/>
          <w:szCs w:val="24"/>
        </w:rPr>
        <w:t>dojant n</w:t>
      </w:r>
      <w:r w:rsidR="00740733" w:rsidRPr="00EC1AB2">
        <w:rPr>
          <w:rFonts w:ascii="Times New Roman" w:hAnsi="Times New Roman" w:cs="Times New Roman"/>
          <w:sz w:val="24"/>
          <w:szCs w:val="24"/>
        </w:rPr>
        <w:t>e tik finansinį bet ir intelekti</w:t>
      </w:r>
      <w:r w:rsidR="00266E3E" w:rsidRPr="00EC1AB2">
        <w:rPr>
          <w:rFonts w:ascii="Times New Roman" w:hAnsi="Times New Roman" w:cs="Times New Roman"/>
          <w:sz w:val="24"/>
          <w:szCs w:val="24"/>
        </w:rPr>
        <w:t>nį kapitalą,</w:t>
      </w:r>
      <w:r w:rsidR="007915D7" w:rsidRPr="00EC1AB2">
        <w:rPr>
          <w:rFonts w:ascii="Times New Roman" w:hAnsi="Times New Roman" w:cs="Times New Roman"/>
          <w:sz w:val="24"/>
          <w:szCs w:val="24"/>
        </w:rPr>
        <w:t xml:space="preserve"> siekiama  įmonės ir fondo bendro tikslo – įmonės vertės augimo. Taigi, įmonei išsiplėtus generuojami pastovūs pinigų srautai, mokami pastovūs mokesčiai valstybei bei nuolat </w:t>
      </w:r>
      <w:r w:rsidR="00266E3E" w:rsidRPr="00EC1AB2">
        <w:rPr>
          <w:rFonts w:ascii="Times New Roman" w:hAnsi="Times New Roman" w:cs="Times New Roman"/>
          <w:sz w:val="24"/>
          <w:szCs w:val="24"/>
        </w:rPr>
        <w:t>generuojama pridėtinė vertė, o tai, kaip jau minėta,</w:t>
      </w:r>
      <w:r w:rsidR="007915D7" w:rsidRPr="00EC1AB2">
        <w:rPr>
          <w:rFonts w:ascii="Times New Roman" w:hAnsi="Times New Roman" w:cs="Times New Roman"/>
          <w:sz w:val="24"/>
          <w:szCs w:val="24"/>
        </w:rPr>
        <w:t xml:space="preserve"> skatina ekonomikos augimą. Fondui likvidavus investicijas, pelnas padalijamas investuotojams, kurie savo ruožtu gauto pelno dalį pasilieka sau, o kitą dalį išdalija savo investuotojams, kurių lėšas buvo investavę į RKF, t.y. namų ūkiams ir verslo vienetams. </w:t>
      </w:r>
    </w:p>
    <w:p w:rsidR="007374DF" w:rsidRPr="00EC1AB2" w:rsidRDefault="007915D7" w:rsidP="007A02A8">
      <w:pPr>
        <w:tabs>
          <w:tab w:val="left" w:pos="0"/>
        </w:tabs>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lastRenderedPageBreak/>
        <w:t>Taigi, kaip pastebi Alternatyvių investicijų ekspertų grupė (2006) RKF investicijos nauding</w:t>
      </w:r>
      <w:r w:rsidR="00E45A99" w:rsidRPr="00EC1AB2">
        <w:rPr>
          <w:rFonts w:ascii="Times New Roman" w:hAnsi="Times New Roman" w:cs="Times New Roman"/>
          <w:sz w:val="24"/>
          <w:szCs w:val="24"/>
        </w:rPr>
        <w:t>os ne tik įmonei, į kurią invest</w:t>
      </w:r>
      <w:r w:rsidRPr="00EC1AB2">
        <w:rPr>
          <w:rFonts w:ascii="Times New Roman" w:hAnsi="Times New Roman" w:cs="Times New Roman"/>
          <w:sz w:val="24"/>
          <w:szCs w:val="24"/>
        </w:rPr>
        <w:t>uojama, ne tik valstybei, bet ir pensijų fondų investicijos į RKF gali ypač padidinti senstančios Europos pensijų išmokas. Kaupelytė, Jankauskienė (2009) teigi</w:t>
      </w:r>
      <w:r w:rsidR="00E45A99" w:rsidRPr="00EC1AB2">
        <w:rPr>
          <w:rFonts w:ascii="Times New Roman" w:hAnsi="Times New Roman" w:cs="Times New Roman"/>
          <w:sz w:val="24"/>
          <w:szCs w:val="24"/>
        </w:rPr>
        <w:t>a, kad tose rinkose, kur priežiū</w:t>
      </w:r>
      <w:r w:rsidRPr="00EC1AB2">
        <w:rPr>
          <w:rFonts w:ascii="Times New Roman" w:hAnsi="Times New Roman" w:cs="Times New Roman"/>
          <w:sz w:val="24"/>
          <w:szCs w:val="24"/>
        </w:rPr>
        <w:t>ros institucijos ir įstatyminė aplinka leidžia pensijų fondams diversifikuoti jų portfelį į rizikos kapitalą ir privačią nuosavybę, šios turto klasės jau yra padarę ženklų indėlį į pensijų fondų grąžos rezultatus.</w:t>
      </w:r>
    </w:p>
    <w:p w:rsidR="007915D7" w:rsidRPr="00EC1AB2" w:rsidRDefault="007915D7" w:rsidP="007A02A8">
      <w:pPr>
        <w:tabs>
          <w:tab w:val="left" w:pos="0"/>
        </w:tabs>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Anot Rimo (2010), </w:t>
      </w:r>
      <w:r w:rsidRPr="00EC1AB2">
        <w:rPr>
          <w:rFonts w:ascii="Times New Roman" w:hAnsi="Times New Roman" w:cs="Times New Roman"/>
          <w:sz w:val="24"/>
          <w:szCs w:val="24"/>
          <w:lang w:eastAsia="lt-LT"/>
        </w:rPr>
        <w:t>g</w:t>
      </w:r>
      <w:r w:rsidR="00E45A99" w:rsidRPr="00EC1AB2">
        <w:rPr>
          <w:rFonts w:ascii="Times New Roman" w:hAnsi="Times New Roman" w:cs="Times New Roman"/>
          <w:sz w:val="24"/>
          <w:szCs w:val="24"/>
          <w:lang w:eastAsia="lt-LT"/>
        </w:rPr>
        <w:t>a</w:t>
      </w:r>
      <w:r w:rsidRPr="00EC1AB2">
        <w:rPr>
          <w:rFonts w:ascii="Times New Roman" w:hAnsi="Times New Roman" w:cs="Times New Roman"/>
          <w:sz w:val="24"/>
          <w:szCs w:val="24"/>
          <w:lang w:eastAsia="lt-LT"/>
        </w:rPr>
        <w:t>lima išskirti šias pagrindines privataus kapitalo rinkos funkcijas:</w:t>
      </w:r>
    </w:p>
    <w:p w:rsidR="007915D7" w:rsidRPr="00EC1AB2" w:rsidRDefault="005C2E1B" w:rsidP="007A02A8">
      <w:pPr>
        <w:pStyle w:val="ListParagraph"/>
        <w:numPr>
          <w:ilvl w:val="0"/>
          <w:numId w:val="35"/>
        </w:numPr>
        <w:autoSpaceDE w:val="0"/>
        <w:autoSpaceDN w:val="0"/>
        <w:adjustRightInd w:val="0"/>
        <w:spacing w:after="0" w:line="360" w:lineRule="auto"/>
        <w:jc w:val="both"/>
        <w:rPr>
          <w:rFonts w:ascii="Times New Roman" w:hAnsi="Times New Roman" w:cs="Times New Roman"/>
          <w:sz w:val="24"/>
          <w:szCs w:val="24"/>
          <w:lang w:eastAsia="lt-LT"/>
        </w:rPr>
      </w:pPr>
      <w:r w:rsidRPr="00EC1AB2">
        <w:rPr>
          <w:rFonts w:ascii="Times New Roman" w:hAnsi="Times New Roman" w:cs="Times New Roman"/>
          <w:sz w:val="24"/>
          <w:szCs w:val="24"/>
          <w:lang w:eastAsia="lt-LT"/>
        </w:rPr>
        <w:t>S</w:t>
      </w:r>
      <w:r w:rsidR="007915D7" w:rsidRPr="00EC1AB2">
        <w:rPr>
          <w:rFonts w:ascii="Times New Roman" w:hAnsi="Times New Roman" w:cs="Times New Roman"/>
          <w:sz w:val="24"/>
          <w:szCs w:val="24"/>
          <w:lang w:eastAsia="lt-LT"/>
        </w:rPr>
        <w:t>udaryti gal</w:t>
      </w:r>
      <w:r w:rsidR="007D4FC5" w:rsidRPr="00EC1AB2">
        <w:rPr>
          <w:rFonts w:ascii="Times New Roman" w:hAnsi="Times New Roman" w:cs="Times New Roman"/>
          <w:sz w:val="24"/>
          <w:szCs w:val="24"/>
          <w:lang w:eastAsia="lt-LT"/>
        </w:rPr>
        <w:t>imybę gauti finansavimą kapitalu</w:t>
      </w:r>
      <w:r w:rsidR="007915D7" w:rsidRPr="00EC1AB2">
        <w:rPr>
          <w:rFonts w:ascii="Times New Roman" w:hAnsi="Times New Roman" w:cs="Times New Roman"/>
          <w:sz w:val="24"/>
          <w:szCs w:val="24"/>
          <w:lang w:eastAsia="lt-LT"/>
        </w:rPr>
        <w:t xml:space="preserve"> įmonėms, kurios negali pasinaudoti viešojo kapitalo rinkomis (angl. </w:t>
      </w:r>
      <w:r w:rsidR="007915D7" w:rsidRPr="00EC1AB2">
        <w:rPr>
          <w:rFonts w:ascii="Times New Roman" w:hAnsi="Times New Roman" w:cs="Times New Roman"/>
          <w:i/>
          <w:iCs/>
          <w:sz w:val="24"/>
          <w:szCs w:val="24"/>
          <w:lang w:eastAsia="lt-LT"/>
        </w:rPr>
        <w:t>public equity markets</w:t>
      </w:r>
      <w:r w:rsidR="00012725" w:rsidRPr="00EC1AB2">
        <w:rPr>
          <w:rFonts w:ascii="Times New Roman" w:hAnsi="Times New Roman" w:cs="Times New Roman"/>
          <w:sz w:val="24"/>
          <w:szCs w:val="24"/>
          <w:lang w:eastAsia="lt-LT"/>
        </w:rPr>
        <w:t>);</w:t>
      </w:r>
    </w:p>
    <w:p w:rsidR="008745AC" w:rsidRPr="00EC1AB2" w:rsidRDefault="007915D7" w:rsidP="007A02A8">
      <w:pPr>
        <w:pStyle w:val="ListParagraph"/>
        <w:numPr>
          <w:ilvl w:val="0"/>
          <w:numId w:val="35"/>
        </w:numPr>
        <w:autoSpaceDE w:val="0"/>
        <w:autoSpaceDN w:val="0"/>
        <w:adjustRightInd w:val="0"/>
        <w:spacing w:after="0" w:line="360" w:lineRule="auto"/>
        <w:jc w:val="both"/>
        <w:rPr>
          <w:rFonts w:ascii="Times New Roman" w:hAnsi="Times New Roman" w:cs="Times New Roman"/>
          <w:sz w:val="24"/>
          <w:szCs w:val="24"/>
          <w:lang w:eastAsia="lt-LT"/>
        </w:rPr>
      </w:pPr>
      <w:r w:rsidRPr="00EC1AB2">
        <w:rPr>
          <w:rFonts w:ascii="Times New Roman" w:hAnsi="Times New Roman" w:cs="Times New Roman"/>
          <w:sz w:val="24"/>
          <w:szCs w:val="24"/>
          <w:lang w:eastAsia="lt-LT"/>
        </w:rPr>
        <w:t xml:space="preserve">Suteikti galimybę įmonėms, kurios pajėgios naudotis viešojo kapitalo rinkomis, pasitraukti iš jų siekiant įvykdyti transformacijas, kurios būtinos tolesnei įmonių </w:t>
      </w:r>
      <w:r w:rsidR="00012725" w:rsidRPr="00EC1AB2">
        <w:rPr>
          <w:rFonts w:ascii="Times New Roman" w:hAnsi="Times New Roman" w:cs="Times New Roman"/>
          <w:sz w:val="24"/>
          <w:szCs w:val="24"/>
          <w:lang w:eastAsia="lt-LT"/>
        </w:rPr>
        <w:t>veiklai užtikrinti;</w:t>
      </w:r>
    </w:p>
    <w:p w:rsidR="007915D7" w:rsidRPr="00EC1AB2" w:rsidRDefault="007915D7" w:rsidP="007A02A8">
      <w:pPr>
        <w:pStyle w:val="ListParagraph"/>
        <w:numPr>
          <w:ilvl w:val="0"/>
          <w:numId w:val="35"/>
        </w:numPr>
        <w:autoSpaceDE w:val="0"/>
        <w:autoSpaceDN w:val="0"/>
        <w:adjustRightInd w:val="0"/>
        <w:spacing w:after="0" w:line="360" w:lineRule="auto"/>
        <w:jc w:val="both"/>
        <w:rPr>
          <w:rFonts w:ascii="Times New Roman" w:hAnsi="Times New Roman" w:cs="Times New Roman"/>
          <w:sz w:val="24"/>
          <w:szCs w:val="24"/>
          <w:lang w:eastAsia="lt-LT"/>
        </w:rPr>
      </w:pPr>
      <w:r w:rsidRPr="00EC1AB2">
        <w:rPr>
          <w:rFonts w:ascii="Times New Roman" w:hAnsi="Times New Roman" w:cs="Times New Roman"/>
          <w:sz w:val="24"/>
          <w:szCs w:val="24"/>
          <w:lang w:eastAsia="lt-LT"/>
        </w:rPr>
        <w:t>Suteikti galimybę investuotojams diversifikuoti individualią investicijos riziką pasinaudojant portfelio bendrovių principu organizuo</w:t>
      </w:r>
      <w:r w:rsidR="006F194B" w:rsidRPr="00EC1AB2">
        <w:rPr>
          <w:rFonts w:ascii="Times New Roman" w:hAnsi="Times New Roman" w:cs="Times New Roman"/>
          <w:sz w:val="24"/>
          <w:szCs w:val="24"/>
          <w:lang w:eastAsia="lt-LT"/>
        </w:rPr>
        <w:t>tomis</w:t>
      </w:r>
      <w:r w:rsidR="00C40E84" w:rsidRPr="00EC1AB2">
        <w:rPr>
          <w:rFonts w:ascii="Times New Roman" w:hAnsi="Times New Roman" w:cs="Times New Roman"/>
          <w:sz w:val="24"/>
          <w:szCs w:val="24"/>
          <w:lang w:eastAsia="lt-LT"/>
        </w:rPr>
        <w:t xml:space="preserve"> privataus kapitalo fondų </w:t>
      </w:r>
      <w:r w:rsidRPr="00EC1AB2">
        <w:rPr>
          <w:rFonts w:ascii="Times New Roman" w:hAnsi="Times New Roman" w:cs="Times New Roman"/>
          <w:sz w:val="24"/>
          <w:szCs w:val="24"/>
          <w:lang w:eastAsia="lt-LT"/>
        </w:rPr>
        <w:t>struktūromis, ir priskirti lėšas potencialiai produktyviausioms reikmėms.</w:t>
      </w:r>
    </w:p>
    <w:p w:rsidR="007915D7" w:rsidRPr="00EC1AB2" w:rsidRDefault="007915D7" w:rsidP="007A02A8">
      <w:pPr>
        <w:autoSpaceDE w:val="0"/>
        <w:autoSpaceDN w:val="0"/>
        <w:adjustRightInd w:val="0"/>
        <w:spacing w:after="0" w:line="360" w:lineRule="auto"/>
        <w:ind w:firstLine="567"/>
        <w:jc w:val="both"/>
        <w:rPr>
          <w:rFonts w:ascii="Times New Roman" w:hAnsi="Times New Roman" w:cs="Times New Roman"/>
          <w:sz w:val="24"/>
          <w:szCs w:val="24"/>
          <w:lang w:eastAsia="lt-LT"/>
        </w:rPr>
      </w:pPr>
      <w:r w:rsidRPr="00EC1AB2">
        <w:rPr>
          <w:rFonts w:ascii="Times New Roman" w:hAnsi="Times New Roman" w:cs="Times New Roman"/>
          <w:sz w:val="24"/>
          <w:szCs w:val="24"/>
        </w:rPr>
        <w:t xml:space="preserve">Kaip pažymi Alternatyvių investicijų ekspertų grupė (2006) </w:t>
      </w:r>
      <w:r w:rsidRPr="00EC1AB2">
        <w:rPr>
          <w:rFonts w:ascii="Times New Roman" w:hAnsi="Times New Roman" w:cs="Times New Roman"/>
          <w:sz w:val="24"/>
          <w:szCs w:val="24"/>
          <w:lang w:eastAsia="lt-LT"/>
        </w:rPr>
        <w:t>privataus kapitalo rinkos ekonominė  reikšmė priklauso nuo finansavimo stadijos:</w:t>
      </w:r>
    </w:p>
    <w:p w:rsidR="007915D7" w:rsidRPr="00EC1AB2" w:rsidRDefault="007915D7" w:rsidP="007A02A8">
      <w:pPr>
        <w:pStyle w:val="ListParagraph"/>
        <w:numPr>
          <w:ilvl w:val="0"/>
          <w:numId w:val="36"/>
        </w:numPr>
        <w:autoSpaceDE w:val="0"/>
        <w:autoSpaceDN w:val="0"/>
        <w:adjustRightInd w:val="0"/>
        <w:spacing w:after="0" w:line="360" w:lineRule="auto"/>
        <w:jc w:val="both"/>
        <w:rPr>
          <w:rFonts w:ascii="Times New Roman" w:hAnsi="Times New Roman" w:cs="Times New Roman"/>
          <w:sz w:val="24"/>
          <w:szCs w:val="24"/>
          <w:lang w:eastAsia="lt-LT"/>
        </w:rPr>
      </w:pPr>
      <w:r w:rsidRPr="00EC1AB2">
        <w:rPr>
          <w:rFonts w:ascii="Times New Roman" w:hAnsi="Times New Roman" w:cs="Times New Roman"/>
          <w:sz w:val="24"/>
          <w:szCs w:val="24"/>
          <w:lang w:eastAsia="lt-LT"/>
        </w:rPr>
        <w:t>Rizikos kapitalo investicijos skatina inovacijas, nes remia veiklą pradedančias įmones, kurių steigimo tikslas – įgyvendinti novatoriškas idėjas, sukurti ir vystyti naujas technologijas, pritaikyti neišbandytas, bet potencialiai perspektyvias verslo strategijas. Tokiu būdu, kaip jau minėta,  rizikos kapitalo rinka prisideda prie aukštos kvalifik</w:t>
      </w:r>
      <w:r w:rsidR="00576C7F" w:rsidRPr="00EC1AB2">
        <w:rPr>
          <w:rFonts w:ascii="Times New Roman" w:hAnsi="Times New Roman" w:cs="Times New Roman"/>
          <w:sz w:val="24"/>
          <w:szCs w:val="24"/>
          <w:lang w:eastAsia="lt-LT"/>
        </w:rPr>
        <w:t>acijos naujų darbo vietų bei pridėtinės vertės kūrimo.</w:t>
      </w:r>
      <w:r w:rsidR="00A678F8" w:rsidRPr="00EC1AB2">
        <w:rPr>
          <w:rFonts w:ascii="Times New Roman" w:hAnsi="Times New Roman" w:cs="Times New Roman"/>
          <w:sz w:val="24"/>
          <w:szCs w:val="24"/>
          <w:lang w:eastAsia="lt-LT"/>
        </w:rPr>
        <w:t xml:space="preserve"> Būtent šioje finansavimo stadijoje</w:t>
      </w:r>
      <w:r w:rsidRPr="00EC1AB2">
        <w:rPr>
          <w:rFonts w:ascii="Times New Roman" w:hAnsi="Times New Roman" w:cs="Times New Roman"/>
          <w:sz w:val="24"/>
          <w:szCs w:val="24"/>
          <w:lang w:eastAsia="lt-LT"/>
        </w:rPr>
        <w:t xml:space="preserve"> aiškiausiai pasireiškia aptarta privataus kapitalo rinkos funkcija</w:t>
      </w:r>
      <w:r w:rsidR="00A678F8" w:rsidRPr="00EC1AB2">
        <w:rPr>
          <w:rFonts w:ascii="Times New Roman" w:hAnsi="Times New Roman" w:cs="Times New Roman"/>
          <w:sz w:val="24"/>
          <w:szCs w:val="24"/>
          <w:lang w:eastAsia="lt-LT"/>
        </w:rPr>
        <w:t xml:space="preserve"> – </w:t>
      </w:r>
      <w:r w:rsidRPr="00EC1AB2">
        <w:rPr>
          <w:rFonts w:ascii="Times New Roman" w:hAnsi="Times New Roman" w:cs="Times New Roman"/>
          <w:sz w:val="24"/>
          <w:szCs w:val="24"/>
          <w:lang w:eastAsia="lt-LT"/>
        </w:rPr>
        <w:t>sudaryti galimybę gauti finansavimą kapitalu įmonėms, kurios negali pasina</w:t>
      </w:r>
      <w:r w:rsidR="00012725" w:rsidRPr="00EC1AB2">
        <w:rPr>
          <w:rFonts w:ascii="Times New Roman" w:hAnsi="Times New Roman" w:cs="Times New Roman"/>
          <w:sz w:val="24"/>
          <w:szCs w:val="24"/>
          <w:lang w:eastAsia="lt-LT"/>
        </w:rPr>
        <w:t>udoti viešojo kapitalo rinkomis;</w:t>
      </w:r>
    </w:p>
    <w:p w:rsidR="007915D7" w:rsidRPr="00EC1AB2" w:rsidRDefault="007915D7" w:rsidP="007A02A8">
      <w:pPr>
        <w:pStyle w:val="ListParagraph"/>
        <w:numPr>
          <w:ilvl w:val="0"/>
          <w:numId w:val="36"/>
        </w:numPr>
        <w:autoSpaceDE w:val="0"/>
        <w:autoSpaceDN w:val="0"/>
        <w:adjustRightInd w:val="0"/>
        <w:spacing w:after="0" w:line="360" w:lineRule="auto"/>
        <w:jc w:val="both"/>
        <w:rPr>
          <w:rFonts w:ascii="Times New Roman" w:hAnsi="Times New Roman" w:cs="Times New Roman"/>
          <w:sz w:val="24"/>
          <w:szCs w:val="24"/>
          <w:lang w:eastAsia="lt-LT"/>
        </w:rPr>
      </w:pPr>
      <w:r w:rsidRPr="00EC1AB2">
        <w:rPr>
          <w:rFonts w:ascii="Times New Roman" w:hAnsi="Times New Roman" w:cs="Times New Roman"/>
          <w:sz w:val="24"/>
          <w:szCs w:val="24"/>
          <w:lang w:eastAsia="lt-LT"/>
        </w:rPr>
        <w:t>Plėtros kapitalas sudaro galimybę sėkmingai veikiančioms įmonėms įsigyti naujų gamybos priemonių, kelti gamybos bei paslaugų kokybę, taikyti pažangius valdymo ir vadybos įgūdžius, siekiant veiklos</w:t>
      </w:r>
      <w:r w:rsidR="00012725" w:rsidRPr="00EC1AB2">
        <w:rPr>
          <w:rFonts w:ascii="Times New Roman" w:hAnsi="Times New Roman" w:cs="Times New Roman"/>
          <w:sz w:val="24"/>
          <w:szCs w:val="24"/>
          <w:lang w:eastAsia="lt-LT"/>
        </w:rPr>
        <w:t xml:space="preserve"> augimo ir internacionalizavimo;</w:t>
      </w:r>
    </w:p>
    <w:p w:rsidR="007915D7" w:rsidRPr="00EC1AB2" w:rsidRDefault="007915D7" w:rsidP="007A02A8">
      <w:pPr>
        <w:pStyle w:val="ListParagraph"/>
        <w:numPr>
          <w:ilvl w:val="0"/>
          <w:numId w:val="36"/>
        </w:numPr>
        <w:autoSpaceDE w:val="0"/>
        <w:autoSpaceDN w:val="0"/>
        <w:adjustRightInd w:val="0"/>
        <w:spacing w:after="0" w:line="360" w:lineRule="auto"/>
        <w:jc w:val="both"/>
        <w:rPr>
          <w:rFonts w:ascii="Times New Roman" w:hAnsi="Times New Roman" w:cs="Times New Roman"/>
          <w:sz w:val="24"/>
          <w:szCs w:val="24"/>
          <w:lang w:eastAsia="lt-LT"/>
        </w:rPr>
      </w:pPr>
      <w:r w:rsidRPr="00EC1AB2">
        <w:rPr>
          <w:rFonts w:ascii="Times New Roman" w:hAnsi="Times New Roman" w:cs="Times New Roman"/>
          <w:sz w:val="24"/>
          <w:szCs w:val="24"/>
          <w:lang w:eastAsia="lt-LT"/>
        </w:rPr>
        <w:t>Išpirkimo stadijos investicijos į brandžias įmones nukreiptos į vertės kūrimą visų pirma per veiklos optimizavimą (pvz., išlaidų mažinimą, veiklos pertvar</w:t>
      </w:r>
      <w:r w:rsidR="00286B97" w:rsidRPr="00EC1AB2">
        <w:rPr>
          <w:rFonts w:ascii="Times New Roman" w:hAnsi="Times New Roman" w:cs="Times New Roman"/>
          <w:sz w:val="24"/>
          <w:szCs w:val="24"/>
          <w:lang w:eastAsia="lt-LT"/>
        </w:rPr>
        <w:t>kymą</w:t>
      </w:r>
      <w:r w:rsidRPr="00EC1AB2">
        <w:rPr>
          <w:rFonts w:ascii="Times New Roman" w:hAnsi="Times New Roman" w:cs="Times New Roman"/>
          <w:sz w:val="24"/>
          <w:szCs w:val="24"/>
          <w:lang w:eastAsia="lt-LT"/>
        </w:rPr>
        <w:t xml:space="preserve">). Privataus kapitalo investuotojai pateikia ne tik kapitalą, bet ir vadybos bei valdymo </w:t>
      </w:r>
      <w:r w:rsidRPr="00EC1AB2">
        <w:rPr>
          <w:rFonts w:ascii="Times New Roman" w:hAnsi="Times New Roman" w:cs="Times New Roman"/>
          <w:i/>
          <w:iCs/>
          <w:sz w:val="24"/>
          <w:szCs w:val="24"/>
          <w:lang w:eastAsia="lt-LT"/>
        </w:rPr>
        <w:t>know-how</w:t>
      </w:r>
      <w:r w:rsidR="007D7EDA" w:rsidRPr="00EC1AB2">
        <w:rPr>
          <w:rFonts w:ascii="Times New Roman" w:hAnsi="Times New Roman" w:cs="Times New Roman"/>
          <w:sz w:val="24"/>
          <w:szCs w:val="24"/>
          <w:lang w:eastAsia="lt-LT"/>
        </w:rPr>
        <w:t xml:space="preserve">, tai ypač svarbu </w:t>
      </w:r>
      <w:r w:rsidRPr="00EC1AB2">
        <w:rPr>
          <w:rFonts w:ascii="Times New Roman" w:hAnsi="Times New Roman" w:cs="Times New Roman"/>
          <w:sz w:val="24"/>
          <w:szCs w:val="24"/>
          <w:lang w:eastAsia="lt-LT"/>
        </w:rPr>
        <w:t>įmonėms, kurios dėl prasto valdymo nepajėgia realizuoti savo potencialo, sėkmingai konkuruoti rinkoje ar susiduria su finansiniais sunkumais. Didžiausieji privataus kapitalo investuotojai gali pasiūlyti bendrovėms, į kurias investuoja, priėjimą prie tarptautinių verslo struktūrų, taip pat tarptautinio lygmens konkurencinės aplinkos analizę – tai svarbu įmonėms, potencialiai galinčioms veikti ir už vietinių rinkų ribų.</w:t>
      </w:r>
    </w:p>
    <w:p w:rsidR="007915D7" w:rsidRPr="00EC1AB2" w:rsidRDefault="00FE6A81" w:rsidP="007A02A8">
      <w:pPr>
        <w:tabs>
          <w:tab w:val="left" w:pos="0"/>
        </w:tabs>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color w:val="0D0D0D" w:themeColor="text1" w:themeTint="F2"/>
          <w:sz w:val="24"/>
          <w:szCs w:val="24"/>
        </w:rPr>
        <w:lastRenderedPageBreak/>
        <w:t>Atskiri</w:t>
      </w:r>
      <w:r w:rsidRPr="00EC1AB2">
        <w:rPr>
          <w:rFonts w:ascii="Times New Roman" w:hAnsi="Times New Roman" w:cs="Times New Roman"/>
          <w:sz w:val="24"/>
          <w:szCs w:val="24"/>
        </w:rPr>
        <w:t xml:space="preserve"> autoriai</w:t>
      </w:r>
      <w:r w:rsidR="007915D7" w:rsidRPr="00EC1AB2">
        <w:rPr>
          <w:rFonts w:ascii="Times New Roman" w:hAnsi="Times New Roman" w:cs="Times New Roman"/>
          <w:sz w:val="24"/>
          <w:szCs w:val="24"/>
        </w:rPr>
        <w:t xml:space="preserve"> nagrinėjo rizikos kapitalo </w:t>
      </w:r>
      <w:r w:rsidRPr="00EC1AB2">
        <w:rPr>
          <w:rFonts w:ascii="Times New Roman" w:hAnsi="Times New Roman" w:cs="Times New Roman"/>
          <w:sz w:val="24"/>
          <w:szCs w:val="24"/>
        </w:rPr>
        <w:t xml:space="preserve">fondų įtaką šalių ekonomikoms. </w:t>
      </w:r>
      <w:r w:rsidR="007915D7" w:rsidRPr="00EC1AB2">
        <w:rPr>
          <w:rFonts w:ascii="Times New Roman" w:hAnsi="Times New Roman" w:cs="Times New Roman"/>
          <w:sz w:val="24"/>
          <w:szCs w:val="24"/>
        </w:rPr>
        <w:t xml:space="preserve">Anot </w:t>
      </w:r>
      <w:r w:rsidR="007915D7" w:rsidRPr="00EC1AB2">
        <w:rPr>
          <w:rFonts w:ascii="Times New Roman" w:hAnsi="Times New Roman" w:cs="Times New Roman"/>
          <w:bCs/>
          <w:sz w:val="24"/>
          <w:szCs w:val="24"/>
        </w:rPr>
        <w:t>Tolppanen, Russel (2002)</w:t>
      </w:r>
      <w:r w:rsidR="007915D7" w:rsidRPr="00EC1AB2">
        <w:rPr>
          <w:rFonts w:ascii="Times New Roman" w:hAnsi="Times New Roman" w:cs="Times New Roman"/>
          <w:sz w:val="24"/>
          <w:szCs w:val="24"/>
        </w:rPr>
        <w:t xml:space="preserve"> atlikto empirinio tyrimo rezultatų, ekonominė ir socialinė rizikos kapitalo fondų nauda pasireiškia įvairiais aspektais – portfelio įmonių pardavimų ir pelno augimu, užimtumo didėjimu, eksporto augimu bei darbo užmokesčio didėjimu. </w:t>
      </w:r>
    </w:p>
    <w:p w:rsidR="007915D7" w:rsidRPr="00EC1AB2" w:rsidRDefault="007915D7" w:rsidP="007A02A8">
      <w:pPr>
        <w:tabs>
          <w:tab w:val="left" w:pos="0"/>
        </w:tabs>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Tarptautinė audito ir konsultacijų įmonė</w:t>
      </w:r>
      <w:r w:rsidR="0086037F" w:rsidRPr="00EC1AB2">
        <w:rPr>
          <w:rFonts w:ascii="Times New Roman" w:hAnsi="Times New Roman" w:cs="Times New Roman"/>
          <w:sz w:val="24"/>
          <w:szCs w:val="24"/>
        </w:rPr>
        <w:t xml:space="preserve"> „Pricwatercoopers“ 2006 m.</w:t>
      </w:r>
      <w:r w:rsidRPr="00EC1AB2">
        <w:rPr>
          <w:rFonts w:ascii="Times New Roman" w:hAnsi="Times New Roman" w:cs="Times New Roman"/>
          <w:sz w:val="24"/>
          <w:szCs w:val="24"/>
        </w:rPr>
        <w:t xml:space="preserve"> atliko privataus ir rizikos kapitalo įtakos Italijos ekonomikai ty</w:t>
      </w:r>
      <w:r w:rsidR="001B053C" w:rsidRPr="00EC1AB2">
        <w:rPr>
          <w:rFonts w:ascii="Times New Roman" w:hAnsi="Times New Roman" w:cs="Times New Roman"/>
          <w:sz w:val="24"/>
          <w:szCs w:val="24"/>
        </w:rPr>
        <w:t>rimą. Tyrime dalyvavo 70 įmonių</w:t>
      </w:r>
      <w:r w:rsidRPr="00EC1AB2">
        <w:rPr>
          <w:rFonts w:ascii="Times New Roman" w:hAnsi="Times New Roman" w:cs="Times New Roman"/>
          <w:sz w:val="24"/>
          <w:szCs w:val="24"/>
        </w:rPr>
        <w:t>. Pagrindiniai įmonių rodikliai, kurie buvo stebimi 2002-2004 m. laikotarpiu – darbuotojų skaičius, pajamos ir EBITDA. Analizuotu laikotarpiu įmonių, kurios buvo finansuotos RKF darbuotojų skaičius vidutiniškai išaugo 6,5 %, kai tuo tarpu šalies mastu įdarbinimo lygi</w:t>
      </w:r>
      <w:r w:rsidR="00A765CF" w:rsidRPr="00EC1AB2">
        <w:rPr>
          <w:rFonts w:ascii="Times New Roman" w:hAnsi="Times New Roman" w:cs="Times New Roman"/>
          <w:sz w:val="24"/>
          <w:szCs w:val="24"/>
        </w:rPr>
        <w:t>s padidėjo tik 1,1 %, o MVĮ</w:t>
      </w:r>
      <w:r w:rsidRPr="00EC1AB2">
        <w:rPr>
          <w:rFonts w:ascii="Times New Roman" w:hAnsi="Times New Roman" w:cs="Times New Roman"/>
          <w:sz w:val="24"/>
          <w:szCs w:val="24"/>
        </w:rPr>
        <w:t xml:space="preserve"> d</w:t>
      </w:r>
      <w:r w:rsidR="00A765CF" w:rsidRPr="00EC1AB2">
        <w:rPr>
          <w:rFonts w:ascii="Times New Roman" w:hAnsi="Times New Roman" w:cs="Times New Roman"/>
          <w:sz w:val="24"/>
          <w:szCs w:val="24"/>
        </w:rPr>
        <w:t>ar</w:t>
      </w:r>
      <w:r w:rsidRPr="00EC1AB2">
        <w:rPr>
          <w:rFonts w:ascii="Times New Roman" w:hAnsi="Times New Roman" w:cs="Times New Roman"/>
          <w:sz w:val="24"/>
          <w:szCs w:val="24"/>
        </w:rPr>
        <w:t>buotojų skaičius išaugo tik 0,1%. RKF portfe</w:t>
      </w:r>
      <w:r w:rsidR="00256A92" w:rsidRPr="00EC1AB2">
        <w:rPr>
          <w:rFonts w:ascii="Times New Roman" w:hAnsi="Times New Roman" w:cs="Times New Roman"/>
          <w:sz w:val="24"/>
          <w:szCs w:val="24"/>
        </w:rPr>
        <w:t>lio įmonių pajamos buvo beveik aštuonis</w:t>
      </w:r>
      <w:r w:rsidRPr="00EC1AB2">
        <w:rPr>
          <w:rFonts w:ascii="Times New Roman" w:hAnsi="Times New Roman" w:cs="Times New Roman"/>
          <w:sz w:val="24"/>
          <w:szCs w:val="24"/>
        </w:rPr>
        <w:t xml:space="preserve"> kartus didesnės nei MVĮ finansuojamų tradiciniu būdu.  Taip pat pažymėtina, kad didesnis pajamų augimas buvo pastebėtas RKF finansuotose įmonėse nei PKF. Anot tyrimo autorių, tai labiausiai susiję su tuo, jog RKF investuoja į naujai kuriamas arba ankstyvoje plėtros stadijoje esančias įmones, turinčias didelį augimo potencialą, o PKF – į išsiplėtusias, </w:t>
      </w:r>
      <w:r w:rsidR="00C73A51" w:rsidRPr="00EC1AB2">
        <w:rPr>
          <w:rFonts w:ascii="Times New Roman" w:hAnsi="Times New Roman" w:cs="Times New Roman"/>
          <w:sz w:val="24"/>
          <w:szCs w:val="24"/>
        </w:rPr>
        <w:t xml:space="preserve"> </w:t>
      </w:r>
      <w:r w:rsidRPr="00EC1AB2">
        <w:rPr>
          <w:rFonts w:ascii="Times New Roman" w:hAnsi="Times New Roman" w:cs="Times New Roman"/>
          <w:sz w:val="24"/>
          <w:szCs w:val="24"/>
        </w:rPr>
        <w:t xml:space="preserve">jau pasiekusias didžiausią augimą, kurioms reikalingas veiklos pertvarkymas ir naujovių diegimas. </w:t>
      </w:r>
    </w:p>
    <w:p w:rsidR="007915D7" w:rsidRPr="00EC1AB2" w:rsidRDefault="007915D7" w:rsidP="007A02A8">
      <w:pPr>
        <w:tabs>
          <w:tab w:val="left" w:pos="0"/>
        </w:tabs>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Analizuojamu laikotarpiu tyrime dalyvavusių įmonių EBITDA metinis augim</w:t>
      </w:r>
      <w:r w:rsidR="00CD2EFD" w:rsidRPr="00EC1AB2">
        <w:rPr>
          <w:rFonts w:ascii="Times New Roman" w:hAnsi="Times New Roman" w:cs="Times New Roman"/>
          <w:sz w:val="24"/>
          <w:szCs w:val="24"/>
        </w:rPr>
        <w:t>as vidutiniškai siekė 6 %, kai tuo tarpu</w:t>
      </w:r>
      <w:r w:rsidRPr="00EC1AB2">
        <w:rPr>
          <w:rFonts w:ascii="Times New Roman" w:hAnsi="Times New Roman" w:cs="Times New Roman"/>
          <w:sz w:val="24"/>
          <w:szCs w:val="24"/>
        </w:rPr>
        <w:t xml:space="preserve"> vidutinis EBITDA augimas vidutinio dydžio įmonėse</w:t>
      </w:r>
      <w:r w:rsidR="00CD2EFD" w:rsidRPr="00EC1AB2">
        <w:rPr>
          <w:rFonts w:ascii="Times New Roman" w:hAnsi="Times New Roman" w:cs="Times New Roman"/>
          <w:sz w:val="24"/>
          <w:szCs w:val="24"/>
        </w:rPr>
        <w:t>, finansuotose tradiciniais būdais,</w:t>
      </w:r>
      <w:r w:rsidRPr="00EC1AB2">
        <w:rPr>
          <w:rFonts w:ascii="Times New Roman" w:hAnsi="Times New Roman" w:cs="Times New Roman"/>
          <w:sz w:val="24"/>
          <w:szCs w:val="24"/>
        </w:rPr>
        <w:t xml:space="preserve"> buvo neigiamas. Sunkią šių įmonių padėtį sąlygojo Italijos ekonomikos lėtėjimas, tačiau kaip matyti RKF finansuotų įmonių veiklai tai reikšmingos įtakos neturėjo. </w:t>
      </w:r>
    </w:p>
    <w:p w:rsidR="007915D7" w:rsidRPr="00EC1AB2" w:rsidRDefault="007915D7"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Buvo atlikta nemažai empirinių tyrimų, skirtų daugiausiai analizuoti RKF įta</w:t>
      </w:r>
      <w:r w:rsidR="009618A2" w:rsidRPr="00EC1AB2">
        <w:rPr>
          <w:rFonts w:ascii="Times New Roman" w:hAnsi="Times New Roman" w:cs="Times New Roman"/>
          <w:sz w:val="24"/>
          <w:szCs w:val="24"/>
        </w:rPr>
        <w:t>ką JAV ekonomikai. DRI-WEFA 2004</w:t>
      </w:r>
      <w:r w:rsidR="00BA1EFB" w:rsidRPr="00EC1AB2">
        <w:rPr>
          <w:rFonts w:ascii="Times New Roman" w:hAnsi="Times New Roman" w:cs="Times New Roman"/>
          <w:sz w:val="24"/>
          <w:szCs w:val="24"/>
        </w:rPr>
        <w:t xml:space="preserve"> m.</w:t>
      </w:r>
      <w:r w:rsidRPr="00EC1AB2">
        <w:rPr>
          <w:rFonts w:ascii="Times New Roman" w:hAnsi="Times New Roman" w:cs="Times New Roman"/>
          <w:sz w:val="24"/>
          <w:szCs w:val="24"/>
        </w:rPr>
        <w:t xml:space="preserve"> atlikto tyrimo rezultatai parodė, jog analizuotu laikotarpiu, t.y 1970-2000 m. įmonės, finansuotos rizikos kapitalo,  sumokėjo tris kartus daugiau mokesčių valstybei, turėjo du kartus dide</w:t>
      </w:r>
      <w:r w:rsidR="00A95263" w:rsidRPr="00EC1AB2">
        <w:rPr>
          <w:rFonts w:ascii="Times New Roman" w:hAnsi="Times New Roman" w:cs="Times New Roman"/>
          <w:sz w:val="24"/>
          <w:szCs w:val="24"/>
        </w:rPr>
        <w:t>s</w:t>
      </w:r>
      <w:r w:rsidRPr="00EC1AB2">
        <w:rPr>
          <w:rFonts w:ascii="Times New Roman" w:hAnsi="Times New Roman" w:cs="Times New Roman"/>
          <w:sz w:val="24"/>
          <w:szCs w:val="24"/>
        </w:rPr>
        <w:t>nes pardavimų ap</w:t>
      </w:r>
      <w:r w:rsidR="00A95263" w:rsidRPr="00EC1AB2">
        <w:rPr>
          <w:rFonts w:ascii="Times New Roman" w:hAnsi="Times New Roman" w:cs="Times New Roman"/>
          <w:sz w:val="24"/>
          <w:szCs w:val="24"/>
        </w:rPr>
        <w:t>i</w:t>
      </w:r>
      <w:r w:rsidR="004076AF" w:rsidRPr="00EC1AB2">
        <w:rPr>
          <w:rFonts w:ascii="Times New Roman" w:hAnsi="Times New Roman" w:cs="Times New Roman"/>
          <w:sz w:val="24"/>
          <w:szCs w:val="24"/>
        </w:rPr>
        <w:t>mtis</w:t>
      </w:r>
      <w:r w:rsidRPr="00EC1AB2">
        <w:rPr>
          <w:rFonts w:ascii="Times New Roman" w:hAnsi="Times New Roman" w:cs="Times New Roman"/>
          <w:sz w:val="24"/>
          <w:szCs w:val="24"/>
        </w:rPr>
        <w:t xml:space="preserve">, du kartus daugiau eksportavo produkcijos bei tris kartus daugiau investavo į tyrimus palyginti su  įmonių, finansuotų tradicinėm kapitalo formomis, vidurkiu. </w:t>
      </w:r>
    </w:p>
    <w:p w:rsidR="00A73A0F" w:rsidRPr="00EC1AB2" w:rsidRDefault="007915D7" w:rsidP="007A02A8">
      <w:pPr>
        <w:spacing w:after="0" w:line="360" w:lineRule="auto"/>
        <w:jc w:val="both"/>
        <w:rPr>
          <w:rFonts w:ascii="Times New Roman" w:hAnsi="Times New Roman" w:cs="Times New Roman"/>
          <w:sz w:val="24"/>
          <w:szCs w:val="24"/>
        </w:rPr>
      </w:pPr>
      <w:r w:rsidRPr="00EC1AB2">
        <w:rPr>
          <w:rFonts w:ascii="Times New Roman" w:hAnsi="Times New Roman" w:cs="Times New Roman"/>
          <w:sz w:val="24"/>
          <w:szCs w:val="24"/>
        </w:rPr>
        <w:t xml:space="preserve">Taip pat šiuo tyrimu buvo įrodyta, jog rizikos kapitalas skatina vietinės bei regioninės ekonomikos augimą JAV. </w:t>
      </w:r>
    </w:p>
    <w:p w:rsidR="007915D7" w:rsidRPr="00EC1AB2" w:rsidRDefault="007915D7"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EVCA (2001) taip pat teigia, kad rizikos kapitalas stimuliuoja ekonomikos augimą kurdamas darbo vietas, investuodamas dideles sumas ir dėl savo tarptautinio pobūdžio skatindamas eksportą. Rizikos kapitalą galima apibūdinti kaip esminį veiksnį, kuris sumažina laikotarpį, reikalingą pateikti inovaciją rinkai. </w:t>
      </w:r>
      <w:r w:rsidR="00A73A0F" w:rsidRPr="00EC1AB2">
        <w:rPr>
          <w:rFonts w:ascii="Times New Roman" w:hAnsi="Times New Roman" w:cs="Times New Roman"/>
          <w:sz w:val="24"/>
          <w:szCs w:val="24"/>
        </w:rPr>
        <w:t xml:space="preserve">Remiantis </w:t>
      </w:r>
      <w:r w:rsidRPr="00EC1AB2">
        <w:rPr>
          <w:rFonts w:ascii="Times New Roman" w:hAnsi="Times New Roman" w:cs="Times New Roman"/>
          <w:sz w:val="24"/>
          <w:szCs w:val="24"/>
        </w:rPr>
        <w:t>EVCA</w:t>
      </w:r>
      <w:r w:rsidR="00A73A0F" w:rsidRPr="00EC1AB2">
        <w:rPr>
          <w:rFonts w:ascii="Times New Roman" w:hAnsi="Times New Roman" w:cs="Times New Roman"/>
          <w:sz w:val="24"/>
          <w:szCs w:val="24"/>
        </w:rPr>
        <w:t xml:space="preserve"> atlikta analize,</w:t>
      </w:r>
      <w:r w:rsidRPr="00EC1AB2">
        <w:rPr>
          <w:rFonts w:ascii="Times New Roman" w:hAnsi="Times New Roman" w:cs="Times New Roman"/>
          <w:sz w:val="24"/>
          <w:szCs w:val="24"/>
        </w:rPr>
        <w:t xml:space="preserve"> rizikos kapitalas prisidėjo prie Europos pozicijos pasaulio rinkoje sustiprinimo, ypač dėl išaugusių eksporto apimčių. </w:t>
      </w:r>
    </w:p>
    <w:p w:rsidR="007915D7" w:rsidRPr="00EC1AB2" w:rsidRDefault="00B820F5"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Hellmann ir Puri (2000) atlikto</w:t>
      </w:r>
      <w:r w:rsidR="007915D7" w:rsidRPr="00EC1AB2">
        <w:rPr>
          <w:rFonts w:ascii="Times New Roman" w:hAnsi="Times New Roman" w:cs="Times New Roman"/>
          <w:sz w:val="24"/>
          <w:szCs w:val="24"/>
        </w:rPr>
        <w:t xml:space="preserve"> tyrimą, kurio metu buvo stebėtos 149 įmonės JAV. Šie autoriai padarė išvadą, jog rizikos kapitalas skatina įmonės inovatyvi</w:t>
      </w:r>
      <w:r w:rsidRPr="00EC1AB2">
        <w:rPr>
          <w:rFonts w:ascii="Times New Roman" w:hAnsi="Times New Roman" w:cs="Times New Roman"/>
          <w:sz w:val="24"/>
          <w:szCs w:val="24"/>
        </w:rPr>
        <w:t xml:space="preserve">ą veiklą bei </w:t>
      </w:r>
      <w:r w:rsidR="007915D7" w:rsidRPr="00EC1AB2">
        <w:rPr>
          <w:rFonts w:ascii="Times New Roman" w:hAnsi="Times New Roman" w:cs="Times New Roman"/>
          <w:sz w:val="24"/>
          <w:szCs w:val="24"/>
        </w:rPr>
        <w:t xml:space="preserve">dar kartą patvirtino faktą, jog RKF finansuota įmonė daug greičiau pateikia produktą rinkai. </w:t>
      </w:r>
    </w:p>
    <w:p w:rsidR="007915D7" w:rsidRPr="00EC1AB2" w:rsidRDefault="00791044"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lastRenderedPageBreak/>
        <w:t xml:space="preserve">Engel (2002) </w:t>
      </w:r>
      <w:r w:rsidR="007915D7" w:rsidRPr="00EC1AB2">
        <w:rPr>
          <w:rFonts w:ascii="Times New Roman" w:hAnsi="Times New Roman" w:cs="Times New Roman"/>
          <w:sz w:val="24"/>
          <w:szCs w:val="24"/>
        </w:rPr>
        <w:t xml:space="preserve">tyrė 1000 Vokietijos įmonių. Viena svarbiausių šio autoriaus padarytų išvadų buvo ta, kad rizikos kapitalo įtaka naujai įkurtų įmonių augimui buvo vienoda tiek moderniųjų technologijų įmonėms, tiek ne. </w:t>
      </w:r>
    </w:p>
    <w:p w:rsidR="007915D7" w:rsidRPr="00EC1AB2" w:rsidRDefault="007915D7"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Kortum, Lerner (2000) yra vieni iš nedaugelio autorių nagrinėję rizikos kapitalo ir  inovacijų ryšį. Šie autoriai konkrečiai tyrė rizikos kapitalo įtaką patentų skaičiui JAV dvidešimt septynerių metų laikotarpiu ir padarė išvadą, kad patentų skaičius stipriai koreliuoja su rizikos kapitalo investicijomis. Autoriai netgi pastebėjo, kad RKF inve</w:t>
      </w:r>
      <w:r w:rsidR="0059582E" w:rsidRPr="00EC1AB2">
        <w:rPr>
          <w:rFonts w:ascii="Times New Roman" w:hAnsi="Times New Roman" w:cs="Times New Roman"/>
          <w:sz w:val="24"/>
          <w:szCs w:val="24"/>
        </w:rPr>
        <w:t>s</w:t>
      </w:r>
      <w:r w:rsidRPr="00EC1AB2">
        <w:rPr>
          <w:rFonts w:ascii="Times New Roman" w:hAnsi="Times New Roman" w:cs="Times New Roman"/>
          <w:sz w:val="24"/>
          <w:szCs w:val="24"/>
        </w:rPr>
        <w:t>ticijų įtaka patentų skaičiui yra daug dide</w:t>
      </w:r>
      <w:r w:rsidR="0059582E" w:rsidRPr="00EC1AB2">
        <w:rPr>
          <w:rFonts w:ascii="Times New Roman" w:hAnsi="Times New Roman" w:cs="Times New Roman"/>
          <w:sz w:val="24"/>
          <w:szCs w:val="24"/>
        </w:rPr>
        <w:t>sn</w:t>
      </w:r>
      <w:r w:rsidR="0015671B" w:rsidRPr="00EC1AB2">
        <w:rPr>
          <w:rFonts w:ascii="Times New Roman" w:hAnsi="Times New Roman" w:cs="Times New Roman"/>
          <w:sz w:val="24"/>
          <w:szCs w:val="24"/>
        </w:rPr>
        <w:t xml:space="preserve">ė išlaidų moksliniams tyrimams ir </w:t>
      </w:r>
      <w:r w:rsidR="00DC79F7" w:rsidRPr="00EC1AB2">
        <w:rPr>
          <w:rFonts w:ascii="Times New Roman" w:hAnsi="Times New Roman" w:cs="Times New Roman"/>
          <w:sz w:val="24"/>
          <w:szCs w:val="24"/>
        </w:rPr>
        <w:t>eksperimentinei plėtrai (MTEP</w:t>
      </w:r>
      <w:r w:rsidRPr="00EC1AB2">
        <w:rPr>
          <w:rFonts w:ascii="Times New Roman" w:hAnsi="Times New Roman" w:cs="Times New Roman"/>
          <w:sz w:val="24"/>
          <w:szCs w:val="24"/>
        </w:rPr>
        <w:t xml:space="preserve">). </w:t>
      </w:r>
    </w:p>
    <w:p w:rsidR="0094600A" w:rsidRPr="00EC1AB2" w:rsidRDefault="0094600A"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Dar vienas tyrimas, kurį verta paminėti, tai 2002 metais atliktas autorių Audretsch, Keilbach. Jie tyrė rizikos kapitalo įtaką Vokietijos ekonomikai ir priėjo prie išvados, jog tai labai svarbus veiksnys didinantis gamybos našumą bei produktyvumą.</w:t>
      </w:r>
    </w:p>
    <w:p w:rsidR="007915D7" w:rsidRPr="00EC1AB2" w:rsidRDefault="007915D7"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Taigi, kaip matyti, bandymai įrodyti rizikos kapitalo teigiamą įtaką ekonomikos augimui apėmė atskiras šalis, tokias kaip JAV, Vokietija</w:t>
      </w:r>
      <w:r w:rsidR="00F24A1A" w:rsidRPr="00EC1AB2">
        <w:rPr>
          <w:rFonts w:ascii="Times New Roman" w:hAnsi="Times New Roman" w:cs="Times New Roman"/>
          <w:sz w:val="24"/>
          <w:szCs w:val="24"/>
        </w:rPr>
        <w:t xml:space="preserve"> bei Italija. Tyrimas, kuris ap</w:t>
      </w:r>
      <w:r w:rsidRPr="00EC1AB2">
        <w:rPr>
          <w:rFonts w:ascii="Times New Roman" w:hAnsi="Times New Roman" w:cs="Times New Roman"/>
          <w:sz w:val="24"/>
          <w:szCs w:val="24"/>
        </w:rPr>
        <w:t>ėmė ne vieną  šalį ar regioną buvo a</w:t>
      </w:r>
      <w:r w:rsidR="00540C31" w:rsidRPr="00EC1AB2">
        <w:rPr>
          <w:rFonts w:ascii="Times New Roman" w:hAnsi="Times New Roman" w:cs="Times New Roman"/>
          <w:sz w:val="24"/>
          <w:szCs w:val="24"/>
        </w:rPr>
        <w:t>tliktas autorių Romain, Pottelsberghe</w:t>
      </w:r>
      <w:r w:rsidRPr="00EC1AB2">
        <w:rPr>
          <w:rFonts w:ascii="Times New Roman" w:hAnsi="Times New Roman" w:cs="Times New Roman"/>
          <w:sz w:val="24"/>
          <w:szCs w:val="24"/>
        </w:rPr>
        <w:t xml:space="preserve"> (2003). Jie tyrė 16 OECD šalių aštuonerių metų laikotarpiu. Autoriai padarė išvadą, kad</w:t>
      </w:r>
      <w:r w:rsidR="00F24A1A" w:rsidRPr="00EC1AB2">
        <w:rPr>
          <w:rFonts w:ascii="Times New Roman" w:hAnsi="Times New Roman" w:cs="Times New Roman"/>
          <w:sz w:val="24"/>
          <w:szCs w:val="24"/>
        </w:rPr>
        <w:t xml:space="preserve"> rizikos kapitalas ska</w:t>
      </w:r>
      <w:r w:rsidRPr="00EC1AB2">
        <w:rPr>
          <w:rFonts w:ascii="Times New Roman" w:hAnsi="Times New Roman" w:cs="Times New Roman"/>
          <w:sz w:val="24"/>
          <w:szCs w:val="24"/>
        </w:rPr>
        <w:t>tina ekonomikos augimą dviem kanalais. Pirmasis yra naujų produktų bei procesų įvedimas į rinką, antrasis – privačių įmonių ir viešųjų institucijų plėtros pajėgumų didinimas. Jie taip pat paste</w:t>
      </w:r>
      <w:r w:rsidR="00A52EF7" w:rsidRPr="00EC1AB2">
        <w:rPr>
          <w:rFonts w:ascii="Times New Roman" w:hAnsi="Times New Roman" w:cs="Times New Roman"/>
          <w:sz w:val="24"/>
          <w:szCs w:val="24"/>
        </w:rPr>
        <w:t>bėjo, jog RKF</w:t>
      </w:r>
      <w:r w:rsidR="00200ED7" w:rsidRPr="00EC1AB2">
        <w:rPr>
          <w:rFonts w:ascii="Times New Roman" w:hAnsi="Times New Roman" w:cs="Times New Roman"/>
          <w:sz w:val="24"/>
          <w:szCs w:val="24"/>
        </w:rPr>
        <w:t xml:space="preserve"> socialinė nauda yra didesnė MTEP</w:t>
      </w:r>
      <w:r w:rsidRPr="00EC1AB2">
        <w:rPr>
          <w:rFonts w:ascii="Times New Roman" w:hAnsi="Times New Roman" w:cs="Times New Roman"/>
          <w:sz w:val="24"/>
          <w:szCs w:val="24"/>
        </w:rPr>
        <w:t xml:space="preserve">. </w:t>
      </w:r>
    </w:p>
    <w:p w:rsidR="007915D7" w:rsidRPr="00EC1AB2" w:rsidRDefault="007915D7"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Apiben</w:t>
      </w:r>
      <w:r w:rsidR="00200ED7" w:rsidRPr="00EC1AB2">
        <w:rPr>
          <w:rFonts w:ascii="Times New Roman" w:hAnsi="Times New Roman" w:cs="Times New Roman"/>
          <w:sz w:val="24"/>
          <w:szCs w:val="24"/>
        </w:rPr>
        <w:t>drinant, RKF</w:t>
      </w:r>
      <w:r w:rsidRPr="00EC1AB2">
        <w:rPr>
          <w:rFonts w:ascii="Times New Roman" w:hAnsi="Times New Roman" w:cs="Times New Roman"/>
          <w:sz w:val="24"/>
          <w:szCs w:val="24"/>
        </w:rPr>
        <w:t xml:space="preserve"> finansuoja ekonomikos pagrindą, t.y. MVĮ, kurioms finansavimą gauti, ypač ankstyvoje vystymosi stadijoje, iš kredi</w:t>
      </w:r>
      <w:r w:rsidR="001819E2" w:rsidRPr="00EC1AB2">
        <w:rPr>
          <w:rFonts w:ascii="Times New Roman" w:hAnsi="Times New Roman" w:cs="Times New Roman"/>
          <w:sz w:val="24"/>
          <w:szCs w:val="24"/>
        </w:rPr>
        <w:t>to įstaigų yra beveik neįmanoma.</w:t>
      </w:r>
      <w:r w:rsidR="00A91F2F" w:rsidRPr="00EC1AB2">
        <w:rPr>
          <w:rFonts w:ascii="Times New Roman" w:hAnsi="Times New Roman" w:cs="Times New Roman"/>
          <w:sz w:val="24"/>
          <w:szCs w:val="24"/>
        </w:rPr>
        <w:t xml:space="preserve"> </w:t>
      </w:r>
      <w:r w:rsidRPr="00EC1AB2">
        <w:rPr>
          <w:rFonts w:ascii="Times New Roman" w:hAnsi="Times New Roman" w:cs="Times New Roman"/>
          <w:sz w:val="24"/>
          <w:szCs w:val="24"/>
        </w:rPr>
        <w:t>Paminėtina, kad finansuojamos inovatyvios įmonės, t.y. skatinamas didelės pridėtinės vertės kūrimas, kuriamos darbo vietos. Pasiekus rizikos kapitalistų tikslą – padėjus įmonei išsivystyti, ji pradeda generuoti pastovius pinigų srautus, o kartu ir mokėti pastovius mokesčius, tokiu būdu didinama visos šalies ekonominė gerovė ir kuriama pažangi valstybė.</w:t>
      </w:r>
    </w:p>
    <w:p w:rsidR="007915D7" w:rsidRPr="00EC1AB2" w:rsidRDefault="007915D7" w:rsidP="00A03476">
      <w:pPr>
        <w:pStyle w:val="Heading1"/>
        <w:jc w:val="left"/>
        <w:rPr>
          <w:sz w:val="28"/>
          <w:szCs w:val="28"/>
        </w:rPr>
      </w:pPr>
    </w:p>
    <w:p w:rsidR="007915D7" w:rsidRPr="00EC1AB2" w:rsidRDefault="00DD3AE5" w:rsidP="00A03476">
      <w:pPr>
        <w:pStyle w:val="Heading1"/>
        <w:numPr>
          <w:ilvl w:val="1"/>
          <w:numId w:val="22"/>
        </w:numPr>
        <w:jc w:val="left"/>
        <w:rPr>
          <w:i/>
          <w:sz w:val="24"/>
          <w:szCs w:val="24"/>
        </w:rPr>
      </w:pPr>
      <w:bookmarkStart w:id="72" w:name="_Toc321092698"/>
      <w:r w:rsidRPr="00EC1AB2">
        <w:rPr>
          <w:sz w:val="24"/>
          <w:szCs w:val="24"/>
        </w:rPr>
        <w:t>Rizikos kapitalo fondų plėtrą lemiantys</w:t>
      </w:r>
      <w:r w:rsidR="00CC1E52" w:rsidRPr="00EC1AB2">
        <w:rPr>
          <w:sz w:val="24"/>
          <w:szCs w:val="24"/>
        </w:rPr>
        <w:t xml:space="preserve"> veiksniai</w:t>
      </w:r>
      <w:bookmarkEnd w:id="72"/>
    </w:p>
    <w:p w:rsidR="007915D7" w:rsidRPr="00EC1AB2" w:rsidRDefault="007915D7" w:rsidP="007A02A8">
      <w:pPr>
        <w:pStyle w:val="Heading2"/>
        <w:spacing w:before="0" w:after="0" w:line="360" w:lineRule="auto"/>
        <w:jc w:val="center"/>
        <w:rPr>
          <w:i w:val="0"/>
          <w:sz w:val="28"/>
          <w:szCs w:val="28"/>
        </w:rPr>
      </w:pPr>
    </w:p>
    <w:p w:rsidR="007915D7" w:rsidRPr="00EC1AB2" w:rsidRDefault="000648F1" w:rsidP="007A02A8">
      <w:pPr>
        <w:tabs>
          <w:tab w:val="left" w:pos="0"/>
        </w:tabs>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RKF</w:t>
      </w:r>
      <w:r w:rsidR="007915D7" w:rsidRPr="00EC1AB2">
        <w:rPr>
          <w:rFonts w:ascii="Times New Roman" w:hAnsi="Times New Roman" w:cs="Times New Roman"/>
          <w:sz w:val="24"/>
          <w:szCs w:val="24"/>
        </w:rPr>
        <w:t xml:space="preserve"> teigiama įtaka šalies ekonomikai yra neabejotina, tačiau nepaisant to šie fondai paplitę ne visose šalyse. Šiame skyriuje bus trumpai apžvelgiami veiksnia</w:t>
      </w:r>
      <w:r w:rsidR="00697A9E" w:rsidRPr="00EC1AB2">
        <w:rPr>
          <w:rFonts w:ascii="Times New Roman" w:hAnsi="Times New Roman" w:cs="Times New Roman"/>
          <w:sz w:val="24"/>
          <w:szCs w:val="24"/>
        </w:rPr>
        <w:t>i, būtini RKF</w:t>
      </w:r>
      <w:r w:rsidR="007915D7" w:rsidRPr="00EC1AB2">
        <w:rPr>
          <w:rFonts w:ascii="Times New Roman" w:hAnsi="Times New Roman" w:cs="Times New Roman"/>
          <w:sz w:val="24"/>
          <w:szCs w:val="24"/>
        </w:rPr>
        <w:t xml:space="preserve"> plėtrai.</w:t>
      </w:r>
    </w:p>
    <w:p w:rsidR="007915D7" w:rsidRPr="00EC1AB2" w:rsidRDefault="007915D7"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Viena iš būtinų sąlygų šių fondų veiklai</w:t>
      </w:r>
      <w:r w:rsidR="00015ADE" w:rsidRPr="00EC1AB2">
        <w:rPr>
          <w:rFonts w:ascii="Times New Roman" w:hAnsi="Times New Roman" w:cs="Times New Roman"/>
          <w:sz w:val="24"/>
          <w:szCs w:val="24"/>
        </w:rPr>
        <w:t xml:space="preserve"> yra MVĮ</w:t>
      </w:r>
      <w:r w:rsidRPr="00EC1AB2">
        <w:rPr>
          <w:rFonts w:ascii="Times New Roman" w:hAnsi="Times New Roman" w:cs="Times New Roman"/>
          <w:sz w:val="24"/>
          <w:szCs w:val="24"/>
        </w:rPr>
        <w:t xml:space="preserve"> steigimasis, nes jos yra paklausos elementas ats</w:t>
      </w:r>
      <w:r w:rsidR="00015ADE" w:rsidRPr="00EC1AB2">
        <w:rPr>
          <w:rFonts w:ascii="Times New Roman" w:hAnsi="Times New Roman" w:cs="Times New Roman"/>
          <w:sz w:val="24"/>
          <w:szCs w:val="24"/>
        </w:rPr>
        <w:t>veriantis RKF</w:t>
      </w:r>
      <w:r w:rsidRPr="00EC1AB2">
        <w:rPr>
          <w:rFonts w:ascii="Times New Roman" w:hAnsi="Times New Roman" w:cs="Times New Roman"/>
          <w:sz w:val="24"/>
          <w:szCs w:val="24"/>
        </w:rPr>
        <w:t xml:space="preserve"> paklausą. Taip pat prie veiksnių darančių įtaką šios rinkos plėtrai reikėtų priskirti ir inovacijų politiką šalyje bei valstybinių institucijų poziciją alternatyvių investavimo priemonių skatinimo klausimu. </w:t>
      </w:r>
    </w:p>
    <w:p w:rsidR="007915D7" w:rsidRPr="00EC1AB2" w:rsidRDefault="007915D7" w:rsidP="007A02A8">
      <w:pPr>
        <w:autoSpaceDE w:val="0"/>
        <w:autoSpaceDN w:val="0"/>
        <w:adjustRightInd w:val="0"/>
        <w:spacing w:after="0" w:line="360" w:lineRule="auto"/>
        <w:ind w:firstLine="720"/>
        <w:jc w:val="both"/>
        <w:rPr>
          <w:rFonts w:ascii="Times New Roman" w:hAnsi="Times New Roman" w:cs="Times New Roman"/>
          <w:sz w:val="24"/>
          <w:szCs w:val="24"/>
        </w:rPr>
      </w:pPr>
      <w:r w:rsidRPr="00EC1AB2">
        <w:rPr>
          <w:rFonts w:ascii="Times New Roman" w:hAnsi="Times New Roman" w:cs="Times New Roman"/>
          <w:sz w:val="24"/>
          <w:szCs w:val="24"/>
        </w:rPr>
        <w:lastRenderedPageBreak/>
        <w:t>Kaip teigia Groh ir kt. (2006), rizikos kapitalistų apsisprendimui į kurią šalį investuoti turi įtakos šie veiksniai:</w:t>
      </w:r>
    </w:p>
    <w:p w:rsidR="007915D7" w:rsidRPr="00EC1AB2" w:rsidRDefault="00DD3AE5" w:rsidP="007A02A8">
      <w:pPr>
        <w:pStyle w:val="ListParagraph"/>
        <w:numPr>
          <w:ilvl w:val="0"/>
          <w:numId w:val="37"/>
        </w:num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sz w:val="24"/>
          <w:szCs w:val="24"/>
        </w:rPr>
        <w:t>V</w:t>
      </w:r>
      <w:r w:rsidR="007915D7" w:rsidRPr="00EC1AB2">
        <w:rPr>
          <w:rFonts w:ascii="Times New Roman" w:hAnsi="Times New Roman" w:cs="Times New Roman"/>
          <w:sz w:val="24"/>
          <w:szCs w:val="24"/>
        </w:rPr>
        <w:t>ietos verslininkų g</w:t>
      </w:r>
      <w:r w:rsidRPr="00EC1AB2">
        <w:rPr>
          <w:rFonts w:ascii="Times New Roman" w:hAnsi="Times New Roman" w:cs="Times New Roman"/>
          <w:sz w:val="24"/>
          <w:szCs w:val="24"/>
        </w:rPr>
        <w:t>alimybes;</w:t>
      </w:r>
    </w:p>
    <w:p w:rsidR="007915D7" w:rsidRPr="00EC1AB2" w:rsidRDefault="00DD3AE5" w:rsidP="007A02A8">
      <w:pPr>
        <w:pStyle w:val="ListParagraph"/>
        <w:numPr>
          <w:ilvl w:val="0"/>
          <w:numId w:val="37"/>
        </w:num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sz w:val="24"/>
          <w:szCs w:val="24"/>
        </w:rPr>
        <w:t>Inovacijų lygis šalyje;</w:t>
      </w:r>
    </w:p>
    <w:p w:rsidR="007915D7" w:rsidRPr="00EC1AB2" w:rsidRDefault="00DD3AE5" w:rsidP="007A02A8">
      <w:pPr>
        <w:pStyle w:val="ListParagraph"/>
        <w:numPr>
          <w:ilvl w:val="0"/>
          <w:numId w:val="37"/>
        </w:num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sz w:val="24"/>
          <w:szCs w:val="24"/>
        </w:rPr>
        <w:t>Rinkos dydis;</w:t>
      </w:r>
    </w:p>
    <w:p w:rsidR="007915D7" w:rsidRPr="00EC1AB2" w:rsidRDefault="00DD3AE5" w:rsidP="007A02A8">
      <w:pPr>
        <w:pStyle w:val="ListParagraph"/>
        <w:numPr>
          <w:ilvl w:val="0"/>
          <w:numId w:val="37"/>
        </w:num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sz w:val="24"/>
          <w:szCs w:val="24"/>
        </w:rPr>
        <w:t>E</w:t>
      </w:r>
      <w:r w:rsidR="007915D7" w:rsidRPr="00EC1AB2">
        <w:rPr>
          <w:rFonts w:ascii="Times New Roman" w:hAnsi="Times New Roman" w:cs="Times New Roman"/>
          <w:sz w:val="24"/>
          <w:szCs w:val="24"/>
        </w:rPr>
        <w:t>konominė situacija be</w:t>
      </w:r>
      <w:r w:rsidRPr="00EC1AB2">
        <w:rPr>
          <w:rFonts w:ascii="Times New Roman" w:hAnsi="Times New Roman" w:cs="Times New Roman"/>
          <w:sz w:val="24"/>
          <w:szCs w:val="24"/>
        </w:rPr>
        <w:t>i šalies vystymosi perspektyvos;</w:t>
      </w:r>
    </w:p>
    <w:p w:rsidR="007915D7" w:rsidRPr="00EC1AB2" w:rsidRDefault="00DD3AE5" w:rsidP="007A02A8">
      <w:pPr>
        <w:pStyle w:val="ListParagraph"/>
        <w:numPr>
          <w:ilvl w:val="0"/>
          <w:numId w:val="37"/>
        </w:num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sz w:val="24"/>
          <w:szCs w:val="24"/>
        </w:rPr>
        <w:t>V</w:t>
      </w:r>
      <w:r w:rsidR="007915D7" w:rsidRPr="00EC1AB2">
        <w:rPr>
          <w:rFonts w:ascii="Times New Roman" w:hAnsi="Times New Roman" w:cs="Times New Roman"/>
          <w:sz w:val="24"/>
          <w:szCs w:val="24"/>
        </w:rPr>
        <w:t>erslumo kultūra.</w:t>
      </w:r>
    </w:p>
    <w:p w:rsidR="007915D7" w:rsidRPr="00EC1AB2" w:rsidRDefault="007915D7"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Teigiama, kad pirminiame atrankos procese rizikos kapitalistai remiasi makroekonominiais rodikliais, tačiau pasirinkus regioną, atliekamas kruopštus</w:t>
      </w:r>
      <w:r w:rsidR="00F24A1A" w:rsidRPr="00EC1AB2">
        <w:rPr>
          <w:rFonts w:ascii="Times New Roman" w:hAnsi="Times New Roman" w:cs="Times New Roman"/>
          <w:sz w:val="24"/>
          <w:szCs w:val="24"/>
        </w:rPr>
        <w:t xml:space="preserve"> sektoriaus tyrimas, kuomet išsi</w:t>
      </w:r>
      <w:r w:rsidRPr="00EC1AB2">
        <w:rPr>
          <w:rFonts w:ascii="Times New Roman" w:hAnsi="Times New Roman" w:cs="Times New Roman"/>
          <w:sz w:val="24"/>
          <w:szCs w:val="24"/>
        </w:rPr>
        <w:t>a</w:t>
      </w:r>
      <w:r w:rsidR="00F24A1A" w:rsidRPr="00EC1AB2">
        <w:rPr>
          <w:rFonts w:ascii="Times New Roman" w:hAnsi="Times New Roman" w:cs="Times New Roman"/>
          <w:sz w:val="24"/>
          <w:szCs w:val="24"/>
        </w:rPr>
        <w:t>i</w:t>
      </w:r>
      <w:r w:rsidRPr="00EC1AB2">
        <w:rPr>
          <w:rFonts w:ascii="Times New Roman" w:hAnsi="Times New Roman" w:cs="Times New Roman"/>
          <w:sz w:val="24"/>
          <w:szCs w:val="24"/>
        </w:rPr>
        <w:t xml:space="preserve">škinamas realus verslumo bei inovacijų lygis šalyje. Taip pat kreipiamas didelis dėmesys į visuomenės požiūrį į alternatyvias investavimo priemones.  </w:t>
      </w:r>
    </w:p>
    <w:p w:rsidR="00CB621C" w:rsidRPr="00EC1AB2" w:rsidRDefault="007915D7" w:rsidP="007A02A8">
      <w:pPr>
        <w:autoSpaceDE w:val="0"/>
        <w:autoSpaceDN w:val="0"/>
        <w:adjustRightInd w:val="0"/>
        <w:spacing w:after="0" w:line="360" w:lineRule="auto"/>
        <w:ind w:firstLine="567"/>
        <w:jc w:val="both"/>
        <w:rPr>
          <w:rFonts w:ascii="Times New Roman" w:eastAsia="MinionPro-Regular" w:hAnsi="Times New Roman" w:cs="Times New Roman"/>
          <w:sz w:val="24"/>
          <w:szCs w:val="24"/>
          <w:lang w:eastAsia="lt-LT"/>
        </w:rPr>
      </w:pPr>
      <w:r w:rsidRPr="00EC1AB2">
        <w:rPr>
          <w:rFonts w:ascii="Times New Roman" w:hAnsi="Times New Roman" w:cs="Times New Roman"/>
          <w:sz w:val="24"/>
          <w:szCs w:val="24"/>
        </w:rPr>
        <w:t xml:space="preserve">Metrick (2007) labiausiai akcentavo valstybės vaidmenį, skatinant rizikos kapitalo plėtrą šalyje, teigdamas, kad pirmiausiai valstybė yra atsakinga už tinkamų sąlygų sukūrimą šio sektoriaus plėtrai. Tačiau valstybinio įsikišimo į rizikos kapitalo sektoriaus plėtrą vaidmuo turi būti netiesioginis, mažinant mokesčius, pašalinant teisinius trukdžius, kuriant labiau palankų verslo klimatą šalyje. Kaip teigia Kaupelytė,  Jankauskienė (2009), labai svarbus aspektas, paskatinęs rizikos kapitalo vystymąsi tiek JAV, tiek Didžiojoje Britanijoje buvo </w:t>
      </w:r>
      <w:r w:rsidRPr="00EC1AB2">
        <w:rPr>
          <w:rFonts w:ascii="Times New Roman" w:eastAsia="MinionPro-Regular" w:hAnsi="Times New Roman" w:cs="Times New Roman"/>
          <w:sz w:val="24"/>
          <w:szCs w:val="24"/>
          <w:lang w:eastAsia="lt-LT"/>
        </w:rPr>
        <w:t>pensijų fondų ir kitų institucinių investuotų investicijų į rizikos kapitalą liberalizavimas. Dar vienas veiksnys, įtakojęs RKF vystymąsi JAV buvo 1958 m. priimtas Smulkių įmonių investavimo aktas,  tačiau paminėtina, jog tai buvo vieninteliai JAV vyriausybės sprendimai, sietini su rizikos kapitalo plėtra šioje šalyje, t.y. valstybė praktiškai neturėjo lemiamos įtakos kuriant ir vystant rizikos kapitalo pramonę</w:t>
      </w:r>
      <w:r w:rsidRPr="00EC1AB2">
        <w:rPr>
          <w:rFonts w:ascii="Times New Roman" w:eastAsia="MinionPro-Regular" w:hAnsi="Times New Roman" w:cs="Times New Roman"/>
          <w:b/>
          <w:bCs/>
          <w:sz w:val="24"/>
          <w:szCs w:val="24"/>
          <w:lang w:eastAsia="lt-LT"/>
        </w:rPr>
        <w:t>.</w:t>
      </w:r>
      <w:r w:rsidRPr="00EC1AB2">
        <w:rPr>
          <w:rFonts w:ascii="Times New Roman" w:eastAsia="MinionPro-Regular" w:hAnsi="Times New Roman" w:cs="Times New Roman"/>
          <w:sz w:val="24"/>
          <w:szCs w:val="24"/>
          <w:lang w:eastAsia="lt-LT"/>
        </w:rPr>
        <w:t xml:space="preserve"> </w:t>
      </w:r>
      <w:r w:rsidRPr="00EC1AB2">
        <w:rPr>
          <w:rFonts w:ascii="Times New Roman" w:hAnsi="Times New Roman" w:cs="Times New Roman"/>
          <w:sz w:val="24"/>
          <w:szCs w:val="24"/>
        </w:rPr>
        <w:t xml:space="preserve">Rizikos kapitalo pritraukimui į šalį svarbius veiksnius nagrinėjo ir Sebroeck (2000) (žr. 2 lent.). </w:t>
      </w:r>
    </w:p>
    <w:p w:rsidR="00CB621C" w:rsidRPr="00EC1AB2" w:rsidRDefault="00CB621C" w:rsidP="009F4399">
      <w:pPr>
        <w:autoSpaceDE w:val="0"/>
        <w:autoSpaceDN w:val="0"/>
        <w:adjustRightInd w:val="0"/>
        <w:spacing w:after="0" w:line="240" w:lineRule="auto"/>
        <w:jc w:val="center"/>
        <w:rPr>
          <w:rFonts w:ascii="Times New Roman" w:hAnsi="Times New Roman" w:cs="Times New Roman"/>
          <w:sz w:val="24"/>
          <w:szCs w:val="24"/>
        </w:rPr>
      </w:pPr>
    </w:p>
    <w:p w:rsidR="007915D7" w:rsidRPr="00EC1AB2" w:rsidRDefault="007915D7" w:rsidP="00122868">
      <w:pPr>
        <w:pStyle w:val="Heading4"/>
        <w:spacing w:before="0" w:line="240" w:lineRule="auto"/>
        <w:jc w:val="center"/>
        <w:rPr>
          <w:rFonts w:ascii="Times New Roman" w:hAnsi="Times New Roman" w:cs="Times New Roman"/>
          <w:i w:val="0"/>
          <w:color w:val="auto"/>
          <w:sz w:val="24"/>
          <w:szCs w:val="24"/>
        </w:rPr>
      </w:pPr>
      <w:bookmarkStart w:id="73" w:name="_Toc320761913"/>
      <w:bookmarkStart w:id="74" w:name="_Toc320762148"/>
      <w:bookmarkStart w:id="75" w:name="_Toc320762550"/>
      <w:r w:rsidRPr="00EC1AB2">
        <w:rPr>
          <w:rFonts w:ascii="Times New Roman" w:hAnsi="Times New Roman" w:cs="Times New Roman"/>
          <w:b w:val="0"/>
          <w:i w:val="0"/>
          <w:color w:val="auto"/>
          <w:sz w:val="24"/>
          <w:szCs w:val="24"/>
        </w:rPr>
        <w:t>2 lentelė.</w:t>
      </w:r>
      <w:r w:rsidRPr="00EC1AB2">
        <w:rPr>
          <w:rFonts w:ascii="Times New Roman" w:hAnsi="Times New Roman" w:cs="Times New Roman"/>
          <w:i w:val="0"/>
          <w:color w:val="auto"/>
          <w:sz w:val="24"/>
          <w:szCs w:val="24"/>
        </w:rPr>
        <w:t xml:space="preserve"> Veiksniai, svarbūs rizikos kapitalo plėtr</w:t>
      </w:r>
      <w:r w:rsidR="000F2064" w:rsidRPr="00EC1AB2">
        <w:rPr>
          <w:rFonts w:ascii="Times New Roman" w:hAnsi="Times New Roman" w:cs="Times New Roman"/>
          <w:i w:val="0"/>
          <w:color w:val="auto"/>
          <w:sz w:val="24"/>
          <w:szCs w:val="24"/>
        </w:rPr>
        <w:t>ai, bei jų įvertinimo rodikliai</w:t>
      </w:r>
      <w:bookmarkEnd w:id="73"/>
      <w:bookmarkEnd w:id="74"/>
      <w:bookmarkEnd w:id="75"/>
    </w:p>
    <w:p w:rsidR="000F2064" w:rsidRPr="00EC1AB2" w:rsidRDefault="000F2064" w:rsidP="009F4399">
      <w:pPr>
        <w:autoSpaceDE w:val="0"/>
        <w:autoSpaceDN w:val="0"/>
        <w:adjustRightInd w:val="0"/>
        <w:spacing w:after="0" w:line="240" w:lineRule="auto"/>
        <w:jc w:val="center"/>
        <w:rPr>
          <w:rFonts w:ascii="Times New Roman" w:hAnsi="Times New Roman" w:cs="Times New Roman"/>
          <w:b/>
          <w:sz w:val="24"/>
          <w:szCs w:val="24"/>
        </w:rPr>
      </w:pPr>
    </w:p>
    <w:tbl>
      <w:tblPr>
        <w:tblStyle w:val="TableGrid"/>
        <w:tblW w:w="0" w:type="auto"/>
        <w:jc w:val="center"/>
        <w:tblLook w:val="04A0" w:firstRow="1" w:lastRow="0" w:firstColumn="1" w:lastColumn="0" w:noHBand="0" w:noVBand="1"/>
      </w:tblPr>
      <w:tblGrid>
        <w:gridCol w:w="3815"/>
        <w:gridCol w:w="5242"/>
      </w:tblGrid>
      <w:tr w:rsidR="00F25E1F" w:rsidRPr="00EC1AB2" w:rsidTr="000F2064">
        <w:trPr>
          <w:jc w:val="center"/>
        </w:trPr>
        <w:tc>
          <w:tcPr>
            <w:tcW w:w="3815" w:type="dxa"/>
          </w:tcPr>
          <w:p w:rsidR="007915D7" w:rsidRPr="00EC1AB2" w:rsidRDefault="007915D7" w:rsidP="007A02A8">
            <w:pPr>
              <w:autoSpaceDE w:val="0"/>
              <w:autoSpaceDN w:val="0"/>
              <w:adjustRightInd w:val="0"/>
              <w:spacing w:line="360" w:lineRule="auto"/>
              <w:jc w:val="center"/>
              <w:rPr>
                <w:rFonts w:ascii="Times New Roman" w:hAnsi="Times New Roman" w:cs="Times New Roman"/>
                <w:b/>
                <w:bCs/>
                <w:i/>
                <w:sz w:val="20"/>
                <w:szCs w:val="20"/>
              </w:rPr>
            </w:pPr>
            <w:r w:rsidRPr="00EC1AB2">
              <w:rPr>
                <w:rFonts w:ascii="Times New Roman" w:hAnsi="Times New Roman" w:cs="Times New Roman"/>
                <w:b/>
                <w:bCs/>
                <w:i/>
                <w:sz w:val="20"/>
                <w:szCs w:val="20"/>
              </w:rPr>
              <w:t>Veiksniai</w:t>
            </w:r>
          </w:p>
        </w:tc>
        <w:tc>
          <w:tcPr>
            <w:tcW w:w="5242" w:type="dxa"/>
          </w:tcPr>
          <w:p w:rsidR="007915D7" w:rsidRPr="00EC1AB2" w:rsidRDefault="007915D7" w:rsidP="007A02A8">
            <w:pPr>
              <w:autoSpaceDE w:val="0"/>
              <w:autoSpaceDN w:val="0"/>
              <w:adjustRightInd w:val="0"/>
              <w:spacing w:line="360" w:lineRule="auto"/>
              <w:jc w:val="center"/>
              <w:rPr>
                <w:rFonts w:ascii="Times New Roman" w:hAnsi="Times New Roman" w:cs="Times New Roman"/>
                <w:b/>
                <w:bCs/>
                <w:i/>
                <w:sz w:val="20"/>
                <w:szCs w:val="20"/>
              </w:rPr>
            </w:pPr>
            <w:r w:rsidRPr="00EC1AB2">
              <w:rPr>
                <w:rFonts w:ascii="Times New Roman" w:hAnsi="Times New Roman" w:cs="Times New Roman"/>
                <w:b/>
                <w:bCs/>
                <w:i/>
                <w:sz w:val="20"/>
                <w:szCs w:val="20"/>
              </w:rPr>
              <w:t>Įvertinimo rodikliai</w:t>
            </w:r>
          </w:p>
        </w:tc>
      </w:tr>
      <w:tr w:rsidR="00F25E1F" w:rsidRPr="00EC1AB2" w:rsidTr="000F2064">
        <w:trPr>
          <w:trHeight w:val="301"/>
          <w:jc w:val="center"/>
        </w:trPr>
        <w:tc>
          <w:tcPr>
            <w:tcW w:w="3815" w:type="dxa"/>
          </w:tcPr>
          <w:p w:rsidR="007915D7" w:rsidRPr="00EC1AB2" w:rsidRDefault="007915D7" w:rsidP="009F4399">
            <w:pPr>
              <w:autoSpaceDE w:val="0"/>
              <w:autoSpaceDN w:val="0"/>
              <w:adjustRightInd w:val="0"/>
              <w:spacing w:line="276" w:lineRule="auto"/>
              <w:jc w:val="center"/>
              <w:rPr>
                <w:rFonts w:ascii="Times New Roman" w:hAnsi="Times New Roman" w:cs="Times New Roman"/>
                <w:b/>
                <w:i/>
                <w:sz w:val="20"/>
                <w:szCs w:val="20"/>
              </w:rPr>
            </w:pPr>
            <w:r w:rsidRPr="00EC1AB2">
              <w:rPr>
                <w:rFonts w:ascii="Times New Roman" w:hAnsi="Times New Roman" w:cs="Times New Roman"/>
                <w:b/>
                <w:i/>
                <w:sz w:val="20"/>
                <w:szCs w:val="20"/>
              </w:rPr>
              <w:t>Technologinių įmonių kūrimasis</w:t>
            </w:r>
          </w:p>
        </w:tc>
        <w:tc>
          <w:tcPr>
            <w:tcW w:w="5242" w:type="dxa"/>
          </w:tcPr>
          <w:p w:rsidR="007915D7" w:rsidRPr="00EC1AB2" w:rsidRDefault="007915D7" w:rsidP="009F4399">
            <w:pPr>
              <w:autoSpaceDE w:val="0"/>
              <w:autoSpaceDN w:val="0"/>
              <w:adjustRightInd w:val="0"/>
              <w:spacing w:line="276" w:lineRule="auto"/>
              <w:rPr>
                <w:rFonts w:ascii="Times New Roman" w:hAnsi="Times New Roman" w:cs="Times New Roman"/>
                <w:i/>
                <w:sz w:val="20"/>
                <w:szCs w:val="20"/>
              </w:rPr>
            </w:pPr>
            <w:r w:rsidRPr="00EC1AB2">
              <w:rPr>
                <w:rFonts w:ascii="Times New Roman" w:hAnsi="Times New Roman" w:cs="Times New Roman"/>
                <w:i/>
                <w:sz w:val="20"/>
                <w:szCs w:val="20"/>
              </w:rPr>
              <w:t>Naujų įmonių steigimo apimtys</w:t>
            </w:r>
          </w:p>
        </w:tc>
      </w:tr>
      <w:tr w:rsidR="00F25E1F" w:rsidRPr="00EC1AB2" w:rsidTr="000F2064">
        <w:trPr>
          <w:jc w:val="center"/>
        </w:trPr>
        <w:tc>
          <w:tcPr>
            <w:tcW w:w="3815" w:type="dxa"/>
          </w:tcPr>
          <w:p w:rsidR="007915D7" w:rsidRPr="00EC1AB2" w:rsidRDefault="007915D7" w:rsidP="009F4399">
            <w:pPr>
              <w:pStyle w:val="Default"/>
              <w:spacing w:line="276" w:lineRule="auto"/>
              <w:jc w:val="center"/>
              <w:rPr>
                <w:b/>
                <w:i/>
                <w:color w:val="auto"/>
                <w:sz w:val="20"/>
                <w:szCs w:val="20"/>
                <w:lang w:val="lt-LT"/>
              </w:rPr>
            </w:pPr>
            <w:r w:rsidRPr="00EC1AB2">
              <w:rPr>
                <w:b/>
                <w:i/>
                <w:color w:val="auto"/>
                <w:sz w:val="20"/>
                <w:szCs w:val="20"/>
                <w:lang w:val="lt-LT"/>
              </w:rPr>
              <w:t>Neformalus investavimas</w:t>
            </w:r>
          </w:p>
        </w:tc>
        <w:tc>
          <w:tcPr>
            <w:tcW w:w="5242" w:type="dxa"/>
          </w:tcPr>
          <w:p w:rsidR="007915D7" w:rsidRPr="00EC1AB2" w:rsidRDefault="007915D7" w:rsidP="009F4399">
            <w:pPr>
              <w:pStyle w:val="Default"/>
              <w:spacing w:line="276" w:lineRule="auto"/>
              <w:rPr>
                <w:i/>
                <w:color w:val="auto"/>
                <w:sz w:val="20"/>
                <w:szCs w:val="20"/>
                <w:lang w:val="lt-LT"/>
              </w:rPr>
            </w:pPr>
            <w:r w:rsidRPr="00EC1AB2">
              <w:rPr>
                <w:i/>
                <w:color w:val="auto"/>
                <w:sz w:val="20"/>
                <w:szCs w:val="20"/>
                <w:lang w:val="lt-LT"/>
              </w:rPr>
              <w:t>Verslo angelų investicijų apimtys</w:t>
            </w:r>
          </w:p>
        </w:tc>
      </w:tr>
      <w:tr w:rsidR="00F25E1F" w:rsidRPr="00EC1AB2" w:rsidTr="000F2064">
        <w:trPr>
          <w:jc w:val="center"/>
        </w:trPr>
        <w:tc>
          <w:tcPr>
            <w:tcW w:w="3815" w:type="dxa"/>
          </w:tcPr>
          <w:p w:rsidR="007915D7" w:rsidRPr="00EC1AB2" w:rsidRDefault="007915D7" w:rsidP="009F4399">
            <w:pPr>
              <w:pStyle w:val="Default"/>
              <w:spacing w:line="276" w:lineRule="auto"/>
              <w:jc w:val="center"/>
              <w:rPr>
                <w:b/>
                <w:i/>
                <w:color w:val="auto"/>
                <w:sz w:val="20"/>
                <w:szCs w:val="20"/>
                <w:lang w:val="lt-LT"/>
              </w:rPr>
            </w:pPr>
            <w:r w:rsidRPr="00EC1AB2">
              <w:rPr>
                <w:b/>
                <w:i/>
                <w:color w:val="auto"/>
                <w:sz w:val="20"/>
                <w:szCs w:val="20"/>
                <w:lang w:val="lt-LT"/>
              </w:rPr>
              <w:t>Bankų veikla</w:t>
            </w:r>
          </w:p>
        </w:tc>
        <w:tc>
          <w:tcPr>
            <w:tcW w:w="5242" w:type="dxa"/>
          </w:tcPr>
          <w:p w:rsidR="007915D7" w:rsidRPr="00EC1AB2" w:rsidRDefault="007915D7" w:rsidP="009F4399">
            <w:pPr>
              <w:pStyle w:val="Default"/>
              <w:spacing w:line="276" w:lineRule="auto"/>
              <w:rPr>
                <w:i/>
                <w:color w:val="auto"/>
                <w:sz w:val="20"/>
                <w:szCs w:val="20"/>
                <w:lang w:val="lt-LT"/>
              </w:rPr>
            </w:pPr>
            <w:r w:rsidRPr="00EC1AB2">
              <w:rPr>
                <w:i/>
                <w:color w:val="auto"/>
                <w:sz w:val="20"/>
                <w:szCs w:val="20"/>
                <w:lang w:val="lt-LT"/>
              </w:rPr>
              <w:t>Bankų paskolų įmonėms apimtys</w:t>
            </w:r>
          </w:p>
        </w:tc>
      </w:tr>
      <w:tr w:rsidR="00F25E1F" w:rsidRPr="00EC1AB2" w:rsidTr="000F2064">
        <w:trPr>
          <w:jc w:val="center"/>
        </w:trPr>
        <w:tc>
          <w:tcPr>
            <w:tcW w:w="3815" w:type="dxa"/>
          </w:tcPr>
          <w:p w:rsidR="007915D7" w:rsidRPr="00EC1AB2" w:rsidRDefault="007915D7" w:rsidP="009F4399">
            <w:pPr>
              <w:pStyle w:val="Default"/>
              <w:spacing w:line="276" w:lineRule="auto"/>
              <w:jc w:val="center"/>
              <w:rPr>
                <w:b/>
                <w:i/>
                <w:color w:val="auto"/>
                <w:sz w:val="20"/>
                <w:szCs w:val="20"/>
                <w:lang w:val="lt-LT"/>
              </w:rPr>
            </w:pPr>
            <w:r w:rsidRPr="00EC1AB2">
              <w:rPr>
                <w:b/>
                <w:i/>
                <w:color w:val="auto"/>
                <w:sz w:val="20"/>
                <w:szCs w:val="20"/>
                <w:lang w:val="lt-LT"/>
              </w:rPr>
              <w:t>Rizikos kapitalo veikla</w:t>
            </w:r>
          </w:p>
        </w:tc>
        <w:tc>
          <w:tcPr>
            <w:tcW w:w="5242" w:type="dxa"/>
          </w:tcPr>
          <w:p w:rsidR="007915D7" w:rsidRPr="00EC1AB2" w:rsidRDefault="000F2064" w:rsidP="009F4399">
            <w:pPr>
              <w:pStyle w:val="Default"/>
              <w:spacing w:line="276" w:lineRule="auto"/>
              <w:rPr>
                <w:i/>
                <w:color w:val="auto"/>
                <w:sz w:val="20"/>
                <w:szCs w:val="20"/>
                <w:lang w:val="lt-LT"/>
              </w:rPr>
            </w:pPr>
            <w:r w:rsidRPr="00EC1AB2">
              <w:rPr>
                <w:i/>
                <w:color w:val="auto"/>
                <w:sz w:val="20"/>
                <w:szCs w:val="20"/>
                <w:lang w:val="lt-LT"/>
              </w:rPr>
              <w:t xml:space="preserve">RKF </w:t>
            </w:r>
            <w:r w:rsidR="007915D7" w:rsidRPr="00EC1AB2">
              <w:rPr>
                <w:i/>
                <w:color w:val="auto"/>
                <w:sz w:val="20"/>
                <w:szCs w:val="20"/>
                <w:lang w:val="lt-LT"/>
              </w:rPr>
              <w:t>skaičius, investicinės grąžos dydis, investavimo apimtys pagal rizikos kapitalo stadijas, tarptautinių rizikos kapitalo investicijų apimtys, lėšų, pritrauktų į rizikos kapitalo fondus, apimtys</w:t>
            </w:r>
          </w:p>
        </w:tc>
      </w:tr>
      <w:tr w:rsidR="00144C73" w:rsidRPr="00EC1AB2" w:rsidTr="000F2064">
        <w:trPr>
          <w:jc w:val="center"/>
        </w:trPr>
        <w:tc>
          <w:tcPr>
            <w:tcW w:w="3815" w:type="dxa"/>
          </w:tcPr>
          <w:p w:rsidR="00144C73" w:rsidRPr="00EC1AB2" w:rsidRDefault="00144C73" w:rsidP="009F4399">
            <w:pPr>
              <w:pStyle w:val="Default"/>
              <w:spacing w:line="276" w:lineRule="auto"/>
              <w:jc w:val="center"/>
              <w:rPr>
                <w:b/>
                <w:i/>
                <w:color w:val="auto"/>
                <w:sz w:val="20"/>
                <w:szCs w:val="20"/>
                <w:lang w:val="lt-LT"/>
              </w:rPr>
            </w:pPr>
            <w:r w:rsidRPr="00EC1AB2">
              <w:rPr>
                <w:b/>
                <w:i/>
                <w:color w:val="auto"/>
                <w:sz w:val="20"/>
                <w:szCs w:val="20"/>
                <w:lang w:val="lt-LT"/>
              </w:rPr>
              <w:t>Akcijų rinkos efektyvumas</w:t>
            </w:r>
          </w:p>
        </w:tc>
        <w:tc>
          <w:tcPr>
            <w:tcW w:w="5242" w:type="dxa"/>
          </w:tcPr>
          <w:p w:rsidR="00144C73" w:rsidRPr="00EC1AB2" w:rsidRDefault="00144C73" w:rsidP="009F4399">
            <w:pPr>
              <w:pStyle w:val="Default"/>
              <w:spacing w:line="276" w:lineRule="auto"/>
              <w:rPr>
                <w:i/>
                <w:color w:val="auto"/>
                <w:sz w:val="20"/>
                <w:szCs w:val="20"/>
                <w:lang w:val="lt-LT"/>
              </w:rPr>
            </w:pPr>
            <w:r w:rsidRPr="00EC1AB2">
              <w:rPr>
                <w:i/>
                <w:color w:val="auto"/>
                <w:sz w:val="20"/>
                <w:szCs w:val="20"/>
                <w:lang w:val="lt-LT"/>
              </w:rPr>
              <w:t>Antrinės rinkos dydis, įėjimo į rinką sąlygos ir prospektų sąlygos, IPO kaštai, pirminių IPO skaičius, tarptautinių pirminių viešų pasiūlymų skaičius, rizikos kapitalo valdymo įmonių, realizavusių investicijas per IPO, skaičius, tiesioginių pardavimų skaičius</w:t>
            </w:r>
          </w:p>
        </w:tc>
      </w:tr>
    </w:tbl>
    <w:p w:rsidR="009F4399" w:rsidRPr="00EC1AB2" w:rsidRDefault="009F4399" w:rsidP="009F4399">
      <w:pPr>
        <w:spacing w:after="0" w:line="360" w:lineRule="auto"/>
        <w:rPr>
          <w:rFonts w:ascii="Times New Roman" w:hAnsi="Times New Roman" w:cs="Times New Roman"/>
          <w:sz w:val="24"/>
          <w:szCs w:val="24"/>
        </w:rPr>
      </w:pPr>
    </w:p>
    <w:p w:rsidR="00DF4E36" w:rsidRPr="00EC1AB2" w:rsidRDefault="00DF4E36" w:rsidP="009F4399">
      <w:pPr>
        <w:spacing w:after="0" w:line="360" w:lineRule="auto"/>
        <w:jc w:val="right"/>
        <w:rPr>
          <w:rFonts w:ascii="Times New Roman" w:hAnsi="Times New Roman" w:cs="Times New Roman"/>
          <w:sz w:val="24"/>
          <w:szCs w:val="24"/>
        </w:rPr>
      </w:pPr>
      <w:r w:rsidRPr="00EC1AB2">
        <w:rPr>
          <w:rFonts w:ascii="Times New Roman" w:hAnsi="Times New Roman" w:cs="Times New Roman"/>
          <w:sz w:val="24"/>
          <w:szCs w:val="24"/>
        </w:rPr>
        <w:t>2 lentelės tęsinys kitame puslapyje</w:t>
      </w:r>
    </w:p>
    <w:p w:rsidR="00DF4E36" w:rsidRPr="00EC1AB2" w:rsidRDefault="00DF4E36" w:rsidP="00DF4E36">
      <w:pPr>
        <w:spacing w:after="0" w:line="360" w:lineRule="auto"/>
        <w:jc w:val="right"/>
        <w:rPr>
          <w:rFonts w:ascii="Times New Roman" w:hAnsi="Times New Roman" w:cs="Times New Roman"/>
          <w:sz w:val="24"/>
          <w:szCs w:val="24"/>
        </w:rPr>
      </w:pPr>
      <w:r w:rsidRPr="00EC1AB2">
        <w:rPr>
          <w:rFonts w:ascii="Times New Roman" w:hAnsi="Times New Roman" w:cs="Times New Roman"/>
          <w:sz w:val="24"/>
          <w:szCs w:val="24"/>
        </w:rPr>
        <w:lastRenderedPageBreak/>
        <w:t>2 lentelės tęsinys</w:t>
      </w:r>
    </w:p>
    <w:p w:rsidR="00DF4E36" w:rsidRPr="00EC1AB2" w:rsidRDefault="00DF4E36" w:rsidP="00DF4E36">
      <w:pPr>
        <w:spacing w:after="0" w:line="360" w:lineRule="auto"/>
        <w:jc w:val="right"/>
        <w:rPr>
          <w:rFonts w:ascii="Times New Roman" w:hAnsi="Times New Roman" w:cs="Times New Roman"/>
          <w:sz w:val="24"/>
          <w:szCs w:val="24"/>
        </w:rPr>
      </w:pPr>
    </w:p>
    <w:tbl>
      <w:tblPr>
        <w:tblStyle w:val="TableGrid"/>
        <w:tblW w:w="0" w:type="auto"/>
        <w:jc w:val="center"/>
        <w:tblLook w:val="04A0" w:firstRow="1" w:lastRow="0" w:firstColumn="1" w:lastColumn="0" w:noHBand="0" w:noVBand="1"/>
      </w:tblPr>
      <w:tblGrid>
        <w:gridCol w:w="3815"/>
        <w:gridCol w:w="5242"/>
      </w:tblGrid>
      <w:tr w:rsidR="00DF4E36" w:rsidRPr="00EC1AB2" w:rsidTr="000F2064">
        <w:trPr>
          <w:jc w:val="center"/>
        </w:trPr>
        <w:tc>
          <w:tcPr>
            <w:tcW w:w="3815" w:type="dxa"/>
          </w:tcPr>
          <w:p w:rsidR="00DF4E36" w:rsidRPr="00EC1AB2" w:rsidRDefault="00DF4E36" w:rsidP="009F4399">
            <w:pPr>
              <w:autoSpaceDE w:val="0"/>
              <w:autoSpaceDN w:val="0"/>
              <w:adjustRightInd w:val="0"/>
              <w:spacing w:line="276" w:lineRule="auto"/>
              <w:jc w:val="center"/>
              <w:rPr>
                <w:rFonts w:ascii="Times New Roman" w:hAnsi="Times New Roman" w:cs="Times New Roman"/>
                <w:b/>
                <w:bCs/>
                <w:i/>
                <w:sz w:val="20"/>
                <w:szCs w:val="20"/>
              </w:rPr>
            </w:pPr>
            <w:r w:rsidRPr="00EC1AB2">
              <w:rPr>
                <w:rFonts w:ascii="Times New Roman" w:hAnsi="Times New Roman" w:cs="Times New Roman"/>
                <w:b/>
                <w:bCs/>
                <w:i/>
                <w:sz w:val="20"/>
                <w:szCs w:val="20"/>
              </w:rPr>
              <w:t>Veiksniai</w:t>
            </w:r>
          </w:p>
        </w:tc>
        <w:tc>
          <w:tcPr>
            <w:tcW w:w="5242" w:type="dxa"/>
          </w:tcPr>
          <w:p w:rsidR="00DF4E36" w:rsidRPr="00EC1AB2" w:rsidRDefault="00DF4E36" w:rsidP="009F4399">
            <w:pPr>
              <w:autoSpaceDE w:val="0"/>
              <w:autoSpaceDN w:val="0"/>
              <w:adjustRightInd w:val="0"/>
              <w:spacing w:line="276" w:lineRule="auto"/>
              <w:jc w:val="center"/>
              <w:rPr>
                <w:rFonts w:ascii="Times New Roman" w:hAnsi="Times New Roman" w:cs="Times New Roman"/>
                <w:b/>
                <w:bCs/>
                <w:i/>
                <w:sz w:val="20"/>
                <w:szCs w:val="20"/>
              </w:rPr>
            </w:pPr>
            <w:r w:rsidRPr="00EC1AB2">
              <w:rPr>
                <w:rFonts w:ascii="Times New Roman" w:hAnsi="Times New Roman" w:cs="Times New Roman"/>
                <w:b/>
                <w:bCs/>
                <w:i/>
                <w:sz w:val="20"/>
                <w:szCs w:val="20"/>
              </w:rPr>
              <w:t>Įvertinimo rodikliai</w:t>
            </w:r>
          </w:p>
        </w:tc>
      </w:tr>
      <w:tr w:rsidR="00DF4E36" w:rsidRPr="00EC1AB2" w:rsidTr="000F2064">
        <w:trPr>
          <w:jc w:val="center"/>
        </w:trPr>
        <w:tc>
          <w:tcPr>
            <w:tcW w:w="3815" w:type="dxa"/>
          </w:tcPr>
          <w:p w:rsidR="00DF4E36" w:rsidRPr="00EC1AB2" w:rsidRDefault="00DF4E36" w:rsidP="009F4399">
            <w:pPr>
              <w:pStyle w:val="Default"/>
              <w:spacing w:line="276" w:lineRule="auto"/>
              <w:jc w:val="center"/>
              <w:rPr>
                <w:b/>
                <w:i/>
                <w:color w:val="auto"/>
                <w:sz w:val="20"/>
                <w:szCs w:val="20"/>
                <w:lang w:val="lt-LT"/>
              </w:rPr>
            </w:pPr>
            <w:r w:rsidRPr="00EC1AB2">
              <w:rPr>
                <w:b/>
                <w:i/>
                <w:color w:val="auto"/>
                <w:sz w:val="20"/>
                <w:szCs w:val="20"/>
                <w:lang w:val="lt-LT"/>
              </w:rPr>
              <w:t>Formalus (institucinis ) investavimas</w:t>
            </w:r>
          </w:p>
        </w:tc>
        <w:tc>
          <w:tcPr>
            <w:tcW w:w="5242" w:type="dxa"/>
          </w:tcPr>
          <w:p w:rsidR="00DF4E36" w:rsidRPr="00EC1AB2" w:rsidRDefault="00DF4E36" w:rsidP="009F4399">
            <w:pPr>
              <w:pStyle w:val="Default"/>
              <w:spacing w:line="276" w:lineRule="auto"/>
              <w:rPr>
                <w:i/>
                <w:color w:val="auto"/>
                <w:sz w:val="20"/>
                <w:szCs w:val="20"/>
                <w:lang w:val="lt-LT"/>
              </w:rPr>
            </w:pPr>
            <w:r w:rsidRPr="00EC1AB2">
              <w:rPr>
                <w:i/>
                <w:color w:val="auto"/>
                <w:sz w:val="20"/>
                <w:szCs w:val="20"/>
                <w:lang w:val="lt-LT"/>
              </w:rPr>
              <w:t>Investicijų į akcinę nuosavybę apimtys, teisiniai apribojimai, pensijų fondų ir draudimo įmonių investicijų į rizikos kapitalo fondus apimtys, išlaidų nematerialiajam turtui traktavimas, kapitalo prieaugio traktavimo galimybės, valstybinių rizikos kapitalo fondų skaičius ir vidutinis dydis, valstybės teikiamų kreditų ir garantijų užimama rinkos dalis</w:t>
            </w:r>
          </w:p>
        </w:tc>
      </w:tr>
      <w:tr w:rsidR="00DF4E36" w:rsidRPr="00EC1AB2" w:rsidTr="000F2064">
        <w:trPr>
          <w:jc w:val="center"/>
        </w:trPr>
        <w:tc>
          <w:tcPr>
            <w:tcW w:w="3815" w:type="dxa"/>
          </w:tcPr>
          <w:p w:rsidR="00DF4E36" w:rsidRPr="00EC1AB2" w:rsidRDefault="00DF4E36" w:rsidP="009F4399">
            <w:pPr>
              <w:pStyle w:val="Default"/>
              <w:spacing w:line="276" w:lineRule="auto"/>
              <w:jc w:val="center"/>
              <w:rPr>
                <w:b/>
                <w:i/>
                <w:color w:val="auto"/>
                <w:sz w:val="20"/>
                <w:szCs w:val="20"/>
                <w:lang w:val="lt-LT"/>
              </w:rPr>
            </w:pPr>
            <w:r w:rsidRPr="00EC1AB2">
              <w:rPr>
                <w:b/>
                <w:i/>
                <w:color w:val="auto"/>
                <w:sz w:val="20"/>
                <w:szCs w:val="20"/>
                <w:lang w:val="lt-LT"/>
              </w:rPr>
              <w:t>Pajėgumai įvertinti technologinę riziką</w:t>
            </w:r>
          </w:p>
        </w:tc>
        <w:tc>
          <w:tcPr>
            <w:tcW w:w="5242" w:type="dxa"/>
          </w:tcPr>
          <w:p w:rsidR="00DF4E36" w:rsidRPr="00EC1AB2" w:rsidRDefault="00DF4E36" w:rsidP="009F4399">
            <w:pPr>
              <w:pStyle w:val="Default"/>
              <w:spacing w:line="276" w:lineRule="auto"/>
              <w:rPr>
                <w:i/>
                <w:color w:val="auto"/>
                <w:sz w:val="20"/>
                <w:szCs w:val="20"/>
                <w:lang w:val="lt-LT"/>
              </w:rPr>
            </w:pPr>
            <w:r w:rsidRPr="00EC1AB2">
              <w:rPr>
                <w:i/>
                <w:color w:val="auto"/>
                <w:sz w:val="20"/>
                <w:szCs w:val="20"/>
                <w:lang w:val="lt-LT"/>
              </w:rPr>
              <w:t>Pajėgumų aprašymas</w:t>
            </w:r>
          </w:p>
        </w:tc>
      </w:tr>
      <w:tr w:rsidR="00DF4E36" w:rsidRPr="00EC1AB2" w:rsidTr="000F2064">
        <w:trPr>
          <w:jc w:val="center"/>
        </w:trPr>
        <w:tc>
          <w:tcPr>
            <w:tcW w:w="3815" w:type="dxa"/>
          </w:tcPr>
          <w:p w:rsidR="00DF4E36" w:rsidRPr="00EC1AB2" w:rsidRDefault="00DF4E36" w:rsidP="009F4399">
            <w:pPr>
              <w:pStyle w:val="Default"/>
              <w:spacing w:line="276" w:lineRule="auto"/>
              <w:jc w:val="center"/>
              <w:rPr>
                <w:b/>
                <w:i/>
                <w:color w:val="auto"/>
                <w:sz w:val="20"/>
                <w:szCs w:val="20"/>
                <w:lang w:val="lt-LT"/>
              </w:rPr>
            </w:pPr>
            <w:r w:rsidRPr="00EC1AB2">
              <w:rPr>
                <w:b/>
                <w:i/>
                <w:color w:val="auto"/>
                <w:sz w:val="20"/>
                <w:szCs w:val="20"/>
                <w:lang w:val="lt-LT"/>
              </w:rPr>
              <w:t>Verslo ir mokslo ryšiai</w:t>
            </w:r>
          </w:p>
        </w:tc>
        <w:tc>
          <w:tcPr>
            <w:tcW w:w="5242" w:type="dxa"/>
          </w:tcPr>
          <w:p w:rsidR="00DF4E36" w:rsidRPr="00EC1AB2" w:rsidRDefault="00DF4E36" w:rsidP="009F4399">
            <w:pPr>
              <w:pStyle w:val="Default"/>
              <w:spacing w:line="276" w:lineRule="auto"/>
              <w:rPr>
                <w:i/>
                <w:color w:val="auto"/>
                <w:sz w:val="20"/>
                <w:szCs w:val="20"/>
                <w:lang w:val="lt-LT"/>
              </w:rPr>
            </w:pPr>
            <w:r w:rsidRPr="00EC1AB2">
              <w:rPr>
                <w:i/>
                <w:color w:val="auto"/>
                <w:sz w:val="20"/>
                <w:szCs w:val="20"/>
                <w:lang w:val="lt-LT"/>
              </w:rPr>
              <w:t>Aprašymas</w:t>
            </w:r>
          </w:p>
        </w:tc>
      </w:tr>
    </w:tbl>
    <w:p w:rsidR="000F2064" w:rsidRPr="00EC1AB2" w:rsidRDefault="000F2064" w:rsidP="007A02A8">
      <w:pPr>
        <w:autoSpaceDE w:val="0"/>
        <w:autoSpaceDN w:val="0"/>
        <w:adjustRightInd w:val="0"/>
        <w:spacing w:after="0" w:line="360" w:lineRule="auto"/>
        <w:ind w:firstLine="1296"/>
        <w:jc w:val="both"/>
        <w:rPr>
          <w:rFonts w:ascii="Times New Roman" w:hAnsi="Times New Roman" w:cs="Times New Roman"/>
          <w:b/>
          <w:sz w:val="20"/>
          <w:szCs w:val="20"/>
        </w:rPr>
      </w:pPr>
    </w:p>
    <w:p w:rsidR="007915D7" w:rsidRPr="00EC1AB2" w:rsidRDefault="007915D7" w:rsidP="007A02A8">
      <w:pPr>
        <w:autoSpaceDE w:val="0"/>
        <w:autoSpaceDN w:val="0"/>
        <w:adjustRightInd w:val="0"/>
        <w:spacing w:after="0" w:line="360" w:lineRule="auto"/>
        <w:ind w:firstLine="1296"/>
        <w:jc w:val="both"/>
        <w:rPr>
          <w:rFonts w:ascii="Times New Roman" w:hAnsi="Times New Roman" w:cs="Times New Roman"/>
          <w:sz w:val="20"/>
          <w:szCs w:val="20"/>
        </w:rPr>
      </w:pPr>
      <w:r w:rsidRPr="00EC1AB2">
        <w:rPr>
          <w:rFonts w:ascii="Times New Roman" w:hAnsi="Times New Roman" w:cs="Times New Roman"/>
          <w:b/>
          <w:sz w:val="20"/>
          <w:szCs w:val="20"/>
        </w:rPr>
        <w:t xml:space="preserve">Šaltinis: </w:t>
      </w:r>
      <w:r w:rsidRPr="00EC1AB2">
        <w:rPr>
          <w:rFonts w:ascii="Times New Roman" w:hAnsi="Times New Roman" w:cs="Times New Roman"/>
          <w:sz w:val="20"/>
          <w:szCs w:val="20"/>
        </w:rPr>
        <w:t>sudaryta pagal Sebroeck (2000)</w:t>
      </w:r>
    </w:p>
    <w:p w:rsidR="007915D7" w:rsidRPr="00EC1AB2" w:rsidRDefault="007915D7" w:rsidP="007A02A8">
      <w:pPr>
        <w:autoSpaceDE w:val="0"/>
        <w:autoSpaceDN w:val="0"/>
        <w:adjustRightInd w:val="0"/>
        <w:spacing w:after="0" w:line="360" w:lineRule="auto"/>
        <w:ind w:left="720"/>
        <w:jc w:val="both"/>
        <w:rPr>
          <w:rFonts w:ascii="Times New Roman" w:hAnsi="Times New Roman" w:cs="Times New Roman"/>
          <w:b/>
          <w:sz w:val="20"/>
          <w:szCs w:val="20"/>
        </w:rPr>
      </w:pPr>
    </w:p>
    <w:p w:rsidR="007915D7" w:rsidRPr="00EC1AB2" w:rsidRDefault="007915D7" w:rsidP="007A02A8">
      <w:pPr>
        <w:tabs>
          <w:tab w:val="left" w:pos="0"/>
        </w:tabs>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Kaip matyti iš 2 lent., anot Sebroeck (2000), labiausiai rizikos kapitalistai kreipia dėmesį </w:t>
      </w:r>
      <w:r w:rsidR="007B5EF2" w:rsidRPr="00EC1AB2">
        <w:rPr>
          <w:rFonts w:ascii="Times New Roman" w:hAnsi="Times New Roman" w:cs="Times New Roman"/>
          <w:sz w:val="24"/>
          <w:szCs w:val="24"/>
        </w:rPr>
        <w:t>į rinkos efektyvumą, investicijų realizavimo</w:t>
      </w:r>
      <w:r w:rsidRPr="00EC1AB2">
        <w:rPr>
          <w:rFonts w:ascii="Times New Roman" w:hAnsi="Times New Roman" w:cs="Times New Roman"/>
          <w:sz w:val="24"/>
          <w:szCs w:val="24"/>
        </w:rPr>
        <w:t xml:space="preserve"> galimybes bei kitas rinkos sąlygas, kaip, pav</w:t>
      </w:r>
      <w:r w:rsidR="007B5EF2" w:rsidRPr="00EC1AB2">
        <w:rPr>
          <w:rFonts w:ascii="Times New Roman" w:hAnsi="Times New Roman" w:cs="Times New Roman"/>
          <w:sz w:val="24"/>
          <w:szCs w:val="24"/>
        </w:rPr>
        <w:t>yzdžiui, verslo ir mokslo bendradarbiavimą</w:t>
      </w:r>
      <w:r w:rsidR="00B868ED" w:rsidRPr="00EC1AB2">
        <w:rPr>
          <w:rFonts w:ascii="Times New Roman" w:hAnsi="Times New Roman" w:cs="Times New Roman"/>
          <w:sz w:val="24"/>
          <w:szCs w:val="24"/>
        </w:rPr>
        <w:t>. Jakubavičius ir kt. (2008) pritaria Sebroeck ir teigia, minėtus rodiklius galima sugrupuoti į tris grupes: pirmoji grupė apima rizikos kapitalo „tikslinę“ rinką – įmones, į kurias rizikos kapitalas investuoja; antroji – išėjimo galimybes, trečioji – aplinką, kurioje rizikos kapitalas veikia.</w:t>
      </w:r>
    </w:p>
    <w:p w:rsidR="007915D7" w:rsidRPr="00EC1AB2" w:rsidRDefault="001B65B2"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E.G.S Felix, M.A.Gulamhussen ,</w:t>
      </w:r>
      <w:r w:rsidR="007915D7" w:rsidRPr="00EC1AB2">
        <w:rPr>
          <w:rFonts w:ascii="Times New Roman" w:hAnsi="Times New Roman" w:cs="Times New Roman"/>
          <w:sz w:val="24"/>
          <w:szCs w:val="24"/>
        </w:rPr>
        <w:t xml:space="preserve"> C.P.Pires (2</w:t>
      </w:r>
      <w:r w:rsidR="007F4A0A" w:rsidRPr="00EC1AB2">
        <w:rPr>
          <w:rFonts w:ascii="Times New Roman" w:hAnsi="Times New Roman" w:cs="Times New Roman"/>
          <w:sz w:val="24"/>
          <w:szCs w:val="24"/>
        </w:rPr>
        <w:t xml:space="preserve">007) atliko tyrimą apie sąlygas įtakojančias RKF vystymąsi Europoje. Šie autoriai išskyrė veiksnius, </w:t>
      </w:r>
      <w:r w:rsidR="007915D7" w:rsidRPr="00EC1AB2">
        <w:rPr>
          <w:rFonts w:ascii="Times New Roman" w:hAnsi="Times New Roman" w:cs="Times New Roman"/>
          <w:sz w:val="24"/>
          <w:szCs w:val="24"/>
        </w:rPr>
        <w:t>j</w:t>
      </w:r>
      <w:r w:rsidR="007F4A0A" w:rsidRPr="00EC1AB2">
        <w:rPr>
          <w:rFonts w:ascii="Times New Roman" w:hAnsi="Times New Roman" w:cs="Times New Roman"/>
          <w:sz w:val="24"/>
          <w:szCs w:val="24"/>
        </w:rPr>
        <w:t xml:space="preserve">ų manymu, reikšmingus rizikos kapitalo plėtrai: </w:t>
      </w:r>
      <w:r w:rsidR="007915D7" w:rsidRPr="00EC1AB2">
        <w:rPr>
          <w:rFonts w:ascii="Times New Roman" w:hAnsi="Times New Roman" w:cs="Times New Roman"/>
          <w:sz w:val="24"/>
          <w:szCs w:val="24"/>
        </w:rPr>
        <w:t>nedarbo lygis, akcijų kainos ir nuosavybės, tenkančios vienai akcijai vidurkis rinkoje bei komercinis verslų pardavimo skai</w:t>
      </w:r>
      <w:r w:rsidR="007F4A0A" w:rsidRPr="00EC1AB2">
        <w:rPr>
          <w:rFonts w:ascii="Times New Roman" w:hAnsi="Times New Roman" w:cs="Times New Roman"/>
          <w:sz w:val="24"/>
          <w:szCs w:val="24"/>
        </w:rPr>
        <w:t xml:space="preserve">čius, o </w:t>
      </w:r>
      <w:r w:rsidR="007915D7" w:rsidRPr="00EC1AB2">
        <w:rPr>
          <w:rFonts w:ascii="Times New Roman" w:hAnsi="Times New Roman" w:cs="Times New Roman"/>
          <w:sz w:val="24"/>
          <w:szCs w:val="24"/>
        </w:rPr>
        <w:t xml:space="preserve">didžiausią įtaką Europos rizikos kapitalo lygio vystymuisi turi rinkos palūkanų normos, nedarbo lygis, IPO skaičius bei komercinis verslų pardavimo skaičius. Autoriai taip pat pastebėjo, kad ankstyvos stadijos rizikos kapitalui didžiausią įtaką turi makroekonominiai veiksniai.  </w:t>
      </w:r>
    </w:p>
    <w:p w:rsidR="00593D9E" w:rsidRPr="00EC1AB2" w:rsidRDefault="007915D7" w:rsidP="00DF4E36">
      <w:pPr>
        <w:spacing w:after="0" w:line="360" w:lineRule="auto"/>
        <w:ind w:firstLine="567"/>
        <w:jc w:val="both"/>
        <w:rPr>
          <w:rFonts w:ascii="Times New Roman" w:eastAsia="MinionPro-Regular" w:hAnsi="Times New Roman" w:cs="Times New Roman"/>
          <w:sz w:val="24"/>
          <w:szCs w:val="24"/>
          <w:lang w:eastAsia="lt-LT"/>
        </w:rPr>
      </w:pPr>
      <w:r w:rsidRPr="00EC1AB2">
        <w:rPr>
          <w:rFonts w:ascii="Times New Roman" w:eastAsia="MinionPro-Regular" w:hAnsi="Times New Roman" w:cs="Times New Roman"/>
          <w:sz w:val="24"/>
          <w:szCs w:val="24"/>
          <w:lang w:eastAsia="lt-LT"/>
        </w:rPr>
        <w:t>Nagrinėjant mokslinę literatūrą, pastebėta,</w:t>
      </w:r>
      <w:r w:rsidRPr="00EC1AB2">
        <w:rPr>
          <w:rFonts w:ascii="Times New Roman" w:hAnsi="Times New Roman" w:cs="Times New Roman"/>
          <w:sz w:val="24"/>
          <w:szCs w:val="24"/>
        </w:rPr>
        <w:t xml:space="preserve"> </w:t>
      </w:r>
      <w:r w:rsidRPr="00EC1AB2">
        <w:rPr>
          <w:rFonts w:ascii="Times New Roman" w:eastAsia="MinionPro-Regular" w:hAnsi="Times New Roman" w:cs="Times New Roman"/>
          <w:sz w:val="24"/>
          <w:szCs w:val="24"/>
          <w:lang w:eastAsia="lt-LT"/>
        </w:rPr>
        <w:t>jog nemažai autorių formuoja</w:t>
      </w:r>
      <w:r w:rsidRPr="00EC1AB2">
        <w:rPr>
          <w:rFonts w:ascii="Times New Roman" w:hAnsi="Times New Roman" w:cs="Times New Roman"/>
          <w:sz w:val="24"/>
          <w:szCs w:val="24"/>
        </w:rPr>
        <w:t xml:space="preserve"> </w:t>
      </w:r>
      <w:r w:rsidRPr="00EC1AB2">
        <w:rPr>
          <w:rFonts w:ascii="Times New Roman" w:eastAsia="MinionPro-Regular" w:hAnsi="Times New Roman" w:cs="Times New Roman"/>
          <w:sz w:val="24"/>
          <w:szCs w:val="24"/>
          <w:lang w:eastAsia="lt-LT"/>
        </w:rPr>
        <w:t>požiūrį, jog egzistuoja stiprus ryšys</w:t>
      </w:r>
      <w:r w:rsidRPr="00EC1AB2">
        <w:rPr>
          <w:rFonts w:ascii="Times New Roman" w:hAnsi="Times New Roman" w:cs="Times New Roman"/>
          <w:sz w:val="24"/>
          <w:szCs w:val="24"/>
        </w:rPr>
        <w:t xml:space="preserve"> </w:t>
      </w:r>
      <w:r w:rsidRPr="00EC1AB2">
        <w:rPr>
          <w:rFonts w:ascii="Times New Roman" w:eastAsia="MinionPro-Regular" w:hAnsi="Times New Roman" w:cs="Times New Roman"/>
          <w:sz w:val="24"/>
          <w:szCs w:val="24"/>
          <w:lang w:eastAsia="lt-LT"/>
        </w:rPr>
        <w:t>tarp finansinės sistemos struktūros ir rizikos</w:t>
      </w:r>
      <w:r w:rsidRPr="00EC1AB2">
        <w:rPr>
          <w:rFonts w:ascii="Times New Roman" w:hAnsi="Times New Roman" w:cs="Times New Roman"/>
          <w:sz w:val="24"/>
          <w:szCs w:val="24"/>
        </w:rPr>
        <w:t xml:space="preserve"> </w:t>
      </w:r>
      <w:r w:rsidRPr="00EC1AB2">
        <w:rPr>
          <w:rFonts w:ascii="Times New Roman" w:eastAsia="MinionPro-Regular" w:hAnsi="Times New Roman" w:cs="Times New Roman"/>
          <w:sz w:val="24"/>
          <w:szCs w:val="24"/>
          <w:lang w:eastAsia="lt-LT"/>
        </w:rPr>
        <w:t>kapitalo investicijų.</w:t>
      </w:r>
      <w:r w:rsidRPr="00EC1AB2">
        <w:rPr>
          <w:rFonts w:ascii="Times New Roman" w:hAnsi="Times New Roman" w:cs="Times New Roman"/>
          <w:sz w:val="24"/>
          <w:szCs w:val="24"/>
        </w:rPr>
        <w:t xml:space="preserve"> </w:t>
      </w:r>
      <w:r w:rsidRPr="00EC1AB2">
        <w:rPr>
          <w:rFonts w:ascii="Times New Roman" w:eastAsia="MinionPro-Regular" w:hAnsi="Times New Roman" w:cs="Times New Roman"/>
          <w:sz w:val="24"/>
          <w:szCs w:val="24"/>
          <w:lang w:eastAsia="lt-LT"/>
        </w:rPr>
        <w:t>C. Mayer, K. Schoors ir Y. Yafeh (2003)</w:t>
      </w:r>
      <w:r w:rsidRPr="00EC1AB2">
        <w:rPr>
          <w:rFonts w:ascii="Times New Roman" w:hAnsi="Times New Roman" w:cs="Times New Roman"/>
          <w:sz w:val="24"/>
          <w:szCs w:val="24"/>
        </w:rPr>
        <w:t xml:space="preserve"> </w:t>
      </w:r>
      <w:r w:rsidRPr="00EC1AB2">
        <w:rPr>
          <w:rFonts w:ascii="Times New Roman" w:eastAsia="MinionPro-Regular" w:hAnsi="Times New Roman" w:cs="Times New Roman"/>
          <w:sz w:val="24"/>
          <w:szCs w:val="24"/>
          <w:lang w:eastAsia="lt-LT"/>
        </w:rPr>
        <w:t>išnagrinėjo apie 500 rizikos kapitalo fondų</w:t>
      </w:r>
      <w:r w:rsidRPr="00EC1AB2">
        <w:rPr>
          <w:rFonts w:ascii="Times New Roman" w:hAnsi="Times New Roman" w:cs="Times New Roman"/>
          <w:sz w:val="24"/>
          <w:szCs w:val="24"/>
        </w:rPr>
        <w:t xml:space="preserve"> </w:t>
      </w:r>
      <w:r w:rsidRPr="00EC1AB2">
        <w:rPr>
          <w:rFonts w:ascii="Times New Roman" w:eastAsia="MinionPro-Regular" w:hAnsi="Times New Roman" w:cs="Times New Roman"/>
          <w:sz w:val="24"/>
          <w:szCs w:val="24"/>
          <w:lang w:eastAsia="lt-LT"/>
        </w:rPr>
        <w:t>Vokietijos, Izraelio, Japonijos ir Didžiosios</w:t>
      </w:r>
      <w:r w:rsidRPr="00EC1AB2">
        <w:rPr>
          <w:rFonts w:ascii="Times New Roman" w:hAnsi="Times New Roman" w:cs="Times New Roman"/>
          <w:sz w:val="24"/>
          <w:szCs w:val="24"/>
        </w:rPr>
        <w:t xml:space="preserve"> </w:t>
      </w:r>
      <w:r w:rsidRPr="00EC1AB2">
        <w:rPr>
          <w:rFonts w:ascii="Times New Roman" w:eastAsia="MinionPro-Regular" w:hAnsi="Times New Roman" w:cs="Times New Roman"/>
          <w:sz w:val="24"/>
          <w:szCs w:val="24"/>
          <w:lang w:eastAsia="lt-LT"/>
        </w:rPr>
        <w:t>Britanijos šalyse, kurie penkerių metų</w:t>
      </w:r>
      <w:r w:rsidRPr="00EC1AB2">
        <w:rPr>
          <w:rFonts w:ascii="Times New Roman" w:hAnsi="Times New Roman" w:cs="Times New Roman"/>
          <w:sz w:val="24"/>
          <w:szCs w:val="24"/>
        </w:rPr>
        <w:t xml:space="preserve"> </w:t>
      </w:r>
      <w:r w:rsidRPr="00EC1AB2">
        <w:rPr>
          <w:rFonts w:ascii="Times New Roman" w:eastAsia="MinionPro-Regular" w:hAnsi="Times New Roman" w:cs="Times New Roman"/>
          <w:sz w:val="24"/>
          <w:szCs w:val="24"/>
          <w:lang w:eastAsia="lt-LT"/>
        </w:rPr>
        <w:t>bėgyje ypač sparčiai augo ir darė žymias</w:t>
      </w:r>
      <w:r w:rsidRPr="00EC1AB2">
        <w:rPr>
          <w:rFonts w:ascii="Times New Roman" w:hAnsi="Times New Roman" w:cs="Times New Roman"/>
          <w:sz w:val="24"/>
          <w:szCs w:val="24"/>
        </w:rPr>
        <w:t xml:space="preserve"> </w:t>
      </w:r>
      <w:r w:rsidRPr="00EC1AB2">
        <w:rPr>
          <w:rFonts w:ascii="Times New Roman" w:eastAsia="MinionPro-Regular" w:hAnsi="Times New Roman" w:cs="Times New Roman"/>
          <w:sz w:val="24"/>
          <w:szCs w:val="24"/>
          <w:lang w:eastAsia="lt-LT"/>
        </w:rPr>
        <w:t>investicijas į įmones. Pagrindinis tokių šalių</w:t>
      </w:r>
      <w:r w:rsidRPr="00EC1AB2">
        <w:rPr>
          <w:rFonts w:ascii="Times New Roman" w:hAnsi="Times New Roman" w:cs="Times New Roman"/>
          <w:sz w:val="24"/>
          <w:szCs w:val="24"/>
        </w:rPr>
        <w:t xml:space="preserve"> </w:t>
      </w:r>
      <w:r w:rsidRPr="00EC1AB2">
        <w:rPr>
          <w:rFonts w:ascii="Times New Roman" w:eastAsia="MinionPro-Regular" w:hAnsi="Times New Roman" w:cs="Times New Roman"/>
          <w:sz w:val="24"/>
          <w:szCs w:val="24"/>
          <w:lang w:eastAsia="lt-LT"/>
        </w:rPr>
        <w:t>pasirinkimo tyrimui tikslas – įvertinti į</w:t>
      </w:r>
      <w:r w:rsidRPr="00EC1AB2">
        <w:rPr>
          <w:rFonts w:ascii="Times New Roman" w:hAnsi="Times New Roman" w:cs="Times New Roman"/>
          <w:sz w:val="24"/>
          <w:szCs w:val="24"/>
        </w:rPr>
        <w:t xml:space="preserve"> </w:t>
      </w:r>
      <w:r w:rsidRPr="00EC1AB2">
        <w:rPr>
          <w:rFonts w:ascii="Times New Roman" w:eastAsia="MinionPro-Regular" w:hAnsi="Times New Roman" w:cs="Times New Roman"/>
          <w:sz w:val="24"/>
          <w:szCs w:val="24"/>
          <w:lang w:eastAsia="lt-LT"/>
        </w:rPr>
        <w:t>bankus orientuotas finansų sistemas (Vokietija</w:t>
      </w:r>
      <w:r w:rsidRPr="00EC1AB2">
        <w:rPr>
          <w:rFonts w:ascii="Times New Roman" w:hAnsi="Times New Roman" w:cs="Times New Roman"/>
          <w:sz w:val="24"/>
          <w:szCs w:val="24"/>
        </w:rPr>
        <w:t xml:space="preserve"> </w:t>
      </w:r>
      <w:r w:rsidRPr="00EC1AB2">
        <w:rPr>
          <w:rFonts w:ascii="Times New Roman" w:eastAsia="MinionPro-Regular" w:hAnsi="Times New Roman" w:cs="Times New Roman"/>
          <w:sz w:val="24"/>
          <w:szCs w:val="24"/>
          <w:lang w:eastAsia="lt-LT"/>
        </w:rPr>
        <w:t>ir Japonija) ir sistemas, orientuotas</w:t>
      </w:r>
      <w:r w:rsidRPr="00EC1AB2">
        <w:rPr>
          <w:rFonts w:ascii="Times New Roman" w:hAnsi="Times New Roman" w:cs="Times New Roman"/>
          <w:sz w:val="24"/>
          <w:szCs w:val="24"/>
        </w:rPr>
        <w:t xml:space="preserve"> </w:t>
      </w:r>
      <w:r w:rsidRPr="00EC1AB2">
        <w:rPr>
          <w:rFonts w:ascii="Times New Roman" w:eastAsia="MinionPro-Regular" w:hAnsi="Times New Roman" w:cs="Times New Roman"/>
          <w:sz w:val="24"/>
          <w:szCs w:val="24"/>
          <w:lang w:eastAsia="lt-LT"/>
        </w:rPr>
        <w:t xml:space="preserve">į finansų rinkas (Didžioji Britanija), nes būtent jos lemia, kokie yra rizikos kapitalo fondų lėšų šaltiniai ir koks įmonių finansavimo pobūdis yra būdingas skirtingose sistemose veikiančiuose rizikos kapitalo fonduose. C. Mayer, K. Schoors, Y. Yafeh (2003) nustatė, jog rizikos kapitalo fondai taiko skirtingas investavimo politikas, atsižvelgiant į šalyse dominuojančią </w:t>
      </w:r>
      <w:r w:rsidR="00DF4E36" w:rsidRPr="00EC1AB2">
        <w:rPr>
          <w:rFonts w:ascii="Times New Roman" w:eastAsia="MinionPro-Regular" w:hAnsi="Times New Roman" w:cs="Times New Roman"/>
          <w:sz w:val="24"/>
          <w:szCs w:val="24"/>
          <w:lang w:eastAsia="lt-LT"/>
        </w:rPr>
        <w:t>finansinę sistemą (žr. 3 lent.).</w:t>
      </w:r>
    </w:p>
    <w:p w:rsidR="00CB621C" w:rsidRPr="00EC1AB2" w:rsidRDefault="00CB621C" w:rsidP="007A02A8">
      <w:pPr>
        <w:spacing w:after="0" w:line="360" w:lineRule="auto"/>
        <w:jc w:val="both"/>
        <w:rPr>
          <w:rFonts w:ascii="Times New Roman" w:eastAsia="MinionPro-Regular" w:hAnsi="Times New Roman" w:cs="Times New Roman"/>
          <w:sz w:val="24"/>
          <w:szCs w:val="24"/>
          <w:lang w:eastAsia="lt-LT"/>
        </w:rPr>
      </w:pPr>
    </w:p>
    <w:p w:rsidR="007915D7" w:rsidRPr="00EC1AB2" w:rsidRDefault="007915D7" w:rsidP="007A02A8">
      <w:pPr>
        <w:pStyle w:val="Heading4"/>
        <w:spacing w:before="0" w:line="360" w:lineRule="auto"/>
        <w:jc w:val="center"/>
        <w:rPr>
          <w:rFonts w:ascii="Times New Roman" w:eastAsia="MinionPro-Regular" w:hAnsi="Times New Roman" w:cs="Times New Roman"/>
          <w:i w:val="0"/>
          <w:color w:val="auto"/>
          <w:sz w:val="24"/>
          <w:szCs w:val="24"/>
          <w:lang w:eastAsia="lt-LT"/>
        </w:rPr>
      </w:pPr>
      <w:bookmarkStart w:id="76" w:name="_Toc320761914"/>
      <w:bookmarkStart w:id="77" w:name="_Toc320762149"/>
      <w:bookmarkStart w:id="78" w:name="_Toc320762551"/>
      <w:r w:rsidRPr="00EC1AB2">
        <w:rPr>
          <w:rFonts w:ascii="Times New Roman" w:eastAsia="MinionPro-Regular" w:hAnsi="Times New Roman" w:cs="Times New Roman"/>
          <w:b w:val="0"/>
          <w:i w:val="0"/>
          <w:color w:val="auto"/>
          <w:sz w:val="24"/>
          <w:szCs w:val="24"/>
          <w:lang w:eastAsia="lt-LT"/>
        </w:rPr>
        <w:lastRenderedPageBreak/>
        <w:t>3 lentelė.</w:t>
      </w:r>
      <w:r w:rsidRPr="00EC1AB2">
        <w:rPr>
          <w:rFonts w:ascii="Times New Roman" w:eastAsia="MinionPro-Regular" w:hAnsi="Times New Roman" w:cs="Times New Roman"/>
          <w:i w:val="0"/>
          <w:color w:val="auto"/>
          <w:sz w:val="24"/>
          <w:szCs w:val="24"/>
          <w:lang w:eastAsia="lt-LT"/>
        </w:rPr>
        <w:t xml:space="preserve"> Rizikos kapitalo fondų investavimo pobūdis pagal finansavimo šaltinius</w:t>
      </w:r>
      <w:bookmarkEnd w:id="76"/>
      <w:bookmarkEnd w:id="77"/>
      <w:bookmarkEnd w:id="78"/>
    </w:p>
    <w:p w:rsidR="007915D7" w:rsidRPr="00EC1AB2" w:rsidRDefault="007915D7" w:rsidP="007A02A8">
      <w:pPr>
        <w:spacing w:after="0" w:line="360" w:lineRule="auto"/>
        <w:ind w:firstLine="720"/>
        <w:jc w:val="center"/>
        <w:rPr>
          <w:rFonts w:ascii="Times New Roman" w:eastAsia="MinionPro-Regular" w:hAnsi="Times New Roman" w:cs="Times New Roman"/>
          <w:b/>
          <w:sz w:val="24"/>
          <w:szCs w:val="24"/>
          <w:lang w:eastAsia="lt-LT"/>
        </w:rPr>
      </w:pPr>
    </w:p>
    <w:tbl>
      <w:tblPr>
        <w:tblStyle w:val="TableGrid"/>
        <w:tblW w:w="9639" w:type="dxa"/>
        <w:tblInd w:w="108" w:type="dxa"/>
        <w:tblLook w:val="04A0" w:firstRow="1" w:lastRow="0" w:firstColumn="1" w:lastColumn="0" w:noHBand="0" w:noVBand="1"/>
      </w:tblPr>
      <w:tblGrid>
        <w:gridCol w:w="1701"/>
        <w:gridCol w:w="1843"/>
        <w:gridCol w:w="1701"/>
        <w:gridCol w:w="2835"/>
        <w:gridCol w:w="1559"/>
      </w:tblGrid>
      <w:tr w:rsidR="00382F9D" w:rsidRPr="00EC1AB2" w:rsidTr="008F5B74">
        <w:tc>
          <w:tcPr>
            <w:tcW w:w="1701" w:type="dxa"/>
          </w:tcPr>
          <w:p w:rsidR="007915D7" w:rsidRPr="00EC1AB2" w:rsidRDefault="007915D7" w:rsidP="007A02A8">
            <w:pPr>
              <w:spacing w:line="360" w:lineRule="auto"/>
              <w:jc w:val="both"/>
              <w:rPr>
                <w:rFonts w:ascii="Times New Roman" w:eastAsia="MinionPro-Regular" w:hAnsi="Times New Roman" w:cs="Times New Roman"/>
                <w:b/>
                <w:bCs/>
                <w:i/>
                <w:sz w:val="20"/>
                <w:szCs w:val="20"/>
                <w:lang w:eastAsia="lt-LT"/>
              </w:rPr>
            </w:pPr>
            <w:r w:rsidRPr="00EC1AB2">
              <w:rPr>
                <w:rFonts w:ascii="Times New Roman" w:eastAsia="MinionPro-Regular" w:hAnsi="Times New Roman" w:cs="Times New Roman"/>
                <w:b/>
                <w:bCs/>
                <w:i/>
                <w:sz w:val="20"/>
                <w:szCs w:val="20"/>
                <w:lang w:eastAsia="lt-LT"/>
              </w:rPr>
              <w:t>Finansų sistemos pobūdis</w:t>
            </w:r>
          </w:p>
        </w:tc>
        <w:tc>
          <w:tcPr>
            <w:tcW w:w="1843" w:type="dxa"/>
          </w:tcPr>
          <w:p w:rsidR="007915D7" w:rsidRPr="00EC1AB2" w:rsidRDefault="007915D7" w:rsidP="007A02A8">
            <w:pPr>
              <w:spacing w:line="360" w:lineRule="auto"/>
              <w:jc w:val="both"/>
              <w:rPr>
                <w:rFonts w:ascii="Times New Roman" w:eastAsia="MinionPro-Regular" w:hAnsi="Times New Roman" w:cs="Times New Roman"/>
                <w:b/>
                <w:bCs/>
                <w:i/>
                <w:sz w:val="20"/>
                <w:szCs w:val="20"/>
                <w:lang w:eastAsia="lt-LT"/>
              </w:rPr>
            </w:pPr>
            <w:r w:rsidRPr="00EC1AB2">
              <w:rPr>
                <w:rFonts w:ascii="Times New Roman" w:eastAsia="MinionPro-Regular" w:hAnsi="Times New Roman" w:cs="Times New Roman"/>
                <w:b/>
                <w:bCs/>
                <w:i/>
                <w:sz w:val="20"/>
                <w:szCs w:val="20"/>
                <w:lang w:eastAsia="lt-LT"/>
              </w:rPr>
              <w:t>RKF lėšų šaltiniai</w:t>
            </w:r>
          </w:p>
        </w:tc>
        <w:tc>
          <w:tcPr>
            <w:tcW w:w="1701" w:type="dxa"/>
          </w:tcPr>
          <w:p w:rsidR="007915D7" w:rsidRPr="00EC1AB2" w:rsidRDefault="007915D7" w:rsidP="007A02A8">
            <w:pPr>
              <w:spacing w:line="360" w:lineRule="auto"/>
              <w:jc w:val="both"/>
              <w:rPr>
                <w:rFonts w:ascii="Times New Roman" w:eastAsia="MinionPro-Regular" w:hAnsi="Times New Roman" w:cs="Times New Roman"/>
                <w:b/>
                <w:bCs/>
                <w:i/>
                <w:sz w:val="20"/>
                <w:szCs w:val="20"/>
                <w:lang w:eastAsia="lt-LT"/>
              </w:rPr>
            </w:pPr>
            <w:r w:rsidRPr="00EC1AB2">
              <w:rPr>
                <w:rFonts w:ascii="Times New Roman" w:eastAsia="MinionPro-Regular" w:hAnsi="Times New Roman" w:cs="Times New Roman"/>
                <w:b/>
                <w:bCs/>
                <w:i/>
                <w:sz w:val="20"/>
                <w:szCs w:val="20"/>
                <w:lang w:eastAsia="lt-LT"/>
              </w:rPr>
              <w:t>Įmonių, į kurias investuoja RKF, vystymosi stadija</w:t>
            </w:r>
          </w:p>
        </w:tc>
        <w:tc>
          <w:tcPr>
            <w:tcW w:w="2835" w:type="dxa"/>
          </w:tcPr>
          <w:p w:rsidR="007915D7" w:rsidRPr="00EC1AB2" w:rsidRDefault="007915D7" w:rsidP="007A02A8">
            <w:pPr>
              <w:spacing w:line="360" w:lineRule="auto"/>
              <w:jc w:val="both"/>
              <w:rPr>
                <w:rFonts w:ascii="Times New Roman" w:eastAsia="MinionPro-Regular" w:hAnsi="Times New Roman" w:cs="Times New Roman"/>
                <w:b/>
                <w:bCs/>
                <w:i/>
                <w:sz w:val="20"/>
                <w:szCs w:val="20"/>
                <w:lang w:eastAsia="lt-LT"/>
              </w:rPr>
            </w:pPr>
            <w:r w:rsidRPr="00EC1AB2">
              <w:rPr>
                <w:rFonts w:ascii="Times New Roman" w:eastAsia="MinionPro-Regular" w:hAnsi="Times New Roman" w:cs="Times New Roman"/>
                <w:b/>
                <w:bCs/>
                <w:i/>
                <w:sz w:val="20"/>
                <w:szCs w:val="20"/>
                <w:lang w:eastAsia="lt-LT"/>
              </w:rPr>
              <w:t>Įmonių, į kurias investuoja RKF, sektorius</w:t>
            </w:r>
          </w:p>
        </w:tc>
        <w:tc>
          <w:tcPr>
            <w:tcW w:w="1559" w:type="dxa"/>
          </w:tcPr>
          <w:p w:rsidR="007915D7" w:rsidRPr="00EC1AB2" w:rsidRDefault="007915D7" w:rsidP="007A02A8">
            <w:pPr>
              <w:spacing w:line="360" w:lineRule="auto"/>
              <w:jc w:val="both"/>
              <w:rPr>
                <w:rFonts w:ascii="Times New Roman" w:eastAsia="MinionPro-Regular" w:hAnsi="Times New Roman" w:cs="Times New Roman"/>
                <w:b/>
                <w:bCs/>
                <w:i/>
                <w:sz w:val="20"/>
                <w:szCs w:val="20"/>
                <w:lang w:eastAsia="lt-LT"/>
              </w:rPr>
            </w:pPr>
            <w:r w:rsidRPr="00EC1AB2">
              <w:rPr>
                <w:rFonts w:ascii="Times New Roman" w:eastAsia="MinionPro-Regular" w:hAnsi="Times New Roman" w:cs="Times New Roman"/>
                <w:b/>
                <w:bCs/>
                <w:i/>
                <w:sz w:val="20"/>
                <w:szCs w:val="20"/>
                <w:lang w:eastAsia="lt-LT"/>
              </w:rPr>
              <w:t>Geografinis įmonių pasiskirstymas</w:t>
            </w:r>
          </w:p>
        </w:tc>
      </w:tr>
      <w:tr w:rsidR="00382F9D" w:rsidRPr="00EC1AB2" w:rsidTr="008F5B74">
        <w:tc>
          <w:tcPr>
            <w:tcW w:w="1701" w:type="dxa"/>
          </w:tcPr>
          <w:p w:rsidR="007915D7" w:rsidRPr="00EC1AB2" w:rsidRDefault="007915D7" w:rsidP="007A02A8">
            <w:pPr>
              <w:spacing w:line="360" w:lineRule="auto"/>
              <w:jc w:val="both"/>
              <w:rPr>
                <w:rFonts w:ascii="Times New Roman" w:eastAsia="MinionPro-Regular" w:hAnsi="Times New Roman" w:cs="Times New Roman"/>
                <w:b/>
                <w:bCs/>
                <w:i/>
                <w:sz w:val="20"/>
                <w:szCs w:val="20"/>
                <w:lang w:eastAsia="lt-LT"/>
              </w:rPr>
            </w:pPr>
            <w:r w:rsidRPr="00EC1AB2">
              <w:rPr>
                <w:rFonts w:ascii="Times New Roman" w:eastAsia="MinionPro-Regular" w:hAnsi="Times New Roman" w:cs="Times New Roman"/>
                <w:b/>
                <w:bCs/>
                <w:i/>
                <w:sz w:val="20"/>
                <w:szCs w:val="20"/>
                <w:lang w:eastAsia="lt-LT"/>
              </w:rPr>
              <w:t>Į bankus orientuota finansų sistema</w:t>
            </w:r>
          </w:p>
        </w:tc>
        <w:tc>
          <w:tcPr>
            <w:tcW w:w="1843" w:type="dxa"/>
          </w:tcPr>
          <w:p w:rsidR="007915D7" w:rsidRPr="00EC1AB2" w:rsidRDefault="007915D7" w:rsidP="007A02A8">
            <w:pPr>
              <w:spacing w:line="360" w:lineRule="auto"/>
              <w:jc w:val="both"/>
              <w:rPr>
                <w:rFonts w:ascii="Times New Roman" w:eastAsia="MinionPro-Regular" w:hAnsi="Times New Roman" w:cs="Times New Roman"/>
                <w:i/>
                <w:sz w:val="20"/>
                <w:szCs w:val="20"/>
                <w:lang w:eastAsia="lt-LT"/>
              </w:rPr>
            </w:pPr>
            <w:r w:rsidRPr="00EC1AB2">
              <w:rPr>
                <w:rFonts w:ascii="Times New Roman" w:eastAsia="MinionPro-Regular" w:hAnsi="Times New Roman" w:cs="Times New Roman"/>
                <w:i/>
                <w:sz w:val="20"/>
                <w:szCs w:val="20"/>
                <w:lang w:eastAsia="lt-LT"/>
              </w:rPr>
              <w:t>Bankai</w:t>
            </w:r>
          </w:p>
        </w:tc>
        <w:tc>
          <w:tcPr>
            <w:tcW w:w="1701" w:type="dxa"/>
          </w:tcPr>
          <w:p w:rsidR="007915D7" w:rsidRPr="00EC1AB2" w:rsidRDefault="007915D7" w:rsidP="007A02A8">
            <w:pPr>
              <w:spacing w:line="360" w:lineRule="auto"/>
              <w:jc w:val="both"/>
              <w:rPr>
                <w:rFonts w:ascii="Times New Roman" w:eastAsia="MinionPro-Regular" w:hAnsi="Times New Roman" w:cs="Times New Roman"/>
                <w:i/>
                <w:sz w:val="20"/>
                <w:szCs w:val="20"/>
                <w:lang w:eastAsia="lt-LT"/>
              </w:rPr>
            </w:pPr>
            <w:r w:rsidRPr="00EC1AB2">
              <w:rPr>
                <w:rFonts w:ascii="Times New Roman" w:eastAsia="MinionPro-Regular" w:hAnsi="Times New Roman" w:cs="Times New Roman"/>
                <w:i/>
                <w:sz w:val="20"/>
                <w:szCs w:val="20"/>
                <w:lang w:eastAsia="lt-LT"/>
              </w:rPr>
              <w:t>Besivystančios įmonės, pasiekę plėtros stadiją</w:t>
            </w:r>
          </w:p>
        </w:tc>
        <w:tc>
          <w:tcPr>
            <w:tcW w:w="2835" w:type="dxa"/>
          </w:tcPr>
          <w:p w:rsidR="007915D7" w:rsidRPr="00EC1AB2" w:rsidRDefault="007915D7" w:rsidP="007A02A8">
            <w:pPr>
              <w:spacing w:line="360" w:lineRule="auto"/>
              <w:jc w:val="both"/>
              <w:rPr>
                <w:rFonts w:ascii="Times New Roman" w:eastAsia="MinionPro-Regular" w:hAnsi="Times New Roman" w:cs="Times New Roman"/>
                <w:i/>
                <w:sz w:val="20"/>
                <w:szCs w:val="20"/>
                <w:lang w:eastAsia="lt-LT"/>
              </w:rPr>
            </w:pPr>
            <w:r w:rsidRPr="00EC1AB2">
              <w:rPr>
                <w:rFonts w:ascii="Times New Roman" w:eastAsia="MinionPro-Regular" w:hAnsi="Times New Roman" w:cs="Times New Roman"/>
                <w:i/>
                <w:sz w:val="20"/>
                <w:szCs w:val="20"/>
                <w:lang w:eastAsia="lt-LT"/>
              </w:rPr>
              <w:t>Netechnologinės, mažai susiję su aukštosiomis technologijomis</w:t>
            </w:r>
          </w:p>
        </w:tc>
        <w:tc>
          <w:tcPr>
            <w:tcW w:w="1559" w:type="dxa"/>
          </w:tcPr>
          <w:p w:rsidR="007915D7" w:rsidRPr="00EC1AB2" w:rsidRDefault="007915D7" w:rsidP="007A02A8">
            <w:pPr>
              <w:spacing w:line="360" w:lineRule="auto"/>
              <w:jc w:val="both"/>
              <w:rPr>
                <w:rFonts w:ascii="Times New Roman" w:eastAsia="MinionPro-Regular" w:hAnsi="Times New Roman" w:cs="Times New Roman"/>
                <w:i/>
                <w:sz w:val="20"/>
                <w:szCs w:val="20"/>
                <w:lang w:eastAsia="lt-LT"/>
              </w:rPr>
            </w:pPr>
            <w:r w:rsidRPr="00EC1AB2">
              <w:rPr>
                <w:rFonts w:ascii="Times New Roman" w:eastAsia="MinionPro-Regular" w:hAnsi="Times New Roman" w:cs="Times New Roman"/>
                <w:i/>
                <w:sz w:val="20"/>
                <w:szCs w:val="20"/>
                <w:lang w:eastAsia="lt-LT"/>
              </w:rPr>
              <w:t>Vietinės</w:t>
            </w:r>
          </w:p>
        </w:tc>
      </w:tr>
      <w:tr w:rsidR="00382F9D" w:rsidRPr="00EC1AB2" w:rsidTr="008F5B74">
        <w:tc>
          <w:tcPr>
            <w:tcW w:w="1701" w:type="dxa"/>
          </w:tcPr>
          <w:p w:rsidR="007915D7" w:rsidRPr="00EC1AB2" w:rsidRDefault="007915D7" w:rsidP="007A02A8">
            <w:pPr>
              <w:spacing w:line="360" w:lineRule="auto"/>
              <w:jc w:val="both"/>
              <w:rPr>
                <w:rFonts w:ascii="Times New Roman" w:eastAsia="MinionPro-Regular" w:hAnsi="Times New Roman" w:cs="Times New Roman"/>
                <w:b/>
                <w:bCs/>
                <w:i/>
                <w:sz w:val="20"/>
                <w:szCs w:val="20"/>
                <w:lang w:eastAsia="lt-LT"/>
              </w:rPr>
            </w:pPr>
            <w:r w:rsidRPr="00EC1AB2">
              <w:rPr>
                <w:rFonts w:ascii="Times New Roman" w:eastAsia="MinionPro-Regular" w:hAnsi="Times New Roman" w:cs="Times New Roman"/>
                <w:b/>
                <w:bCs/>
                <w:i/>
                <w:sz w:val="20"/>
                <w:szCs w:val="20"/>
                <w:lang w:eastAsia="lt-LT"/>
              </w:rPr>
              <w:t>Į kapitalo rinkas orientuota finansų sistema</w:t>
            </w:r>
          </w:p>
        </w:tc>
        <w:tc>
          <w:tcPr>
            <w:tcW w:w="1843" w:type="dxa"/>
          </w:tcPr>
          <w:p w:rsidR="007915D7" w:rsidRPr="00EC1AB2" w:rsidRDefault="007915D7" w:rsidP="007A02A8">
            <w:pPr>
              <w:spacing w:line="360" w:lineRule="auto"/>
              <w:jc w:val="both"/>
              <w:rPr>
                <w:rFonts w:ascii="Times New Roman" w:eastAsia="MinionPro-Regular" w:hAnsi="Times New Roman" w:cs="Times New Roman"/>
                <w:i/>
                <w:sz w:val="20"/>
                <w:szCs w:val="20"/>
                <w:lang w:eastAsia="lt-LT"/>
              </w:rPr>
            </w:pPr>
            <w:r w:rsidRPr="00EC1AB2">
              <w:rPr>
                <w:rFonts w:ascii="Times New Roman" w:eastAsia="MinionPro-Regular" w:hAnsi="Times New Roman" w:cs="Times New Roman"/>
                <w:i/>
                <w:sz w:val="20"/>
                <w:szCs w:val="20"/>
                <w:lang w:eastAsia="lt-LT"/>
              </w:rPr>
              <w:t>Pensijų fondai, draudimo fondai</w:t>
            </w:r>
          </w:p>
        </w:tc>
        <w:tc>
          <w:tcPr>
            <w:tcW w:w="1701" w:type="dxa"/>
          </w:tcPr>
          <w:p w:rsidR="007915D7" w:rsidRPr="00EC1AB2" w:rsidRDefault="007915D7" w:rsidP="007A02A8">
            <w:pPr>
              <w:spacing w:line="360" w:lineRule="auto"/>
              <w:jc w:val="both"/>
              <w:rPr>
                <w:rFonts w:ascii="Times New Roman" w:eastAsia="MinionPro-Regular" w:hAnsi="Times New Roman" w:cs="Times New Roman"/>
                <w:i/>
                <w:sz w:val="20"/>
                <w:szCs w:val="20"/>
                <w:lang w:eastAsia="lt-LT"/>
              </w:rPr>
            </w:pPr>
            <w:r w:rsidRPr="00EC1AB2">
              <w:rPr>
                <w:rFonts w:ascii="Times New Roman" w:eastAsia="MinionPro-Regular" w:hAnsi="Times New Roman" w:cs="Times New Roman"/>
                <w:i/>
                <w:sz w:val="20"/>
                <w:szCs w:val="20"/>
                <w:lang w:eastAsia="lt-LT"/>
              </w:rPr>
              <w:t>Ankstyva, pradedančios įmonės</w:t>
            </w:r>
          </w:p>
        </w:tc>
        <w:tc>
          <w:tcPr>
            <w:tcW w:w="2835" w:type="dxa"/>
          </w:tcPr>
          <w:p w:rsidR="007915D7" w:rsidRPr="00EC1AB2" w:rsidRDefault="007915D7" w:rsidP="007A02A8">
            <w:pPr>
              <w:spacing w:line="360" w:lineRule="auto"/>
              <w:jc w:val="both"/>
              <w:rPr>
                <w:rFonts w:ascii="Times New Roman" w:eastAsia="MinionPro-Regular" w:hAnsi="Times New Roman" w:cs="Times New Roman"/>
                <w:i/>
                <w:sz w:val="20"/>
                <w:szCs w:val="20"/>
                <w:lang w:eastAsia="lt-LT"/>
              </w:rPr>
            </w:pPr>
            <w:r w:rsidRPr="00EC1AB2">
              <w:rPr>
                <w:rFonts w:ascii="Times New Roman" w:eastAsia="MinionPro-Regular" w:hAnsi="Times New Roman" w:cs="Times New Roman"/>
                <w:i/>
                <w:sz w:val="20"/>
                <w:szCs w:val="20"/>
                <w:lang w:eastAsia="lt-LT"/>
              </w:rPr>
              <w:t>Netechnologinės, mažai susiję su aukštosiomis technologijomis</w:t>
            </w:r>
          </w:p>
        </w:tc>
        <w:tc>
          <w:tcPr>
            <w:tcW w:w="1559" w:type="dxa"/>
          </w:tcPr>
          <w:p w:rsidR="007915D7" w:rsidRPr="00EC1AB2" w:rsidRDefault="007915D7" w:rsidP="007A02A8">
            <w:pPr>
              <w:spacing w:line="360" w:lineRule="auto"/>
              <w:jc w:val="both"/>
              <w:rPr>
                <w:rFonts w:ascii="Times New Roman" w:eastAsia="MinionPro-Regular" w:hAnsi="Times New Roman" w:cs="Times New Roman"/>
                <w:i/>
                <w:sz w:val="20"/>
                <w:szCs w:val="20"/>
                <w:lang w:eastAsia="lt-LT"/>
              </w:rPr>
            </w:pPr>
            <w:r w:rsidRPr="00EC1AB2">
              <w:rPr>
                <w:rFonts w:ascii="Times New Roman" w:eastAsia="MinionPro-Regular" w:hAnsi="Times New Roman" w:cs="Times New Roman"/>
                <w:i/>
                <w:sz w:val="20"/>
                <w:szCs w:val="20"/>
                <w:lang w:eastAsia="lt-LT"/>
              </w:rPr>
              <w:t>Vietinės</w:t>
            </w:r>
          </w:p>
        </w:tc>
      </w:tr>
      <w:tr w:rsidR="00382F9D" w:rsidRPr="00EC1AB2" w:rsidTr="008F5B74">
        <w:tc>
          <w:tcPr>
            <w:tcW w:w="1701" w:type="dxa"/>
          </w:tcPr>
          <w:p w:rsidR="007915D7" w:rsidRPr="00EC1AB2" w:rsidRDefault="007915D7" w:rsidP="007A02A8">
            <w:pPr>
              <w:spacing w:line="360" w:lineRule="auto"/>
              <w:jc w:val="both"/>
              <w:rPr>
                <w:rFonts w:ascii="Times New Roman" w:eastAsia="MinionPro-Regular" w:hAnsi="Times New Roman" w:cs="Times New Roman"/>
                <w:b/>
                <w:bCs/>
                <w:i/>
                <w:sz w:val="20"/>
                <w:szCs w:val="20"/>
                <w:lang w:eastAsia="lt-LT"/>
              </w:rPr>
            </w:pPr>
            <w:r w:rsidRPr="00EC1AB2">
              <w:rPr>
                <w:rFonts w:ascii="Times New Roman" w:eastAsia="MinionPro-Regular" w:hAnsi="Times New Roman" w:cs="Times New Roman"/>
                <w:b/>
                <w:bCs/>
                <w:i/>
                <w:sz w:val="20"/>
                <w:szCs w:val="20"/>
                <w:lang w:eastAsia="lt-LT"/>
              </w:rPr>
              <w:t>Į finansų rinkas orientuota finansų sistema</w:t>
            </w:r>
          </w:p>
        </w:tc>
        <w:tc>
          <w:tcPr>
            <w:tcW w:w="1843" w:type="dxa"/>
          </w:tcPr>
          <w:p w:rsidR="007915D7" w:rsidRPr="00EC1AB2" w:rsidRDefault="007915D7" w:rsidP="007A02A8">
            <w:pPr>
              <w:spacing w:line="360" w:lineRule="auto"/>
              <w:jc w:val="both"/>
              <w:rPr>
                <w:rFonts w:ascii="Times New Roman" w:eastAsia="MinionPro-Regular" w:hAnsi="Times New Roman" w:cs="Times New Roman"/>
                <w:i/>
                <w:sz w:val="20"/>
                <w:szCs w:val="20"/>
                <w:lang w:eastAsia="lt-LT"/>
              </w:rPr>
            </w:pPr>
            <w:r w:rsidRPr="00EC1AB2">
              <w:rPr>
                <w:rFonts w:ascii="Times New Roman" w:eastAsia="MinionPro-Regular" w:hAnsi="Times New Roman" w:cs="Times New Roman"/>
                <w:i/>
                <w:sz w:val="20"/>
                <w:szCs w:val="20"/>
                <w:lang w:eastAsia="lt-LT"/>
              </w:rPr>
              <w:t>Individualūs investuotojai, korporacijos</w:t>
            </w:r>
          </w:p>
        </w:tc>
        <w:tc>
          <w:tcPr>
            <w:tcW w:w="1701" w:type="dxa"/>
          </w:tcPr>
          <w:p w:rsidR="007915D7" w:rsidRPr="00EC1AB2" w:rsidRDefault="007915D7" w:rsidP="007A02A8">
            <w:pPr>
              <w:spacing w:line="360" w:lineRule="auto"/>
              <w:jc w:val="both"/>
              <w:rPr>
                <w:rFonts w:ascii="Times New Roman" w:eastAsia="MinionPro-Regular" w:hAnsi="Times New Roman" w:cs="Times New Roman"/>
                <w:i/>
                <w:sz w:val="20"/>
                <w:szCs w:val="20"/>
                <w:lang w:eastAsia="lt-LT"/>
              </w:rPr>
            </w:pPr>
            <w:r w:rsidRPr="00EC1AB2">
              <w:rPr>
                <w:rFonts w:ascii="Times New Roman" w:eastAsia="MinionPro-Regular" w:hAnsi="Times New Roman" w:cs="Times New Roman"/>
                <w:i/>
                <w:sz w:val="20"/>
                <w:szCs w:val="20"/>
                <w:lang w:eastAsia="lt-LT"/>
              </w:rPr>
              <w:t>Ankstyva, pradedančios įmonės</w:t>
            </w:r>
          </w:p>
        </w:tc>
        <w:tc>
          <w:tcPr>
            <w:tcW w:w="2835" w:type="dxa"/>
          </w:tcPr>
          <w:p w:rsidR="007915D7" w:rsidRPr="00EC1AB2" w:rsidRDefault="007915D7" w:rsidP="007A02A8">
            <w:pPr>
              <w:spacing w:line="360" w:lineRule="auto"/>
              <w:jc w:val="both"/>
              <w:rPr>
                <w:rFonts w:ascii="Times New Roman" w:eastAsia="MinionPro-Regular" w:hAnsi="Times New Roman" w:cs="Times New Roman"/>
                <w:i/>
                <w:sz w:val="20"/>
                <w:szCs w:val="20"/>
                <w:lang w:eastAsia="lt-LT"/>
              </w:rPr>
            </w:pPr>
            <w:r w:rsidRPr="00EC1AB2">
              <w:rPr>
                <w:rFonts w:ascii="Times New Roman" w:eastAsia="MinionPro-Regular" w:hAnsi="Times New Roman" w:cs="Times New Roman"/>
                <w:i/>
                <w:sz w:val="20"/>
                <w:szCs w:val="20"/>
                <w:lang w:eastAsia="lt-LT"/>
              </w:rPr>
              <w:t>Aukštosios technologijos</w:t>
            </w:r>
          </w:p>
        </w:tc>
        <w:tc>
          <w:tcPr>
            <w:tcW w:w="1559" w:type="dxa"/>
          </w:tcPr>
          <w:p w:rsidR="007915D7" w:rsidRPr="00EC1AB2" w:rsidRDefault="007915D7" w:rsidP="007A02A8">
            <w:pPr>
              <w:spacing w:line="360" w:lineRule="auto"/>
              <w:jc w:val="both"/>
              <w:rPr>
                <w:rFonts w:ascii="Times New Roman" w:eastAsia="MinionPro-Regular" w:hAnsi="Times New Roman" w:cs="Times New Roman"/>
                <w:i/>
                <w:sz w:val="20"/>
                <w:szCs w:val="20"/>
                <w:lang w:eastAsia="lt-LT"/>
              </w:rPr>
            </w:pPr>
            <w:r w:rsidRPr="00EC1AB2">
              <w:rPr>
                <w:rFonts w:ascii="Times New Roman" w:eastAsia="MinionPro-Regular" w:hAnsi="Times New Roman" w:cs="Times New Roman"/>
                <w:i/>
                <w:sz w:val="20"/>
                <w:szCs w:val="20"/>
                <w:lang w:eastAsia="lt-LT"/>
              </w:rPr>
              <w:t>Įvairios</w:t>
            </w:r>
          </w:p>
        </w:tc>
      </w:tr>
    </w:tbl>
    <w:p w:rsidR="007915D7" w:rsidRPr="00EC1AB2" w:rsidRDefault="007915D7" w:rsidP="007A02A8">
      <w:pPr>
        <w:tabs>
          <w:tab w:val="left" w:pos="567"/>
        </w:tabs>
        <w:spacing w:after="0" w:line="360" w:lineRule="auto"/>
        <w:jc w:val="both"/>
        <w:rPr>
          <w:rFonts w:ascii="Times New Roman" w:eastAsia="MinionPro-Regular" w:hAnsi="Times New Roman" w:cs="Times New Roman"/>
          <w:b/>
          <w:sz w:val="20"/>
          <w:szCs w:val="20"/>
          <w:lang w:eastAsia="lt-LT"/>
        </w:rPr>
      </w:pPr>
    </w:p>
    <w:p w:rsidR="007915D7" w:rsidRPr="00EC1AB2" w:rsidRDefault="007915D7" w:rsidP="007A02A8">
      <w:pPr>
        <w:spacing w:after="0" w:line="360" w:lineRule="auto"/>
        <w:ind w:firstLine="720"/>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b/>
          <w:sz w:val="20"/>
          <w:szCs w:val="20"/>
          <w:lang w:eastAsia="lt-LT"/>
        </w:rPr>
        <w:t xml:space="preserve">Šaltinis: </w:t>
      </w:r>
      <w:r w:rsidRPr="00EC1AB2">
        <w:rPr>
          <w:rFonts w:ascii="Times New Roman" w:eastAsia="MinionPro-Regular" w:hAnsi="Times New Roman" w:cs="Times New Roman"/>
          <w:sz w:val="20"/>
          <w:szCs w:val="20"/>
          <w:lang w:eastAsia="lt-LT"/>
        </w:rPr>
        <w:t>Kaupelytė, Jankauskienė (2009)</w:t>
      </w:r>
    </w:p>
    <w:p w:rsidR="007915D7" w:rsidRPr="00EC1AB2" w:rsidRDefault="007915D7" w:rsidP="007A02A8">
      <w:pPr>
        <w:spacing w:after="0" w:line="360" w:lineRule="auto"/>
        <w:ind w:firstLine="720"/>
        <w:jc w:val="both"/>
        <w:rPr>
          <w:rFonts w:ascii="Times New Roman" w:eastAsia="MinionPro-Regular" w:hAnsi="Times New Roman" w:cs="Times New Roman"/>
          <w:sz w:val="24"/>
          <w:szCs w:val="24"/>
          <w:lang w:eastAsia="lt-LT"/>
        </w:rPr>
      </w:pPr>
    </w:p>
    <w:p w:rsidR="007915D7" w:rsidRPr="00EC1AB2" w:rsidRDefault="00500B44" w:rsidP="007A02A8">
      <w:pPr>
        <w:spacing w:after="0" w:line="360" w:lineRule="auto"/>
        <w:ind w:firstLine="567"/>
        <w:jc w:val="both"/>
        <w:rPr>
          <w:rFonts w:ascii="Times New Roman" w:eastAsia="MinionPro-Regular" w:hAnsi="Times New Roman" w:cs="Times New Roman"/>
          <w:sz w:val="24"/>
          <w:szCs w:val="24"/>
          <w:lang w:eastAsia="lt-LT"/>
        </w:rPr>
      </w:pPr>
      <w:r w:rsidRPr="00EC1AB2">
        <w:rPr>
          <w:rFonts w:ascii="Times New Roman" w:eastAsia="MinionPro-Regular" w:hAnsi="Times New Roman" w:cs="Times New Roman"/>
          <w:sz w:val="24"/>
          <w:szCs w:val="24"/>
          <w:lang w:eastAsia="lt-LT"/>
        </w:rPr>
        <w:t>Kaip matyti iš 3 lent. b</w:t>
      </w:r>
      <w:r w:rsidR="007915D7" w:rsidRPr="00EC1AB2">
        <w:rPr>
          <w:rFonts w:ascii="Times New Roman" w:eastAsia="MinionPro-Regular" w:hAnsi="Times New Roman" w:cs="Times New Roman"/>
          <w:sz w:val="24"/>
          <w:szCs w:val="24"/>
          <w:lang w:eastAsia="lt-LT"/>
        </w:rPr>
        <w:t>ankai yra pag</w:t>
      </w:r>
      <w:r w:rsidRPr="00EC1AB2">
        <w:rPr>
          <w:rFonts w:ascii="Times New Roman" w:eastAsia="MinionPro-Regular" w:hAnsi="Times New Roman" w:cs="Times New Roman"/>
          <w:sz w:val="24"/>
          <w:szCs w:val="24"/>
          <w:lang w:eastAsia="lt-LT"/>
        </w:rPr>
        <w:t>rindiniai RKF</w:t>
      </w:r>
      <w:r w:rsidR="007915D7" w:rsidRPr="00EC1AB2">
        <w:rPr>
          <w:rFonts w:ascii="Times New Roman" w:eastAsia="MinionPro-Regular" w:hAnsi="Times New Roman" w:cs="Times New Roman"/>
          <w:sz w:val="24"/>
          <w:szCs w:val="24"/>
          <w:lang w:eastAsia="lt-LT"/>
        </w:rPr>
        <w:t xml:space="preserve"> lėšų šaltiniai tiek Vokietijoje, </w:t>
      </w:r>
      <w:r w:rsidR="00D75677" w:rsidRPr="00EC1AB2">
        <w:rPr>
          <w:rFonts w:ascii="Times New Roman" w:eastAsia="MinionPro-Regular" w:hAnsi="Times New Roman" w:cs="Times New Roman"/>
          <w:sz w:val="24"/>
          <w:szCs w:val="24"/>
          <w:lang w:eastAsia="lt-LT"/>
        </w:rPr>
        <w:t>tiek Japonijoje</w:t>
      </w:r>
      <w:r w:rsidR="007915D7" w:rsidRPr="00EC1AB2">
        <w:rPr>
          <w:rFonts w:ascii="Times New Roman" w:eastAsia="MinionPro-Regular" w:hAnsi="Times New Roman" w:cs="Times New Roman"/>
          <w:sz w:val="24"/>
          <w:szCs w:val="24"/>
          <w:lang w:eastAsia="lt-LT"/>
        </w:rPr>
        <w:t>, kai tuo tarpu Didžiojoje Britanijoje sva</w:t>
      </w:r>
      <w:r w:rsidR="00D75677" w:rsidRPr="00EC1AB2">
        <w:rPr>
          <w:rFonts w:ascii="Times New Roman" w:eastAsia="MinionPro-Regular" w:hAnsi="Times New Roman" w:cs="Times New Roman"/>
          <w:sz w:val="24"/>
          <w:szCs w:val="24"/>
          <w:lang w:eastAsia="lt-LT"/>
        </w:rPr>
        <w:t>rbiausias RKF</w:t>
      </w:r>
      <w:r w:rsidR="007915D7" w:rsidRPr="00EC1AB2">
        <w:rPr>
          <w:rFonts w:ascii="Times New Roman" w:eastAsia="MinionPro-Regular" w:hAnsi="Times New Roman" w:cs="Times New Roman"/>
          <w:sz w:val="24"/>
          <w:szCs w:val="24"/>
          <w:lang w:eastAsia="lt-LT"/>
        </w:rPr>
        <w:t xml:space="preserve"> lėšų šaltini</w:t>
      </w:r>
      <w:r w:rsidR="00D75677" w:rsidRPr="00EC1AB2">
        <w:rPr>
          <w:rFonts w:ascii="Times New Roman" w:eastAsia="MinionPro-Regular" w:hAnsi="Times New Roman" w:cs="Times New Roman"/>
          <w:sz w:val="24"/>
          <w:szCs w:val="24"/>
          <w:lang w:eastAsia="lt-LT"/>
        </w:rPr>
        <w:t>s yra pensijų fondų</w:t>
      </w:r>
      <w:r w:rsidR="007915D7" w:rsidRPr="00EC1AB2">
        <w:rPr>
          <w:rFonts w:ascii="Times New Roman" w:eastAsia="MinionPro-Regular" w:hAnsi="Times New Roman" w:cs="Times New Roman"/>
          <w:sz w:val="24"/>
          <w:szCs w:val="24"/>
          <w:lang w:eastAsia="lt-LT"/>
        </w:rPr>
        <w:t>. Izr</w:t>
      </w:r>
      <w:r w:rsidR="00614EA4" w:rsidRPr="00EC1AB2">
        <w:rPr>
          <w:rFonts w:ascii="Times New Roman" w:eastAsia="MinionPro-Regular" w:hAnsi="Times New Roman" w:cs="Times New Roman"/>
          <w:sz w:val="24"/>
          <w:szCs w:val="24"/>
          <w:lang w:eastAsia="lt-LT"/>
        </w:rPr>
        <w:t>aelyje į RKF</w:t>
      </w:r>
      <w:r w:rsidR="007915D7" w:rsidRPr="00EC1AB2">
        <w:rPr>
          <w:rFonts w:ascii="Times New Roman" w:eastAsia="MinionPro-Regular" w:hAnsi="Times New Roman" w:cs="Times New Roman"/>
          <w:sz w:val="24"/>
          <w:szCs w:val="24"/>
          <w:lang w:eastAsia="lt-LT"/>
        </w:rPr>
        <w:t xml:space="preserve"> investuoja individualūs investuotojai ir didelės privačios korporacijos. Įdomu pastebėti </w:t>
      </w:r>
      <w:r w:rsidR="00614EA4" w:rsidRPr="00EC1AB2">
        <w:rPr>
          <w:rFonts w:ascii="Times New Roman" w:eastAsia="MinionPro-Regular" w:hAnsi="Times New Roman" w:cs="Times New Roman"/>
          <w:sz w:val="24"/>
          <w:szCs w:val="24"/>
          <w:lang w:eastAsia="lt-LT"/>
        </w:rPr>
        <w:t>tai, jog RKF</w:t>
      </w:r>
      <w:r w:rsidR="007915D7" w:rsidRPr="00EC1AB2">
        <w:rPr>
          <w:rFonts w:ascii="Times New Roman" w:eastAsia="MinionPro-Regular" w:hAnsi="Times New Roman" w:cs="Times New Roman"/>
          <w:sz w:val="24"/>
          <w:szCs w:val="24"/>
          <w:lang w:eastAsia="lt-LT"/>
        </w:rPr>
        <w:t>, kurie lėšas gauna iš bankų, pensijų fondų, draudim</w:t>
      </w:r>
      <w:r w:rsidR="005836F2" w:rsidRPr="00EC1AB2">
        <w:rPr>
          <w:rFonts w:ascii="Times New Roman" w:eastAsia="MinionPro-Regular" w:hAnsi="Times New Roman" w:cs="Times New Roman"/>
          <w:sz w:val="24"/>
          <w:szCs w:val="24"/>
          <w:lang w:eastAsia="lt-LT"/>
        </w:rPr>
        <w:t>o kompanijų, paprastai investuoj</w:t>
      </w:r>
      <w:r w:rsidR="007915D7" w:rsidRPr="00EC1AB2">
        <w:rPr>
          <w:rFonts w:ascii="Times New Roman" w:eastAsia="MinionPro-Regular" w:hAnsi="Times New Roman" w:cs="Times New Roman"/>
          <w:sz w:val="24"/>
          <w:szCs w:val="24"/>
          <w:lang w:eastAsia="lt-LT"/>
        </w:rPr>
        <w:t>a į vėlesnių išsivystymo stadijų įmo</w:t>
      </w:r>
      <w:r w:rsidR="005836F2" w:rsidRPr="00EC1AB2">
        <w:rPr>
          <w:rFonts w:ascii="Times New Roman" w:eastAsia="MinionPro-Regular" w:hAnsi="Times New Roman" w:cs="Times New Roman"/>
          <w:sz w:val="24"/>
          <w:szCs w:val="24"/>
          <w:lang w:eastAsia="lt-LT"/>
        </w:rPr>
        <w:t>nes, t.y.</w:t>
      </w:r>
      <w:r w:rsidR="00614EA4" w:rsidRPr="00EC1AB2">
        <w:rPr>
          <w:rFonts w:ascii="Times New Roman" w:eastAsia="MinionPro-Regular" w:hAnsi="Times New Roman" w:cs="Times New Roman"/>
          <w:sz w:val="24"/>
          <w:szCs w:val="24"/>
          <w:lang w:eastAsia="lt-LT"/>
        </w:rPr>
        <w:t xml:space="preserve"> ne į ankstyvos plėtros stadijos</w:t>
      </w:r>
      <w:r w:rsidR="007915D7" w:rsidRPr="00EC1AB2">
        <w:rPr>
          <w:rFonts w:ascii="Times New Roman" w:eastAsia="MinionPro-Regular" w:hAnsi="Times New Roman" w:cs="Times New Roman"/>
          <w:sz w:val="24"/>
          <w:szCs w:val="24"/>
          <w:lang w:eastAsia="lt-LT"/>
        </w:rPr>
        <w:t xml:space="preserve"> įmones, o jau pažengusias, kai tuo tarpu individualių investuotojų ir įmonių lė</w:t>
      </w:r>
      <w:r w:rsidR="005836F2" w:rsidRPr="00EC1AB2">
        <w:rPr>
          <w:rFonts w:ascii="Times New Roman" w:eastAsia="MinionPro-Regular" w:hAnsi="Times New Roman" w:cs="Times New Roman"/>
          <w:sz w:val="24"/>
          <w:szCs w:val="24"/>
          <w:lang w:eastAsia="lt-LT"/>
        </w:rPr>
        <w:t>šos, per RKF</w:t>
      </w:r>
      <w:r w:rsidR="007915D7" w:rsidRPr="00EC1AB2">
        <w:rPr>
          <w:rFonts w:ascii="Times New Roman" w:eastAsia="MinionPro-Regular" w:hAnsi="Times New Roman" w:cs="Times New Roman"/>
          <w:sz w:val="24"/>
          <w:szCs w:val="24"/>
          <w:lang w:eastAsia="lt-LT"/>
        </w:rPr>
        <w:t xml:space="preserve"> yra investuojamos į informacinių technologijų ir telekomunikacijų, kompiuterinių programų, elektronikos sritis į pradinėse vystymosi stadijose esančias įmones. Tai rodo, jog bankų, draudimo įmonių, pensijų fondų lėšos yra susijusios su mažesne rizika. Be to, kaip šie autoriai nustatė, bankai ir pensijų fondų lėšos yra investuojamos regionuose, o individualių investuotojų lėšos investuojamos globaliai. Akivaiz</w:t>
      </w:r>
      <w:r w:rsidR="005836F2" w:rsidRPr="00EC1AB2">
        <w:rPr>
          <w:rFonts w:ascii="Times New Roman" w:eastAsia="MinionPro-Regular" w:hAnsi="Times New Roman" w:cs="Times New Roman"/>
          <w:sz w:val="24"/>
          <w:szCs w:val="24"/>
          <w:lang w:eastAsia="lt-LT"/>
        </w:rPr>
        <w:t xml:space="preserve">du, jog RKF </w:t>
      </w:r>
      <w:r w:rsidR="007915D7" w:rsidRPr="00EC1AB2">
        <w:rPr>
          <w:rFonts w:ascii="Times New Roman" w:eastAsia="MinionPro-Regular" w:hAnsi="Times New Roman" w:cs="Times New Roman"/>
          <w:sz w:val="24"/>
          <w:szCs w:val="24"/>
          <w:lang w:eastAsia="lt-LT"/>
        </w:rPr>
        <w:t>atsižvelgia į pritrauktų investavimui skirtų lėšų savininkus ir pagal tai</w:t>
      </w:r>
      <w:r w:rsidR="005836F2" w:rsidRPr="00EC1AB2">
        <w:rPr>
          <w:rFonts w:ascii="Times New Roman" w:eastAsia="MinionPro-Regular" w:hAnsi="Times New Roman" w:cs="Times New Roman"/>
          <w:sz w:val="24"/>
          <w:szCs w:val="24"/>
          <w:lang w:eastAsia="lt-LT"/>
        </w:rPr>
        <w:t xml:space="preserve"> formuoja RKF</w:t>
      </w:r>
      <w:r w:rsidR="007915D7" w:rsidRPr="00EC1AB2">
        <w:rPr>
          <w:rFonts w:ascii="Times New Roman" w:eastAsia="MinionPro-Regular" w:hAnsi="Times New Roman" w:cs="Times New Roman"/>
          <w:sz w:val="24"/>
          <w:szCs w:val="24"/>
          <w:lang w:eastAsia="lt-LT"/>
        </w:rPr>
        <w:t xml:space="preserve"> investavimo pobūdį.</w:t>
      </w:r>
    </w:p>
    <w:p w:rsidR="007915D7" w:rsidRPr="00EC1AB2" w:rsidRDefault="007915D7" w:rsidP="007A02A8">
      <w:pPr>
        <w:autoSpaceDE w:val="0"/>
        <w:autoSpaceDN w:val="0"/>
        <w:adjustRightInd w:val="0"/>
        <w:spacing w:after="0" w:line="360" w:lineRule="auto"/>
        <w:ind w:firstLine="567"/>
        <w:jc w:val="both"/>
        <w:rPr>
          <w:rFonts w:ascii="Times New Roman" w:eastAsia="MinionPro-Regular" w:hAnsi="Times New Roman" w:cs="Times New Roman"/>
          <w:sz w:val="24"/>
          <w:szCs w:val="24"/>
          <w:lang w:eastAsia="lt-LT"/>
        </w:rPr>
      </w:pPr>
      <w:r w:rsidRPr="00EC1AB2">
        <w:rPr>
          <w:rFonts w:ascii="Times New Roman" w:eastAsia="MinionPro-Regular" w:hAnsi="Times New Roman" w:cs="Times New Roman"/>
          <w:sz w:val="24"/>
          <w:szCs w:val="24"/>
          <w:lang w:eastAsia="lt-LT"/>
        </w:rPr>
        <w:t>Anot Kaupelytės, Jankauskienės (2009), rizikos kapitalas svarbus užtikrinant ilgalaikį ekonominį augimą ir darbo vietų sukūrimą, todėl rizikos kapitalo investicijos išskiriamos kaip viena prior</w:t>
      </w:r>
      <w:r w:rsidR="00111B87" w:rsidRPr="00EC1AB2">
        <w:rPr>
          <w:rFonts w:ascii="Times New Roman" w:eastAsia="MinionPro-Regular" w:hAnsi="Times New Roman" w:cs="Times New Roman"/>
          <w:sz w:val="24"/>
          <w:szCs w:val="24"/>
          <w:lang w:eastAsia="lt-LT"/>
        </w:rPr>
        <w:t>itetinių sričių ES</w:t>
      </w:r>
      <w:r w:rsidRPr="00EC1AB2">
        <w:rPr>
          <w:rFonts w:ascii="Times New Roman" w:eastAsia="MinionPro-Regular" w:hAnsi="Times New Roman" w:cs="Times New Roman"/>
          <w:sz w:val="24"/>
          <w:szCs w:val="24"/>
          <w:lang w:eastAsia="lt-LT"/>
        </w:rPr>
        <w:t xml:space="preserve"> šalyse, siekiant pasiekti tokį rizikos kapitalo išvystymo lygį, kur</w:t>
      </w:r>
      <w:r w:rsidR="008F5B74" w:rsidRPr="00EC1AB2">
        <w:rPr>
          <w:rFonts w:ascii="Times New Roman" w:eastAsia="MinionPro-Regular" w:hAnsi="Times New Roman" w:cs="Times New Roman"/>
          <w:sz w:val="24"/>
          <w:szCs w:val="24"/>
          <w:lang w:eastAsia="lt-LT"/>
        </w:rPr>
        <w:t>is būdingas JAV. Tačiau ES</w:t>
      </w:r>
      <w:r w:rsidRPr="00EC1AB2">
        <w:rPr>
          <w:rFonts w:ascii="Times New Roman" w:eastAsia="MinionPro-Regular" w:hAnsi="Times New Roman" w:cs="Times New Roman"/>
          <w:sz w:val="24"/>
          <w:szCs w:val="24"/>
          <w:lang w:eastAsia="lt-LT"/>
        </w:rPr>
        <w:t xml:space="preserve"> šalyse rizikos kapitalo investicijų plėtrą stabdo ne tik netobula mokesčių sistema, tačiau taip pat ir, lyginant su JAV, neišvystyta pensijų fondų ir kitų institucinių investuotojų rinka.</w:t>
      </w:r>
    </w:p>
    <w:p w:rsidR="0066715E" w:rsidRPr="00EC1AB2" w:rsidRDefault="008B57ED" w:rsidP="007A02A8">
      <w:pPr>
        <w:autoSpaceDE w:val="0"/>
        <w:autoSpaceDN w:val="0"/>
        <w:adjustRightInd w:val="0"/>
        <w:spacing w:after="0" w:line="360" w:lineRule="auto"/>
        <w:ind w:firstLine="567"/>
        <w:jc w:val="both"/>
        <w:rPr>
          <w:rFonts w:ascii="Times New Roman" w:eastAsia="MinionPro-Regular" w:hAnsi="Times New Roman" w:cs="Times New Roman"/>
          <w:sz w:val="24"/>
          <w:szCs w:val="24"/>
          <w:lang w:eastAsia="lt-LT"/>
        </w:rPr>
      </w:pPr>
      <w:r w:rsidRPr="00EC1AB2">
        <w:rPr>
          <w:rFonts w:ascii="Times New Roman" w:eastAsia="MinionPro-Regular" w:hAnsi="Times New Roman" w:cs="Times New Roman"/>
          <w:sz w:val="24"/>
          <w:szCs w:val="24"/>
          <w:lang w:eastAsia="lt-LT"/>
        </w:rPr>
        <w:t xml:space="preserve">4 lentelėje pateikti pagrindiniai atlikti tiek kokybiniai, tiek kiekybiniai </w:t>
      </w:r>
      <w:r w:rsidR="0019382D" w:rsidRPr="00EC1AB2">
        <w:rPr>
          <w:rFonts w:ascii="Times New Roman" w:eastAsia="MinionPro-Regular" w:hAnsi="Times New Roman" w:cs="Times New Roman"/>
          <w:sz w:val="24"/>
          <w:szCs w:val="24"/>
          <w:lang w:eastAsia="lt-LT"/>
        </w:rPr>
        <w:t xml:space="preserve">rizikos </w:t>
      </w:r>
      <w:r w:rsidR="00FC494A" w:rsidRPr="00EC1AB2">
        <w:rPr>
          <w:rFonts w:ascii="Times New Roman" w:eastAsia="MinionPro-Regular" w:hAnsi="Times New Roman" w:cs="Times New Roman"/>
          <w:sz w:val="24"/>
          <w:szCs w:val="24"/>
          <w:lang w:eastAsia="lt-LT"/>
        </w:rPr>
        <w:t>kapitalo veiksnių vertinimo tyrimai.</w:t>
      </w:r>
    </w:p>
    <w:p w:rsidR="00AF41D0" w:rsidRPr="00EC1AB2" w:rsidRDefault="00AF41D0" w:rsidP="007A02A8">
      <w:pPr>
        <w:autoSpaceDE w:val="0"/>
        <w:autoSpaceDN w:val="0"/>
        <w:adjustRightInd w:val="0"/>
        <w:spacing w:after="0" w:line="360" w:lineRule="auto"/>
        <w:ind w:firstLine="567"/>
        <w:jc w:val="both"/>
        <w:rPr>
          <w:rFonts w:ascii="Times New Roman" w:eastAsia="MinionPro-Regular" w:hAnsi="Times New Roman" w:cs="Times New Roman"/>
          <w:sz w:val="24"/>
          <w:szCs w:val="24"/>
          <w:lang w:eastAsia="lt-LT"/>
        </w:rPr>
      </w:pPr>
    </w:p>
    <w:p w:rsidR="00F22FE7" w:rsidRPr="00EC1AB2" w:rsidRDefault="00F22FE7" w:rsidP="00945658">
      <w:pPr>
        <w:autoSpaceDE w:val="0"/>
        <w:autoSpaceDN w:val="0"/>
        <w:adjustRightInd w:val="0"/>
        <w:spacing w:after="0" w:line="240" w:lineRule="auto"/>
        <w:jc w:val="both"/>
        <w:rPr>
          <w:rFonts w:ascii="Times New Roman" w:eastAsia="MinionPro-Regular" w:hAnsi="Times New Roman" w:cs="Times New Roman"/>
          <w:sz w:val="24"/>
          <w:szCs w:val="24"/>
          <w:lang w:eastAsia="lt-LT"/>
        </w:rPr>
      </w:pPr>
    </w:p>
    <w:p w:rsidR="00F22FE7" w:rsidRPr="00EC1AB2" w:rsidRDefault="00F22FE7" w:rsidP="00945658">
      <w:pPr>
        <w:pStyle w:val="Heading4"/>
        <w:spacing w:before="0" w:line="240" w:lineRule="auto"/>
        <w:jc w:val="center"/>
        <w:rPr>
          <w:rFonts w:ascii="Times New Roman" w:eastAsia="MinionPro-Regular" w:hAnsi="Times New Roman" w:cs="Times New Roman"/>
          <w:i w:val="0"/>
          <w:color w:val="auto"/>
          <w:sz w:val="24"/>
          <w:szCs w:val="24"/>
          <w:lang w:eastAsia="lt-LT"/>
        </w:rPr>
      </w:pPr>
      <w:bookmarkStart w:id="79" w:name="_Toc320761915"/>
      <w:bookmarkStart w:id="80" w:name="_Toc320762150"/>
      <w:bookmarkStart w:id="81" w:name="_Toc320762552"/>
      <w:r w:rsidRPr="00EC1AB2">
        <w:rPr>
          <w:rFonts w:ascii="Times New Roman" w:eastAsia="MinionPro-Regular" w:hAnsi="Times New Roman" w:cs="Times New Roman"/>
          <w:b w:val="0"/>
          <w:i w:val="0"/>
          <w:color w:val="auto"/>
          <w:sz w:val="24"/>
          <w:szCs w:val="24"/>
          <w:lang w:eastAsia="lt-LT"/>
        </w:rPr>
        <w:lastRenderedPageBreak/>
        <w:t>4 lentelė.</w:t>
      </w:r>
      <w:r w:rsidRPr="00EC1AB2">
        <w:rPr>
          <w:rFonts w:ascii="Times New Roman" w:eastAsia="MinionPro-Regular" w:hAnsi="Times New Roman" w:cs="Times New Roman"/>
          <w:i w:val="0"/>
          <w:color w:val="auto"/>
          <w:sz w:val="24"/>
          <w:szCs w:val="24"/>
          <w:lang w:eastAsia="lt-LT"/>
        </w:rPr>
        <w:t xml:space="preserve"> Pagrindiniai empiriniai rizikos kapitalo veiksnių vertinimo tyrimai</w:t>
      </w:r>
      <w:bookmarkEnd w:id="79"/>
      <w:bookmarkEnd w:id="80"/>
      <w:bookmarkEnd w:id="81"/>
    </w:p>
    <w:p w:rsidR="0066715E" w:rsidRPr="00EC1AB2" w:rsidRDefault="0066715E" w:rsidP="007A02A8">
      <w:pPr>
        <w:autoSpaceDE w:val="0"/>
        <w:autoSpaceDN w:val="0"/>
        <w:adjustRightInd w:val="0"/>
        <w:spacing w:after="0" w:line="360" w:lineRule="auto"/>
        <w:ind w:firstLine="567"/>
        <w:jc w:val="both"/>
        <w:rPr>
          <w:rFonts w:ascii="Times New Roman" w:eastAsia="MinionPro-Regular" w:hAnsi="Times New Roman" w:cs="Times New Roman"/>
          <w:b/>
          <w:sz w:val="24"/>
          <w:szCs w:val="24"/>
          <w:lang w:eastAsia="lt-LT"/>
        </w:rPr>
      </w:pPr>
    </w:p>
    <w:tbl>
      <w:tblPr>
        <w:tblStyle w:val="TableGrid"/>
        <w:tblW w:w="0" w:type="auto"/>
        <w:tblLook w:val="04A0" w:firstRow="1" w:lastRow="0" w:firstColumn="1" w:lastColumn="0" w:noHBand="0" w:noVBand="1"/>
      </w:tblPr>
      <w:tblGrid>
        <w:gridCol w:w="1951"/>
        <w:gridCol w:w="2268"/>
        <w:gridCol w:w="4253"/>
        <w:gridCol w:w="1665"/>
      </w:tblGrid>
      <w:tr w:rsidR="00B11653" w:rsidRPr="00EC1AB2" w:rsidTr="000D04B1">
        <w:tc>
          <w:tcPr>
            <w:tcW w:w="1951" w:type="dxa"/>
            <w:shd w:val="clear" w:color="auto" w:fill="808080" w:themeFill="background1" w:themeFillShade="80"/>
          </w:tcPr>
          <w:p w:rsidR="00B11653" w:rsidRPr="00EC1AB2" w:rsidRDefault="00B11653" w:rsidP="007A02A8">
            <w:pPr>
              <w:autoSpaceDE w:val="0"/>
              <w:autoSpaceDN w:val="0"/>
              <w:adjustRightInd w:val="0"/>
              <w:spacing w:line="360" w:lineRule="auto"/>
              <w:jc w:val="both"/>
              <w:rPr>
                <w:rFonts w:ascii="Times New Roman" w:eastAsia="MinionPro-Regular" w:hAnsi="Times New Roman" w:cs="Times New Roman"/>
                <w:color w:val="FFFFFF" w:themeColor="background1"/>
                <w:sz w:val="24"/>
                <w:szCs w:val="24"/>
                <w:lang w:eastAsia="lt-LT"/>
              </w:rPr>
            </w:pPr>
            <w:r w:rsidRPr="00EC1AB2">
              <w:rPr>
                <w:rFonts w:ascii="Times New Roman" w:eastAsia="MinionPro-Regular" w:hAnsi="Times New Roman" w:cs="Times New Roman"/>
                <w:color w:val="FFFFFF" w:themeColor="background1"/>
                <w:sz w:val="24"/>
                <w:szCs w:val="24"/>
                <w:lang w:eastAsia="lt-LT"/>
              </w:rPr>
              <w:t>Veiksnių grupės</w:t>
            </w:r>
          </w:p>
        </w:tc>
        <w:tc>
          <w:tcPr>
            <w:tcW w:w="2268" w:type="dxa"/>
            <w:shd w:val="clear" w:color="auto" w:fill="808080" w:themeFill="background1" w:themeFillShade="80"/>
          </w:tcPr>
          <w:p w:rsidR="00B11653" w:rsidRPr="00EC1AB2" w:rsidRDefault="00B11653" w:rsidP="007A02A8">
            <w:pPr>
              <w:autoSpaceDE w:val="0"/>
              <w:autoSpaceDN w:val="0"/>
              <w:adjustRightInd w:val="0"/>
              <w:spacing w:line="360" w:lineRule="auto"/>
              <w:jc w:val="both"/>
              <w:rPr>
                <w:rFonts w:ascii="Times New Roman" w:eastAsia="MinionPro-Regular" w:hAnsi="Times New Roman" w:cs="Times New Roman"/>
                <w:color w:val="FFFFFF" w:themeColor="background1"/>
                <w:sz w:val="24"/>
                <w:szCs w:val="24"/>
                <w:lang w:eastAsia="lt-LT"/>
              </w:rPr>
            </w:pPr>
            <w:r w:rsidRPr="00EC1AB2">
              <w:rPr>
                <w:rFonts w:ascii="Times New Roman" w:eastAsia="MinionPro-Regular" w:hAnsi="Times New Roman" w:cs="Times New Roman"/>
                <w:color w:val="FFFFFF" w:themeColor="background1"/>
                <w:sz w:val="24"/>
                <w:szCs w:val="24"/>
                <w:lang w:eastAsia="lt-LT"/>
              </w:rPr>
              <w:t>Veiksnių, kurie buvo tiriami, rodikliai</w:t>
            </w:r>
          </w:p>
        </w:tc>
        <w:tc>
          <w:tcPr>
            <w:tcW w:w="4253" w:type="dxa"/>
            <w:shd w:val="clear" w:color="auto" w:fill="808080" w:themeFill="background1" w:themeFillShade="80"/>
          </w:tcPr>
          <w:p w:rsidR="00B11653" w:rsidRPr="00EC1AB2" w:rsidRDefault="00B11653" w:rsidP="007A02A8">
            <w:pPr>
              <w:autoSpaceDE w:val="0"/>
              <w:autoSpaceDN w:val="0"/>
              <w:adjustRightInd w:val="0"/>
              <w:spacing w:line="360" w:lineRule="auto"/>
              <w:jc w:val="both"/>
              <w:rPr>
                <w:rFonts w:ascii="Times New Roman" w:eastAsia="MinionPro-Regular" w:hAnsi="Times New Roman" w:cs="Times New Roman"/>
                <w:color w:val="FFFFFF" w:themeColor="background1"/>
                <w:sz w:val="24"/>
                <w:szCs w:val="24"/>
                <w:lang w:eastAsia="lt-LT"/>
              </w:rPr>
            </w:pPr>
            <w:r w:rsidRPr="00EC1AB2">
              <w:rPr>
                <w:rFonts w:ascii="Times New Roman" w:eastAsia="MinionPro-Regular" w:hAnsi="Times New Roman" w:cs="Times New Roman"/>
                <w:color w:val="FFFFFF" w:themeColor="background1"/>
                <w:sz w:val="24"/>
                <w:szCs w:val="24"/>
                <w:lang w:eastAsia="lt-LT"/>
              </w:rPr>
              <w:t>Autoriai</w:t>
            </w:r>
          </w:p>
        </w:tc>
        <w:tc>
          <w:tcPr>
            <w:tcW w:w="1665" w:type="dxa"/>
            <w:shd w:val="clear" w:color="auto" w:fill="808080" w:themeFill="background1" w:themeFillShade="80"/>
          </w:tcPr>
          <w:p w:rsidR="00B11653" w:rsidRPr="00EC1AB2" w:rsidRDefault="00B11653" w:rsidP="007A02A8">
            <w:pPr>
              <w:autoSpaceDE w:val="0"/>
              <w:autoSpaceDN w:val="0"/>
              <w:adjustRightInd w:val="0"/>
              <w:spacing w:line="360" w:lineRule="auto"/>
              <w:jc w:val="both"/>
              <w:rPr>
                <w:rFonts w:ascii="Times New Roman" w:eastAsia="MinionPro-Regular" w:hAnsi="Times New Roman" w:cs="Times New Roman"/>
                <w:color w:val="FFFFFF" w:themeColor="background1"/>
                <w:sz w:val="24"/>
                <w:szCs w:val="24"/>
                <w:lang w:eastAsia="lt-LT"/>
              </w:rPr>
            </w:pPr>
            <w:r w:rsidRPr="00EC1AB2">
              <w:rPr>
                <w:rFonts w:ascii="Times New Roman" w:eastAsia="MinionPro-Regular" w:hAnsi="Times New Roman" w:cs="Times New Roman"/>
                <w:color w:val="FFFFFF" w:themeColor="background1"/>
                <w:sz w:val="24"/>
                <w:szCs w:val="24"/>
                <w:lang w:eastAsia="lt-LT"/>
              </w:rPr>
              <w:t xml:space="preserve">Tyrimo pobūdis </w:t>
            </w:r>
          </w:p>
        </w:tc>
      </w:tr>
      <w:tr w:rsidR="00370EA5" w:rsidRPr="00EC1AB2" w:rsidTr="00514D6C">
        <w:tc>
          <w:tcPr>
            <w:tcW w:w="1951" w:type="dxa"/>
            <w:vMerge w:val="restart"/>
          </w:tcPr>
          <w:p w:rsidR="00370EA5" w:rsidRPr="00EC1AB2" w:rsidRDefault="00370EA5"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Makroekonominė aplinka</w:t>
            </w:r>
          </w:p>
        </w:tc>
        <w:tc>
          <w:tcPr>
            <w:tcW w:w="2268" w:type="dxa"/>
          </w:tcPr>
          <w:p w:rsidR="00370EA5" w:rsidRPr="00EC1AB2" w:rsidRDefault="00370EA5"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BVP dydis (1 gyv.)</w:t>
            </w:r>
          </w:p>
        </w:tc>
        <w:tc>
          <w:tcPr>
            <w:tcW w:w="4253" w:type="dxa"/>
          </w:tcPr>
          <w:p w:rsidR="00370EA5" w:rsidRPr="00EC1AB2" w:rsidRDefault="00370EA5"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P. Gompres, J. Lerner (1988), D. Cumming, J. G. MacIntoch (2002), A. Romain, B. van Pottelsberghe de la Potterie (2004), S. Bonini, S. Alkan (2006), S. Khalid (2007)</w:t>
            </w:r>
          </w:p>
        </w:tc>
        <w:tc>
          <w:tcPr>
            <w:tcW w:w="1665" w:type="dxa"/>
          </w:tcPr>
          <w:p w:rsidR="00370EA5" w:rsidRPr="00EC1AB2" w:rsidRDefault="00370EA5"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Kiekybinis</w:t>
            </w:r>
          </w:p>
        </w:tc>
      </w:tr>
      <w:tr w:rsidR="00370EA5" w:rsidRPr="00EC1AB2" w:rsidTr="00514D6C">
        <w:tc>
          <w:tcPr>
            <w:tcW w:w="1951" w:type="dxa"/>
            <w:vMerge/>
          </w:tcPr>
          <w:p w:rsidR="00370EA5" w:rsidRPr="00EC1AB2" w:rsidRDefault="00370EA5"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p>
        </w:tc>
        <w:tc>
          <w:tcPr>
            <w:tcW w:w="2268" w:type="dxa"/>
          </w:tcPr>
          <w:p w:rsidR="00370EA5" w:rsidRPr="00EC1AB2" w:rsidRDefault="00370EA5"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Infliacijos dydis (proc.)</w:t>
            </w:r>
          </w:p>
        </w:tc>
        <w:tc>
          <w:tcPr>
            <w:tcW w:w="4253" w:type="dxa"/>
          </w:tcPr>
          <w:p w:rsidR="00370EA5" w:rsidRPr="00EC1AB2" w:rsidRDefault="00370EA5"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S. Bonini, S. Alkan (2006)</w:t>
            </w:r>
          </w:p>
        </w:tc>
        <w:tc>
          <w:tcPr>
            <w:tcW w:w="1665" w:type="dxa"/>
          </w:tcPr>
          <w:p w:rsidR="00370EA5" w:rsidRPr="00EC1AB2" w:rsidRDefault="00370EA5"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Kiekybinis</w:t>
            </w:r>
          </w:p>
        </w:tc>
      </w:tr>
      <w:tr w:rsidR="00370EA5" w:rsidRPr="00EC1AB2" w:rsidTr="00514D6C">
        <w:tc>
          <w:tcPr>
            <w:tcW w:w="1951" w:type="dxa"/>
            <w:vMerge/>
          </w:tcPr>
          <w:p w:rsidR="00370EA5" w:rsidRPr="00EC1AB2" w:rsidRDefault="00370EA5"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p>
        </w:tc>
        <w:tc>
          <w:tcPr>
            <w:tcW w:w="2268" w:type="dxa"/>
          </w:tcPr>
          <w:p w:rsidR="00370EA5" w:rsidRPr="00EC1AB2" w:rsidRDefault="00370EA5"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Darbo rinkos lankstumas</w:t>
            </w:r>
          </w:p>
        </w:tc>
        <w:tc>
          <w:tcPr>
            <w:tcW w:w="4253" w:type="dxa"/>
          </w:tcPr>
          <w:p w:rsidR="00370EA5" w:rsidRPr="00EC1AB2" w:rsidRDefault="00370EA5"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Schertler (2004)</w:t>
            </w:r>
          </w:p>
        </w:tc>
        <w:tc>
          <w:tcPr>
            <w:tcW w:w="1665" w:type="dxa"/>
          </w:tcPr>
          <w:p w:rsidR="00370EA5" w:rsidRPr="00EC1AB2" w:rsidRDefault="00370EA5"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Kiekybinis</w:t>
            </w:r>
          </w:p>
        </w:tc>
      </w:tr>
      <w:tr w:rsidR="00C17B50" w:rsidRPr="00EC1AB2" w:rsidTr="00514D6C">
        <w:tc>
          <w:tcPr>
            <w:tcW w:w="1951" w:type="dxa"/>
            <w:vMerge w:val="restart"/>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Finansinė aplinka</w:t>
            </w:r>
          </w:p>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p>
        </w:tc>
        <w:tc>
          <w:tcPr>
            <w:tcW w:w="2268" w:type="dxa"/>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Finansinės sistemos pobūdis</w:t>
            </w:r>
          </w:p>
        </w:tc>
        <w:tc>
          <w:tcPr>
            <w:tcW w:w="4253" w:type="dxa"/>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R. Levine, S. Zervos (1998), D. Schafer (2002), T. Beck, R. Levine (2002)</w:t>
            </w:r>
          </w:p>
        </w:tc>
        <w:tc>
          <w:tcPr>
            <w:tcW w:w="1665" w:type="dxa"/>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Kiekybinis, kokybinis</w:t>
            </w:r>
          </w:p>
        </w:tc>
      </w:tr>
      <w:tr w:rsidR="00C17B50" w:rsidRPr="00EC1AB2" w:rsidTr="00C17B50">
        <w:tc>
          <w:tcPr>
            <w:tcW w:w="1951" w:type="dxa"/>
            <w:vMerge/>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p>
        </w:tc>
        <w:tc>
          <w:tcPr>
            <w:tcW w:w="2268" w:type="dxa"/>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Išėjimo/divestavimo pobūdis (IPO)</w:t>
            </w:r>
          </w:p>
        </w:tc>
        <w:tc>
          <w:tcPr>
            <w:tcW w:w="4253" w:type="dxa"/>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M. Berlin (1998), B. S. Black, R. J. Gilson (1998), L. Jeng, P. C. Wells (2000), J. Marti, M. Balboa (2000), D. J. Cumming, G. Fleming (2002), A. Schwienbacher (2002), C. Michelacci, J, Suarez (2004), J. R. Brown (2005), S. Bonin, S. Alkan (2006), S. Khalid (2007)</w:t>
            </w:r>
          </w:p>
        </w:tc>
        <w:tc>
          <w:tcPr>
            <w:tcW w:w="1665" w:type="dxa"/>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Kiekybinis</w:t>
            </w:r>
          </w:p>
        </w:tc>
      </w:tr>
      <w:tr w:rsidR="00C17B50" w:rsidRPr="00EC1AB2" w:rsidTr="00C17B50">
        <w:tc>
          <w:tcPr>
            <w:tcW w:w="1951" w:type="dxa"/>
            <w:vMerge/>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p>
        </w:tc>
        <w:tc>
          <w:tcPr>
            <w:tcW w:w="2268" w:type="dxa"/>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Akcijų rinkų likvidumas/aktyvumas</w:t>
            </w:r>
          </w:p>
        </w:tc>
        <w:tc>
          <w:tcPr>
            <w:tcW w:w="4253" w:type="dxa"/>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S. Black, R.J. Gilson (1998), D. J. Cumming, J. G. MacIntoch (2002), A. Schertler (2003), M. Da Rin, g. Nicodano, A. Sembenelli (2005), S. Bonini, S. Alkan (2006)</w:t>
            </w:r>
          </w:p>
        </w:tc>
        <w:tc>
          <w:tcPr>
            <w:tcW w:w="1665" w:type="dxa"/>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Kiekybinis</w:t>
            </w:r>
          </w:p>
        </w:tc>
      </w:tr>
      <w:tr w:rsidR="00C17B50" w:rsidRPr="00EC1AB2" w:rsidTr="00C17B50">
        <w:tc>
          <w:tcPr>
            <w:tcW w:w="1951" w:type="dxa"/>
            <w:vMerge/>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p>
        </w:tc>
        <w:tc>
          <w:tcPr>
            <w:tcW w:w="2268" w:type="dxa"/>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Įmonių susijungimai ir susiliejimai</w:t>
            </w:r>
          </w:p>
        </w:tc>
        <w:tc>
          <w:tcPr>
            <w:tcW w:w="4253" w:type="dxa"/>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S. Khalid (2007)</w:t>
            </w:r>
          </w:p>
        </w:tc>
        <w:tc>
          <w:tcPr>
            <w:tcW w:w="1665" w:type="dxa"/>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Kokybinis</w:t>
            </w:r>
          </w:p>
        </w:tc>
      </w:tr>
      <w:tr w:rsidR="00C17B50" w:rsidRPr="00EC1AB2" w:rsidTr="00C17B50">
        <w:tc>
          <w:tcPr>
            <w:tcW w:w="1951" w:type="dxa"/>
            <w:vMerge/>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p>
        </w:tc>
        <w:tc>
          <w:tcPr>
            <w:tcW w:w="2268" w:type="dxa"/>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Rinkos kapitalizacijos augimas</w:t>
            </w:r>
          </w:p>
        </w:tc>
        <w:tc>
          <w:tcPr>
            <w:tcW w:w="4253" w:type="dxa"/>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L. Jeng, P. C. Wells (2000)</w:t>
            </w:r>
          </w:p>
        </w:tc>
        <w:tc>
          <w:tcPr>
            <w:tcW w:w="1665" w:type="dxa"/>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Kiekybinis</w:t>
            </w:r>
          </w:p>
        </w:tc>
      </w:tr>
      <w:tr w:rsidR="00C17B50" w:rsidRPr="00EC1AB2" w:rsidTr="00C17B50">
        <w:tc>
          <w:tcPr>
            <w:tcW w:w="1951" w:type="dxa"/>
            <w:vMerge w:val="restart"/>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Teisinė ir mokesčių sistema</w:t>
            </w:r>
          </w:p>
        </w:tc>
        <w:tc>
          <w:tcPr>
            <w:tcW w:w="2268" w:type="dxa"/>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Kapitalo prieaugio mokesčiai</w:t>
            </w:r>
          </w:p>
        </w:tc>
        <w:tc>
          <w:tcPr>
            <w:tcW w:w="4253" w:type="dxa"/>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P. Gompers (1998), j. Poterba, B. A. Aylward (2002)</w:t>
            </w:r>
          </w:p>
        </w:tc>
        <w:tc>
          <w:tcPr>
            <w:tcW w:w="1665" w:type="dxa"/>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Kiekybinis</w:t>
            </w:r>
          </w:p>
        </w:tc>
      </w:tr>
      <w:tr w:rsidR="00C17B50" w:rsidRPr="00EC1AB2" w:rsidTr="00C17B50">
        <w:tc>
          <w:tcPr>
            <w:tcW w:w="1951" w:type="dxa"/>
            <w:vMerge/>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p>
        </w:tc>
        <w:tc>
          <w:tcPr>
            <w:tcW w:w="2268" w:type="dxa"/>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Pelno mokesčiai</w:t>
            </w:r>
          </w:p>
        </w:tc>
        <w:tc>
          <w:tcPr>
            <w:tcW w:w="4253" w:type="dxa"/>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S. Bonini., S. Alkan (2006)</w:t>
            </w:r>
          </w:p>
        </w:tc>
        <w:tc>
          <w:tcPr>
            <w:tcW w:w="1665" w:type="dxa"/>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Kiekybinis</w:t>
            </w:r>
          </w:p>
        </w:tc>
      </w:tr>
      <w:tr w:rsidR="00C17B50" w:rsidRPr="00EC1AB2" w:rsidTr="00C17B50">
        <w:tc>
          <w:tcPr>
            <w:tcW w:w="1951" w:type="dxa"/>
            <w:vMerge/>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p>
        </w:tc>
        <w:tc>
          <w:tcPr>
            <w:tcW w:w="2268" w:type="dxa"/>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Mokesčių lengvatos</w:t>
            </w:r>
          </w:p>
        </w:tc>
        <w:tc>
          <w:tcPr>
            <w:tcW w:w="4253" w:type="dxa"/>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S. J. Berwin (2006), M. Da Rin, G.Nicodano, A. Sembelini (2005)</w:t>
            </w:r>
          </w:p>
        </w:tc>
        <w:tc>
          <w:tcPr>
            <w:tcW w:w="1665" w:type="dxa"/>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Kiekybinis</w:t>
            </w:r>
          </w:p>
        </w:tc>
      </w:tr>
      <w:tr w:rsidR="00C17B50" w:rsidRPr="00EC1AB2" w:rsidTr="00C17B50">
        <w:tc>
          <w:tcPr>
            <w:tcW w:w="1951" w:type="dxa"/>
            <w:vMerge/>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p>
        </w:tc>
        <w:tc>
          <w:tcPr>
            <w:tcW w:w="2268" w:type="dxa"/>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Teisinis rizikos kapitalo investuotojų veiklos reglamentavimas</w:t>
            </w:r>
          </w:p>
        </w:tc>
        <w:tc>
          <w:tcPr>
            <w:tcW w:w="4253" w:type="dxa"/>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S. J. Berwin (2006)</w:t>
            </w:r>
          </w:p>
        </w:tc>
        <w:tc>
          <w:tcPr>
            <w:tcW w:w="1665" w:type="dxa"/>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Kokybinis</w:t>
            </w:r>
          </w:p>
        </w:tc>
      </w:tr>
      <w:tr w:rsidR="00C17B50" w:rsidRPr="00EC1AB2" w:rsidTr="00C17B50">
        <w:tc>
          <w:tcPr>
            <w:tcW w:w="1951" w:type="dxa"/>
            <w:vMerge/>
          </w:tcPr>
          <w:p w:rsidR="00C17B50" w:rsidRPr="00EC1AB2" w:rsidRDefault="00C17B50"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p>
        </w:tc>
        <w:tc>
          <w:tcPr>
            <w:tcW w:w="2268" w:type="dxa"/>
          </w:tcPr>
          <w:p w:rsidR="00C17B50" w:rsidRPr="00EC1AB2" w:rsidRDefault="00C17B50" w:rsidP="00945658">
            <w:pPr>
              <w:autoSpaceDE w:val="0"/>
              <w:autoSpaceDN w:val="0"/>
              <w:adjustRightInd w:val="0"/>
              <w:spacing w:line="276"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Bankroto teisė</w:t>
            </w:r>
          </w:p>
        </w:tc>
        <w:tc>
          <w:tcPr>
            <w:tcW w:w="4253" w:type="dxa"/>
          </w:tcPr>
          <w:p w:rsidR="00C17B50" w:rsidRPr="00EC1AB2" w:rsidRDefault="00C17B50" w:rsidP="00945658">
            <w:pPr>
              <w:autoSpaceDE w:val="0"/>
              <w:autoSpaceDN w:val="0"/>
              <w:adjustRightInd w:val="0"/>
              <w:spacing w:line="276"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J. Armour (2002), J. Armour, D.J. Cumming (2006)</w:t>
            </w:r>
          </w:p>
        </w:tc>
        <w:tc>
          <w:tcPr>
            <w:tcW w:w="1665" w:type="dxa"/>
          </w:tcPr>
          <w:p w:rsidR="00C17B50" w:rsidRPr="00EC1AB2" w:rsidRDefault="00C17B50" w:rsidP="00945658">
            <w:pPr>
              <w:autoSpaceDE w:val="0"/>
              <w:autoSpaceDN w:val="0"/>
              <w:adjustRightInd w:val="0"/>
              <w:spacing w:line="276"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Kokybinis</w:t>
            </w:r>
          </w:p>
        </w:tc>
      </w:tr>
    </w:tbl>
    <w:p w:rsidR="00945658" w:rsidRPr="00EC1AB2" w:rsidRDefault="00945658" w:rsidP="00945658">
      <w:pPr>
        <w:tabs>
          <w:tab w:val="left" w:pos="7462"/>
        </w:tabs>
        <w:jc w:val="right"/>
        <w:rPr>
          <w:rFonts w:ascii="Times New Roman" w:hAnsi="Times New Roman" w:cs="Times New Roman"/>
          <w:sz w:val="24"/>
          <w:szCs w:val="24"/>
        </w:rPr>
      </w:pPr>
    </w:p>
    <w:p w:rsidR="009F4399" w:rsidRPr="00EC1AB2" w:rsidRDefault="009F4399" w:rsidP="00945658">
      <w:pPr>
        <w:tabs>
          <w:tab w:val="left" w:pos="7462"/>
        </w:tabs>
        <w:jc w:val="right"/>
        <w:rPr>
          <w:rFonts w:ascii="Times New Roman" w:hAnsi="Times New Roman" w:cs="Times New Roman"/>
          <w:sz w:val="24"/>
          <w:szCs w:val="24"/>
        </w:rPr>
      </w:pPr>
    </w:p>
    <w:p w:rsidR="009F4399" w:rsidRPr="00EC1AB2" w:rsidRDefault="009F4399" w:rsidP="00945658">
      <w:pPr>
        <w:tabs>
          <w:tab w:val="left" w:pos="7462"/>
        </w:tabs>
        <w:jc w:val="right"/>
        <w:rPr>
          <w:rFonts w:ascii="Times New Roman" w:hAnsi="Times New Roman" w:cs="Times New Roman"/>
          <w:sz w:val="24"/>
          <w:szCs w:val="24"/>
        </w:rPr>
      </w:pPr>
    </w:p>
    <w:p w:rsidR="006344B3" w:rsidRPr="00EC1AB2" w:rsidRDefault="006344B3" w:rsidP="00945658">
      <w:pPr>
        <w:tabs>
          <w:tab w:val="left" w:pos="7462"/>
        </w:tabs>
        <w:jc w:val="right"/>
        <w:rPr>
          <w:rFonts w:ascii="Times New Roman" w:hAnsi="Times New Roman" w:cs="Times New Roman"/>
        </w:rPr>
      </w:pPr>
      <w:r w:rsidRPr="00EC1AB2">
        <w:rPr>
          <w:rFonts w:ascii="Times New Roman" w:hAnsi="Times New Roman" w:cs="Times New Roman"/>
          <w:sz w:val="24"/>
          <w:szCs w:val="24"/>
        </w:rPr>
        <w:t>4 lentelės tęsinys kitame puslapyje</w:t>
      </w:r>
    </w:p>
    <w:p w:rsidR="006344B3" w:rsidRPr="00EC1AB2" w:rsidRDefault="006344B3" w:rsidP="006344B3">
      <w:pPr>
        <w:spacing w:after="0" w:line="360" w:lineRule="auto"/>
        <w:jc w:val="right"/>
        <w:rPr>
          <w:rFonts w:ascii="Times New Roman" w:hAnsi="Times New Roman" w:cs="Times New Roman"/>
          <w:sz w:val="24"/>
          <w:szCs w:val="24"/>
        </w:rPr>
      </w:pPr>
      <w:r w:rsidRPr="00EC1AB2">
        <w:rPr>
          <w:rFonts w:ascii="Times New Roman" w:hAnsi="Times New Roman" w:cs="Times New Roman"/>
          <w:sz w:val="24"/>
          <w:szCs w:val="24"/>
        </w:rPr>
        <w:lastRenderedPageBreak/>
        <w:t>4 lentelės tęsinys</w:t>
      </w:r>
    </w:p>
    <w:p w:rsidR="00495905" w:rsidRPr="00EC1AB2" w:rsidRDefault="00495905" w:rsidP="006344B3">
      <w:pPr>
        <w:spacing w:after="0" w:line="360" w:lineRule="auto"/>
        <w:jc w:val="right"/>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951"/>
        <w:gridCol w:w="2268"/>
        <w:gridCol w:w="4253"/>
        <w:gridCol w:w="1665"/>
      </w:tblGrid>
      <w:tr w:rsidR="00812D85" w:rsidRPr="00EC1AB2" w:rsidTr="00812D85">
        <w:tc>
          <w:tcPr>
            <w:tcW w:w="1951" w:type="dxa"/>
            <w:shd w:val="clear" w:color="auto" w:fill="808080" w:themeFill="background1" w:themeFillShade="80"/>
          </w:tcPr>
          <w:p w:rsidR="00812D85" w:rsidRPr="00EC1AB2" w:rsidRDefault="00812D85" w:rsidP="000C10A9">
            <w:pPr>
              <w:autoSpaceDE w:val="0"/>
              <w:autoSpaceDN w:val="0"/>
              <w:adjustRightInd w:val="0"/>
              <w:spacing w:line="360" w:lineRule="auto"/>
              <w:jc w:val="both"/>
              <w:rPr>
                <w:rFonts w:ascii="Times New Roman" w:eastAsia="MinionPro-Regular" w:hAnsi="Times New Roman" w:cs="Times New Roman"/>
                <w:color w:val="FFFFFF" w:themeColor="background1"/>
                <w:sz w:val="24"/>
                <w:szCs w:val="24"/>
                <w:lang w:eastAsia="lt-LT"/>
              </w:rPr>
            </w:pPr>
            <w:r w:rsidRPr="00EC1AB2">
              <w:rPr>
                <w:rFonts w:ascii="Times New Roman" w:eastAsia="MinionPro-Regular" w:hAnsi="Times New Roman" w:cs="Times New Roman"/>
                <w:color w:val="FFFFFF" w:themeColor="background1"/>
                <w:sz w:val="24"/>
                <w:szCs w:val="24"/>
                <w:lang w:eastAsia="lt-LT"/>
              </w:rPr>
              <w:t>Veiksnių grupės</w:t>
            </w:r>
          </w:p>
        </w:tc>
        <w:tc>
          <w:tcPr>
            <w:tcW w:w="2268" w:type="dxa"/>
            <w:shd w:val="clear" w:color="auto" w:fill="808080" w:themeFill="background1" w:themeFillShade="80"/>
          </w:tcPr>
          <w:p w:rsidR="00812D85" w:rsidRPr="00EC1AB2" w:rsidRDefault="00812D85" w:rsidP="000C10A9">
            <w:pPr>
              <w:autoSpaceDE w:val="0"/>
              <w:autoSpaceDN w:val="0"/>
              <w:adjustRightInd w:val="0"/>
              <w:spacing w:line="360" w:lineRule="auto"/>
              <w:jc w:val="both"/>
              <w:rPr>
                <w:rFonts w:ascii="Times New Roman" w:eastAsia="MinionPro-Regular" w:hAnsi="Times New Roman" w:cs="Times New Roman"/>
                <w:color w:val="FFFFFF" w:themeColor="background1"/>
                <w:sz w:val="24"/>
                <w:szCs w:val="24"/>
                <w:lang w:eastAsia="lt-LT"/>
              </w:rPr>
            </w:pPr>
            <w:r w:rsidRPr="00EC1AB2">
              <w:rPr>
                <w:rFonts w:ascii="Times New Roman" w:eastAsia="MinionPro-Regular" w:hAnsi="Times New Roman" w:cs="Times New Roman"/>
                <w:color w:val="FFFFFF" w:themeColor="background1"/>
                <w:sz w:val="24"/>
                <w:szCs w:val="24"/>
                <w:lang w:eastAsia="lt-LT"/>
              </w:rPr>
              <w:t>Veiksnių, kurie buvo tiriami, rodikliai</w:t>
            </w:r>
          </w:p>
        </w:tc>
        <w:tc>
          <w:tcPr>
            <w:tcW w:w="4253" w:type="dxa"/>
            <w:shd w:val="clear" w:color="auto" w:fill="808080" w:themeFill="background1" w:themeFillShade="80"/>
          </w:tcPr>
          <w:p w:rsidR="00812D85" w:rsidRPr="00EC1AB2" w:rsidRDefault="00812D85" w:rsidP="000C10A9">
            <w:pPr>
              <w:autoSpaceDE w:val="0"/>
              <w:autoSpaceDN w:val="0"/>
              <w:adjustRightInd w:val="0"/>
              <w:spacing w:line="360" w:lineRule="auto"/>
              <w:jc w:val="both"/>
              <w:rPr>
                <w:rFonts w:ascii="Times New Roman" w:eastAsia="MinionPro-Regular" w:hAnsi="Times New Roman" w:cs="Times New Roman"/>
                <w:color w:val="FFFFFF" w:themeColor="background1"/>
                <w:sz w:val="24"/>
                <w:szCs w:val="24"/>
                <w:lang w:eastAsia="lt-LT"/>
              </w:rPr>
            </w:pPr>
            <w:r w:rsidRPr="00EC1AB2">
              <w:rPr>
                <w:rFonts w:ascii="Times New Roman" w:eastAsia="MinionPro-Regular" w:hAnsi="Times New Roman" w:cs="Times New Roman"/>
                <w:color w:val="FFFFFF" w:themeColor="background1"/>
                <w:sz w:val="24"/>
                <w:szCs w:val="24"/>
                <w:lang w:eastAsia="lt-LT"/>
              </w:rPr>
              <w:t>Autoriai</w:t>
            </w:r>
          </w:p>
        </w:tc>
        <w:tc>
          <w:tcPr>
            <w:tcW w:w="1665" w:type="dxa"/>
            <w:shd w:val="clear" w:color="auto" w:fill="808080" w:themeFill="background1" w:themeFillShade="80"/>
          </w:tcPr>
          <w:p w:rsidR="00812D85" w:rsidRPr="00EC1AB2" w:rsidRDefault="00812D85" w:rsidP="000C10A9">
            <w:pPr>
              <w:autoSpaceDE w:val="0"/>
              <w:autoSpaceDN w:val="0"/>
              <w:adjustRightInd w:val="0"/>
              <w:spacing w:line="360" w:lineRule="auto"/>
              <w:jc w:val="both"/>
              <w:rPr>
                <w:rFonts w:ascii="Times New Roman" w:eastAsia="MinionPro-Regular" w:hAnsi="Times New Roman" w:cs="Times New Roman"/>
                <w:color w:val="FFFFFF" w:themeColor="background1"/>
                <w:sz w:val="24"/>
                <w:szCs w:val="24"/>
                <w:lang w:eastAsia="lt-LT"/>
              </w:rPr>
            </w:pPr>
            <w:r w:rsidRPr="00EC1AB2">
              <w:rPr>
                <w:rFonts w:ascii="Times New Roman" w:eastAsia="MinionPro-Regular" w:hAnsi="Times New Roman" w:cs="Times New Roman"/>
                <w:color w:val="FFFFFF" w:themeColor="background1"/>
                <w:sz w:val="24"/>
                <w:szCs w:val="24"/>
                <w:lang w:eastAsia="lt-LT"/>
              </w:rPr>
              <w:t xml:space="preserve">Tyrimo pobūdis </w:t>
            </w:r>
          </w:p>
        </w:tc>
      </w:tr>
      <w:tr w:rsidR="00812D85" w:rsidRPr="00EC1AB2" w:rsidTr="00C17B50">
        <w:tc>
          <w:tcPr>
            <w:tcW w:w="1951" w:type="dxa"/>
            <w:vMerge w:val="restart"/>
          </w:tcPr>
          <w:p w:rsidR="00812D85" w:rsidRPr="00EC1AB2" w:rsidRDefault="00812D85" w:rsidP="006344B3">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Investuotojai į RKF</w:t>
            </w:r>
          </w:p>
        </w:tc>
        <w:tc>
          <w:tcPr>
            <w:tcW w:w="2268" w:type="dxa"/>
          </w:tcPr>
          <w:p w:rsidR="00812D85" w:rsidRPr="00EC1AB2" w:rsidRDefault="00812D85" w:rsidP="006344B3">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Pensijų fondai, jų investicijos</w:t>
            </w:r>
          </w:p>
        </w:tc>
        <w:tc>
          <w:tcPr>
            <w:tcW w:w="4253" w:type="dxa"/>
          </w:tcPr>
          <w:p w:rsidR="00812D85" w:rsidRPr="00EC1AB2" w:rsidRDefault="00812D85" w:rsidP="006344B3">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P. Gopers, J. Lerner (1998), A. Romain, B. van Pottelsberghe de la Potterie (2004), M. Da Rin, G. Nicodano, A. Sembenelli (2005), S. Bonini, S. Alkan (2006)</w:t>
            </w:r>
          </w:p>
        </w:tc>
        <w:tc>
          <w:tcPr>
            <w:tcW w:w="1665" w:type="dxa"/>
          </w:tcPr>
          <w:p w:rsidR="00812D85" w:rsidRPr="00EC1AB2" w:rsidRDefault="00812D85" w:rsidP="006344B3">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Kiekybinis, kokybinis</w:t>
            </w:r>
          </w:p>
        </w:tc>
      </w:tr>
      <w:tr w:rsidR="00812D85" w:rsidRPr="00EC1AB2" w:rsidTr="00C17B50">
        <w:tc>
          <w:tcPr>
            <w:tcW w:w="1951" w:type="dxa"/>
            <w:vMerge/>
          </w:tcPr>
          <w:p w:rsidR="00812D85" w:rsidRPr="00EC1AB2" w:rsidRDefault="00812D85"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p>
        </w:tc>
        <w:tc>
          <w:tcPr>
            <w:tcW w:w="2268" w:type="dxa"/>
          </w:tcPr>
          <w:p w:rsidR="00812D85" w:rsidRPr="00EC1AB2" w:rsidRDefault="00812D85"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Investuotojų struktūra</w:t>
            </w:r>
          </w:p>
        </w:tc>
        <w:tc>
          <w:tcPr>
            <w:tcW w:w="4253" w:type="dxa"/>
          </w:tcPr>
          <w:p w:rsidR="00812D85" w:rsidRPr="00EC1AB2" w:rsidRDefault="00812D85"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C. Mayer, K. Schoors, Y. Yafeh (2000), A. Schertler (2004)</w:t>
            </w:r>
          </w:p>
        </w:tc>
        <w:tc>
          <w:tcPr>
            <w:tcW w:w="1665" w:type="dxa"/>
          </w:tcPr>
          <w:p w:rsidR="00812D85" w:rsidRPr="00EC1AB2" w:rsidRDefault="00812D85"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Kiekybinis, kokybinis</w:t>
            </w:r>
          </w:p>
        </w:tc>
      </w:tr>
      <w:tr w:rsidR="00812D85" w:rsidRPr="00EC1AB2" w:rsidTr="00C17B50">
        <w:tc>
          <w:tcPr>
            <w:tcW w:w="1951" w:type="dxa"/>
          </w:tcPr>
          <w:p w:rsidR="00812D85" w:rsidRPr="00EC1AB2" w:rsidRDefault="00812D85"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Valstybinės iniciatyvos</w:t>
            </w:r>
          </w:p>
        </w:tc>
        <w:tc>
          <w:tcPr>
            <w:tcW w:w="2268" w:type="dxa"/>
          </w:tcPr>
          <w:p w:rsidR="00812D85" w:rsidRPr="00EC1AB2" w:rsidRDefault="00812D85"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Valstybinių fondų kūrimas</w:t>
            </w:r>
          </w:p>
        </w:tc>
        <w:tc>
          <w:tcPr>
            <w:tcW w:w="4253" w:type="dxa"/>
          </w:tcPr>
          <w:p w:rsidR="00812D85" w:rsidRPr="00EC1AB2" w:rsidRDefault="00812D85"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L. Jeng, P. C. Wells (2000), P. Gompers, A. Konver, J. Lerner, D. Scharfstein (2006)</w:t>
            </w:r>
          </w:p>
        </w:tc>
        <w:tc>
          <w:tcPr>
            <w:tcW w:w="1665" w:type="dxa"/>
          </w:tcPr>
          <w:p w:rsidR="00812D85" w:rsidRPr="00EC1AB2" w:rsidRDefault="00812D85"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Kokybinis</w:t>
            </w:r>
          </w:p>
        </w:tc>
      </w:tr>
      <w:tr w:rsidR="00812D85" w:rsidRPr="00EC1AB2" w:rsidTr="00C17B50">
        <w:tc>
          <w:tcPr>
            <w:tcW w:w="1951" w:type="dxa"/>
            <w:vMerge w:val="restart"/>
          </w:tcPr>
          <w:p w:rsidR="00812D85" w:rsidRPr="00EC1AB2" w:rsidRDefault="00812D85"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Inovacijų sistema</w:t>
            </w:r>
          </w:p>
        </w:tc>
        <w:tc>
          <w:tcPr>
            <w:tcW w:w="2268" w:type="dxa"/>
          </w:tcPr>
          <w:p w:rsidR="00812D85" w:rsidRPr="00EC1AB2" w:rsidRDefault="00812D85"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Valstybinės ir privačios MTEP</w:t>
            </w:r>
          </w:p>
        </w:tc>
        <w:tc>
          <w:tcPr>
            <w:tcW w:w="4253" w:type="dxa"/>
          </w:tcPr>
          <w:p w:rsidR="00812D85" w:rsidRPr="00EC1AB2" w:rsidRDefault="00812D85"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P. Gompers, J. Lerner (1998), A. Romain, B. van Pottelsberghe de la Potterie (2004), M. Da Rin, G. Nicodano, A. Sembelinni (2005), S. Bonini, S. Alkan (2006)</w:t>
            </w:r>
          </w:p>
        </w:tc>
        <w:tc>
          <w:tcPr>
            <w:tcW w:w="1665" w:type="dxa"/>
          </w:tcPr>
          <w:p w:rsidR="00812D85" w:rsidRPr="00EC1AB2" w:rsidRDefault="00812D85"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Kiekybinis</w:t>
            </w:r>
          </w:p>
        </w:tc>
      </w:tr>
      <w:tr w:rsidR="00812D85" w:rsidRPr="00EC1AB2" w:rsidTr="00C17B50">
        <w:tc>
          <w:tcPr>
            <w:tcW w:w="1951" w:type="dxa"/>
            <w:vMerge/>
          </w:tcPr>
          <w:p w:rsidR="00812D85" w:rsidRPr="00EC1AB2" w:rsidRDefault="00812D85"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p>
        </w:tc>
        <w:tc>
          <w:tcPr>
            <w:tcW w:w="2268" w:type="dxa"/>
          </w:tcPr>
          <w:p w:rsidR="00812D85" w:rsidRPr="00EC1AB2" w:rsidRDefault="00812D85"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Patentai</w:t>
            </w:r>
          </w:p>
        </w:tc>
        <w:tc>
          <w:tcPr>
            <w:tcW w:w="4253" w:type="dxa"/>
          </w:tcPr>
          <w:p w:rsidR="00812D85" w:rsidRPr="00EC1AB2" w:rsidRDefault="00812D85"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S. Kortum, J. Lerner (2000), A. Romain, B. van Pottelsberge de la Potterie (2004)</w:t>
            </w:r>
          </w:p>
        </w:tc>
        <w:tc>
          <w:tcPr>
            <w:tcW w:w="1665" w:type="dxa"/>
          </w:tcPr>
          <w:p w:rsidR="00812D85" w:rsidRPr="00EC1AB2" w:rsidRDefault="00812D85"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Kiekybinis, kokybinis</w:t>
            </w:r>
          </w:p>
        </w:tc>
      </w:tr>
      <w:tr w:rsidR="00812D85" w:rsidRPr="00EC1AB2" w:rsidTr="00C17B50">
        <w:tc>
          <w:tcPr>
            <w:tcW w:w="1951" w:type="dxa"/>
          </w:tcPr>
          <w:p w:rsidR="00812D85" w:rsidRPr="00EC1AB2" w:rsidRDefault="00812D85"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Antreprenerystė</w:t>
            </w:r>
          </w:p>
        </w:tc>
        <w:tc>
          <w:tcPr>
            <w:tcW w:w="2268" w:type="dxa"/>
          </w:tcPr>
          <w:p w:rsidR="00812D85" w:rsidRPr="00EC1AB2" w:rsidRDefault="00812D85"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Aukšto lygio verslininkai</w:t>
            </w:r>
          </w:p>
        </w:tc>
        <w:tc>
          <w:tcPr>
            <w:tcW w:w="4253" w:type="dxa"/>
          </w:tcPr>
          <w:p w:rsidR="00812D85" w:rsidRPr="00EC1AB2" w:rsidRDefault="00812D85"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R. Becker, T. Hellmann (2003)</w:t>
            </w:r>
          </w:p>
        </w:tc>
        <w:tc>
          <w:tcPr>
            <w:tcW w:w="1665" w:type="dxa"/>
          </w:tcPr>
          <w:p w:rsidR="00812D85" w:rsidRPr="00EC1AB2" w:rsidRDefault="00812D85" w:rsidP="007A02A8">
            <w:pPr>
              <w:autoSpaceDE w:val="0"/>
              <w:autoSpaceDN w:val="0"/>
              <w:adjustRightInd w:val="0"/>
              <w:spacing w:line="360" w:lineRule="auto"/>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sz w:val="20"/>
                <w:szCs w:val="20"/>
                <w:lang w:eastAsia="lt-LT"/>
              </w:rPr>
              <w:t>Kokybinis</w:t>
            </w:r>
          </w:p>
        </w:tc>
      </w:tr>
    </w:tbl>
    <w:p w:rsidR="00F22FE7" w:rsidRPr="00EC1AB2" w:rsidRDefault="00F22FE7" w:rsidP="00812D85">
      <w:pPr>
        <w:autoSpaceDE w:val="0"/>
        <w:autoSpaceDN w:val="0"/>
        <w:adjustRightInd w:val="0"/>
        <w:spacing w:after="0" w:line="360" w:lineRule="auto"/>
        <w:jc w:val="both"/>
        <w:rPr>
          <w:rFonts w:ascii="Times New Roman" w:eastAsia="MinionPro-Regular" w:hAnsi="Times New Roman" w:cs="Times New Roman"/>
          <w:sz w:val="24"/>
          <w:szCs w:val="24"/>
          <w:lang w:eastAsia="lt-LT"/>
        </w:rPr>
      </w:pPr>
    </w:p>
    <w:p w:rsidR="00F22FE7" w:rsidRPr="00EC1AB2" w:rsidRDefault="003064F4" w:rsidP="007A02A8">
      <w:pPr>
        <w:autoSpaceDE w:val="0"/>
        <w:autoSpaceDN w:val="0"/>
        <w:adjustRightInd w:val="0"/>
        <w:spacing w:after="0" w:line="360" w:lineRule="auto"/>
        <w:ind w:firstLine="567"/>
        <w:jc w:val="both"/>
        <w:rPr>
          <w:rFonts w:ascii="Times New Roman" w:eastAsia="MinionPro-Regular" w:hAnsi="Times New Roman" w:cs="Times New Roman"/>
          <w:sz w:val="20"/>
          <w:szCs w:val="20"/>
          <w:lang w:eastAsia="lt-LT"/>
        </w:rPr>
      </w:pPr>
      <w:r w:rsidRPr="00EC1AB2">
        <w:rPr>
          <w:rFonts w:ascii="Times New Roman" w:eastAsia="MinionPro-Regular" w:hAnsi="Times New Roman" w:cs="Times New Roman"/>
          <w:b/>
          <w:sz w:val="20"/>
          <w:szCs w:val="20"/>
          <w:lang w:eastAsia="lt-LT"/>
        </w:rPr>
        <w:t>Šaltinis:</w:t>
      </w:r>
      <w:r w:rsidRPr="00EC1AB2">
        <w:rPr>
          <w:rFonts w:ascii="Times New Roman" w:eastAsia="MinionPro-Regular" w:hAnsi="Times New Roman" w:cs="Times New Roman"/>
          <w:sz w:val="20"/>
          <w:szCs w:val="20"/>
          <w:lang w:eastAsia="lt-LT"/>
        </w:rPr>
        <w:t xml:space="preserve"> </w:t>
      </w:r>
      <w:r w:rsidR="001B65B2" w:rsidRPr="00EC1AB2">
        <w:rPr>
          <w:rFonts w:ascii="Times New Roman" w:eastAsia="MinionPro-Regular" w:hAnsi="Times New Roman" w:cs="Times New Roman"/>
          <w:sz w:val="20"/>
          <w:szCs w:val="20"/>
          <w:lang w:eastAsia="lt-LT"/>
        </w:rPr>
        <w:t xml:space="preserve">adaptuota pagal Jankauskienę </w:t>
      </w:r>
      <w:r w:rsidRPr="00EC1AB2">
        <w:rPr>
          <w:rFonts w:ascii="Times New Roman" w:eastAsia="MinionPro-Regular" w:hAnsi="Times New Roman" w:cs="Times New Roman"/>
          <w:sz w:val="20"/>
          <w:szCs w:val="20"/>
          <w:lang w:eastAsia="lt-LT"/>
        </w:rPr>
        <w:t>(2009)</w:t>
      </w:r>
    </w:p>
    <w:p w:rsidR="00C17B50" w:rsidRPr="00EC1AB2" w:rsidRDefault="00C17B50" w:rsidP="00812D85">
      <w:pPr>
        <w:autoSpaceDE w:val="0"/>
        <w:autoSpaceDN w:val="0"/>
        <w:adjustRightInd w:val="0"/>
        <w:spacing w:after="0" w:line="360" w:lineRule="auto"/>
        <w:jc w:val="both"/>
        <w:rPr>
          <w:rFonts w:ascii="Times New Roman" w:eastAsia="MinionPro-Regular" w:hAnsi="Times New Roman" w:cs="Times New Roman"/>
          <w:sz w:val="20"/>
          <w:szCs w:val="20"/>
          <w:lang w:eastAsia="lt-LT"/>
        </w:rPr>
      </w:pPr>
    </w:p>
    <w:p w:rsidR="00F22FE7" w:rsidRPr="00EC1AB2" w:rsidRDefault="005E65E7" w:rsidP="007A02A8">
      <w:pPr>
        <w:autoSpaceDE w:val="0"/>
        <w:autoSpaceDN w:val="0"/>
        <w:adjustRightInd w:val="0"/>
        <w:spacing w:after="0" w:line="360" w:lineRule="auto"/>
        <w:ind w:firstLine="567"/>
        <w:jc w:val="both"/>
        <w:rPr>
          <w:rFonts w:ascii="Times New Roman" w:eastAsia="MinionPro-Regular" w:hAnsi="Times New Roman" w:cs="Times New Roman"/>
          <w:sz w:val="24"/>
          <w:szCs w:val="24"/>
          <w:lang w:eastAsia="lt-LT"/>
        </w:rPr>
      </w:pPr>
      <w:r w:rsidRPr="00EC1AB2">
        <w:rPr>
          <w:rFonts w:ascii="Times New Roman" w:eastAsia="MinionPro-Regular" w:hAnsi="Times New Roman" w:cs="Times New Roman"/>
          <w:sz w:val="24"/>
          <w:szCs w:val="24"/>
          <w:lang w:eastAsia="lt-LT"/>
        </w:rPr>
        <w:t xml:space="preserve">Kaip matyti iš </w:t>
      </w:r>
      <w:r w:rsidR="00A76C93" w:rsidRPr="00EC1AB2">
        <w:rPr>
          <w:rFonts w:ascii="Times New Roman" w:eastAsia="MinionPro-Regular" w:hAnsi="Times New Roman" w:cs="Times New Roman"/>
          <w:sz w:val="24"/>
          <w:szCs w:val="24"/>
          <w:lang w:eastAsia="lt-LT"/>
        </w:rPr>
        <w:t>4 lent. a</w:t>
      </w:r>
      <w:r w:rsidR="00B82914" w:rsidRPr="00EC1AB2">
        <w:rPr>
          <w:rFonts w:ascii="Times New Roman" w:eastAsia="MinionPro-Regular" w:hAnsi="Times New Roman" w:cs="Times New Roman"/>
          <w:sz w:val="24"/>
          <w:szCs w:val="24"/>
          <w:lang w:eastAsia="lt-LT"/>
        </w:rPr>
        <w:t>utoriai skyrę dėmesio rizikos kapitalo rinkos plėtros veiksniams analizuoti, dažniausiai nagrinėdavo</w:t>
      </w:r>
      <w:r w:rsidR="00A76C93" w:rsidRPr="00EC1AB2">
        <w:rPr>
          <w:rFonts w:ascii="Times New Roman" w:eastAsia="MinionPro-Regular" w:hAnsi="Times New Roman" w:cs="Times New Roman"/>
          <w:sz w:val="24"/>
          <w:szCs w:val="24"/>
          <w:lang w:eastAsia="lt-LT"/>
        </w:rPr>
        <w:t xml:space="preserve"> koncentruodavosi į</w:t>
      </w:r>
      <w:r w:rsidR="00B82914" w:rsidRPr="00EC1AB2">
        <w:rPr>
          <w:rFonts w:ascii="Times New Roman" w:eastAsia="MinionPro-Regular" w:hAnsi="Times New Roman" w:cs="Times New Roman"/>
          <w:sz w:val="24"/>
          <w:szCs w:val="24"/>
          <w:lang w:eastAsia="lt-LT"/>
        </w:rPr>
        <w:t xml:space="preserve"> atskiras veiksnių grupes</w:t>
      </w:r>
      <w:r w:rsidR="00A76C93" w:rsidRPr="00EC1AB2">
        <w:rPr>
          <w:rFonts w:ascii="Times New Roman" w:eastAsia="MinionPro-Regular" w:hAnsi="Times New Roman" w:cs="Times New Roman"/>
          <w:sz w:val="24"/>
          <w:szCs w:val="24"/>
          <w:lang w:eastAsia="lt-LT"/>
        </w:rPr>
        <w:t xml:space="preserve"> bei labiau susijusias su RKF pasiūlos veiksniais.  </w:t>
      </w:r>
    </w:p>
    <w:p w:rsidR="007915D7" w:rsidRPr="00EC1AB2" w:rsidRDefault="007915D7" w:rsidP="007A02A8">
      <w:pPr>
        <w:tabs>
          <w:tab w:val="left" w:pos="0"/>
        </w:tabs>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Apibendrinant, rizikos kapitalo investicijų apimčiai šalyje daro įtaką tiek ekonominė, teisinė, socialinė, antrepreneriška aplinka, t.y RKF pasiūlą lemiantys veiksniai, tiek paklausos elem</w:t>
      </w:r>
      <w:r w:rsidR="00975B21" w:rsidRPr="00EC1AB2">
        <w:rPr>
          <w:rFonts w:ascii="Times New Roman" w:hAnsi="Times New Roman" w:cs="Times New Roman"/>
          <w:sz w:val="24"/>
          <w:szCs w:val="24"/>
        </w:rPr>
        <w:t>e</w:t>
      </w:r>
      <w:r w:rsidRPr="00EC1AB2">
        <w:rPr>
          <w:rFonts w:ascii="Times New Roman" w:hAnsi="Times New Roman" w:cs="Times New Roman"/>
          <w:sz w:val="24"/>
          <w:szCs w:val="24"/>
        </w:rPr>
        <w:t>ntai, kaip pavyzdžiui, šalies verslininkų požiūris į įmonė</w:t>
      </w:r>
      <w:r w:rsidR="00D760BB" w:rsidRPr="00EC1AB2">
        <w:rPr>
          <w:rFonts w:ascii="Times New Roman" w:hAnsi="Times New Roman" w:cs="Times New Roman"/>
          <w:sz w:val="24"/>
          <w:szCs w:val="24"/>
        </w:rPr>
        <w:t xml:space="preserve">s finansavimą rizikos kapitalu bei naujų įmonių steigimosi apimtys. </w:t>
      </w:r>
    </w:p>
    <w:p w:rsidR="001B65B2" w:rsidRPr="00EC1AB2" w:rsidRDefault="001B65B2" w:rsidP="007A02A8">
      <w:pPr>
        <w:autoSpaceDE w:val="0"/>
        <w:autoSpaceDN w:val="0"/>
        <w:adjustRightInd w:val="0"/>
        <w:spacing w:after="0" w:line="360" w:lineRule="auto"/>
        <w:ind w:firstLine="360"/>
        <w:jc w:val="both"/>
        <w:rPr>
          <w:rFonts w:ascii="Times New Roman" w:hAnsi="Times New Roman" w:cs="Times New Roman"/>
          <w:sz w:val="24"/>
          <w:szCs w:val="24"/>
        </w:rPr>
      </w:pPr>
      <w:r w:rsidRPr="00EC1AB2">
        <w:rPr>
          <w:rFonts w:ascii="Times New Roman" w:hAnsi="Times New Roman" w:cs="Times New Roman"/>
          <w:sz w:val="24"/>
          <w:szCs w:val="24"/>
        </w:rPr>
        <w:br w:type="page"/>
      </w:r>
    </w:p>
    <w:p w:rsidR="000B7269" w:rsidRPr="00EC1AB2" w:rsidRDefault="00812D85" w:rsidP="001B65B2">
      <w:pPr>
        <w:pStyle w:val="Heading1"/>
        <w:spacing w:before="0" w:after="0" w:line="360" w:lineRule="auto"/>
        <w:ind w:left="360"/>
        <w:rPr>
          <w:sz w:val="28"/>
          <w:szCs w:val="28"/>
        </w:rPr>
      </w:pPr>
      <w:bookmarkStart w:id="82" w:name="_Toc320566996"/>
      <w:bookmarkStart w:id="83" w:name="_Toc320567036"/>
      <w:bookmarkStart w:id="84" w:name="_Toc320567183"/>
      <w:bookmarkStart w:id="85" w:name="_Toc320761766"/>
      <w:bookmarkStart w:id="86" w:name="_Toc320761916"/>
      <w:bookmarkStart w:id="87" w:name="_Toc320762151"/>
      <w:bookmarkStart w:id="88" w:name="_Toc320762553"/>
      <w:bookmarkStart w:id="89" w:name="_Toc321092699"/>
      <w:r w:rsidRPr="00EC1AB2">
        <w:rPr>
          <w:sz w:val="28"/>
          <w:szCs w:val="28"/>
        </w:rPr>
        <w:lastRenderedPageBreak/>
        <w:t xml:space="preserve">2. </w:t>
      </w:r>
      <w:r w:rsidR="001B65B2" w:rsidRPr="00EC1AB2">
        <w:rPr>
          <w:sz w:val="28"/>
          <w:szCs w:val="28"/>
        </w:rPr>
        <w:t xml:space="preserve">RIZIKOS KAPITALO FONDŲ </w:t>
      </w:r>
      <w:r w:rsidR="000B7269" w:rsidRPr="00EC1AB2">
        <w:rPr>
          <w:sz w:val="28"/>
          <w:szCs w:val="28"/>
        </w:rPr>
        <w:t xml:space="preserve"> PLĖTROS PROBLEMŲ LIETUVOJE TYRIMO METODOLOGIJA</w:t>
      </w:r>
      <w:bookmarkEnd w:id="82"/>
      <w:bookmarkEnd w:id="83"/>
      <w:bookmarkEnd w:id="84"/>
      <w:bookmarkEnd w:id="85"/>
      <w:bookmarkEnd w:id="86"/>
      <w:bookmarkEnd w:id="87"/>
      <w:bookmarkEnd w:id="88"/>
      <w:bookmarkEnd w:id="89"/>
    </w:p>
    <w:p w:rsidR="00F77233" w:rsidRPr="00EC1AB2" w:rsidRDefault="00F77233" w:rsidP="007A02A8">
      <w:pPr>
        <w:pStyle w:val="Heading1"/>
        <w:spacing w:before="0" w:after="0" w:line="360" w:lineRule="auto"/>
        <w:rPr>
          <w:sz w:val="28"/>
          <w:szCs w:val="28"/>
        </w:rPr>
      </w:pPr>
    </w:p>
    <w:p w:rsidR="001D75B2" w:rsidRPr="00EC1AB2" w:rsidRDefault="000B7269"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Pirmoje šio skyriaus dalyje bus apžvel</w:t>
      </w:r>
      <w:r w:rsidR="001502F3" w:rsidRPr="00EC1AB2">
        <w:rPr>
          <w:rFonts w:ascii="Times New Roman" w:hAnsi="Times New Roman" w:cs="Times New Roman"/>
          <w:sz w:val="24"/>
          <w:szCs w:val="24"/>
        </w:rPr>
        <w:t>giami statistiniai RKF veiklą</w:t>
      </w:r>
      <w:r w:rsidRPr="00EC1AB2">
        <w:rPr>
          <w:rFonts w:ascii="Times New Roman" w:hAnsi="Times New Roman" w:cs="Times New Roman"/>
          <w:sz w:val="24"/>
          <w:szCs w:val="24"/>
        </w:rPr>
        <w:t xml:space="preserve"> atspindintys duomenys</w:t>
      </w:r>
      <w:r w:rsidR="00DB35F2" w:rsidRPr="00EC1AB2">
        <w:rPr>
          <w:rFonts w:ascii="Times New Roman" w:hAnsi="Times New Roman" w:cs="Times New Roman"/>
          <w:sz w:val="24"/>
          <w:szCs w:val="24"/>
        </w:rPr>
        <w:t xml:space="preserve"> bei kokybinių tyrimų, atliktų Lietuvoje, rezultatai</w:t>
      </w:r>
      <w:r w:rsidRPr="00EC1AB2">
        <w:rPr>
          <w:rFonts w:ascii="Times New Roman" w:hAnsi="Times New Roman" w:cs="Times New Roman"/>
          <w:sz w:val="24"/>
          <w:szCs w:val="24"/>
        </w:rPr>
        <w:t xml:space="preserve">, siekiant </w:t>
      </w:r>
      <w:r w:rsidR="00C2262E" w:rsidRPr="00EC1AB2">
        <w:rPr>
          <w:rFonts w:ascii="Times New Roman" w:hAnsi="Times New Roman" w:cs="Times New Roman"/>
          <w:sz w:val="24"/>
          <w:szCs w:val="24"/>
        </w:rPr>
        <w:t>pagrįsti tyrimo aktualumą, t.y.</w:t>
      </w:r>
      <w:r w:rsidR="00023CA6" w:rsidRPr="00EC1AB2">
        <w:rPr>
          <w:rFonts w:ascii="Times New Roman" w:hAnsi="Times New Roman" w:cs="Times New Roman"/>
          <w:sz w:val="24"/>
          <w:szCs w:val="24"/>
        </w:rPr>
        <w:t xml:space="preserve"> įvertinti</w:t>
      </w:r>
      <w:r w:rsidRPr="00EC1AB2">
        <w:rPr>
          <w:rFonts w:ascii="Times New Roman" w:hAnsi="Times New Roman" w:cs="Times New Roman"/>
          <w:sz w:val="24"/>
          <w:szCs w:val="24"/>
        </w:rPr>
        <w:t xml:space="preserve"> Lietuvos lygį ES kontekste. </w:t>
      </w:r>
      <w:r w:rsidR="001502F3" w:rsidRPr="00EC1AB2">
        <w:rPr>
          <w:rFonts w:ascii="Times New Roman" w:hAnsi="Times New Roman" w:cs="Times New Roman"/>
          <w:sz w:val="24"/>
          <w:szCs w:val="24"/>
        </w:rPr>
        <w:t>Antroje dalyje bus iškeliamos</w:t>
      </w:r>
      <w:r w:rsidRPr="00EC1AB2">
        <w:rPr>
          <w:rFonts w:ascii="Times New Roman" w:hAnsi="Times New Roman" w:cs="Times New Roman"/>
          <w:sz w:val="24"/>
          <w:szCs w:val="24"/>
        </w:rPr>
        <w:t xml:space="preserve"> t</w:t>
      </w:r>
      <w:r w:rsidR="00C07293" w:rsidRPr="00EC1AB2">
        <w:rPr>
          <w:rFonts w:ascii="Times New Roman" w:hAnsi="Times New Roman" w:cs="Times New Roman"/>
          <w:sz w:val="24"/>
          <w:szCs w:val="24"/>
        </w:rPr>
        <w:t>yrimo hipotezė</w:t>
      </w:r>
      <w:r w:rsidR="001502F3" w:rsidRPr="00EC1AB2">
        <w:rPr>
          <w:rFonts w:ascii="Times New Roman" w:hAnsi="Times New Roman" w:cs="Times New Roman"/>
          <w:sz w:val="24"/>
          <w:szCs w:val="24"/>
        </w:rPr>
        <w:t>s</w:t>
      </w:r>
      <w:r w:rsidR="00C07293" w:rsidRPr="00EC1AB2">
        <w:rPr>
          <w:rFonts w:ascii="Times New Roman" w:hAnsi="Times New Roman" w:cs="Times New Roman"/>
          <w:sz w:val="24"/>
          <w:szCs w:val="24"/>
        </w:rPr>
        <w:t>, aprašomi</w:t>
      </w:r>
      <w:r w:rsidRPr="00EC1AB2">
        <w:rPr>
          <w:rFonts w:ascii="Times New Roman" w:hAnsi="Times New Roman" w:cs="Times New Roman"/>
          <w:sz w:val="24"/>
          <w:szCs w:val="24"/>
        </w:rPr>
        <w:t xml:space="preserve"> tyrimo metoda</w:t>
      </w:r>
      <w:r w:rsidR="00C07293" w:rsidRPr="00EC1AB2">
        <w:rPr>
          <w:rFonts w:ascii="Times New Roman" w:hAnsi="Times New Roman" w:cs="Times New Roman"/>
          <w:sz w:val="24"/>
          <w:szCs w:val="24"/>
        </w:rPr>
        <w:t>i</w:t>
      </w:r>
      <w:r w:rsidRPr="00EC1AB2">
        <w:rPr>
          <w:rFonts w:ascii="Times New Roman" w:hAnsi="Times New Roman" w:cs="Times New Roman"/>
          <w:sz w:val="24"/>
          <w:szCs w:val="24"/>
        </w:rPr>
        <w:t xml:space="preserve"> bei eiga, siekiant </w:t>
      </w:r>
      <w:r w:rsidR="001502F3" w:rsidRPr="00EC1AB2">
        <w:rPr>
          <w:rFonts w:ascii="Times New Roman" w:hAnsi="Times New Roman" w:cs="Times New Roman"/>
          <w:sz w:val="24"/>
          <w:szCs w:val="24"/>
        </w:rPr>
        <w:t xml:space="preserve">nustatyti RKF investicijų poveikį šalies </w:t>
      </w:r>
      <w:r w:rsidR="00ED3C8F" w:rsidRPr="00EC1AB2">
        <w:rPr>
          <w:rFonts w:ascii="Times New Roman" w:hAnsi="Times New Roman" w:cs="Times New Roman"/>
          <w:sz w:val="24"/>
          <w:szCs w:val="24"/>
        </w:rPr>
        <w:t xml:space="preserve">pasiekimams inovacijų srityje bei </w:t>
      </w:r>
      <w:r w:rsidRPr="00EC1AB2">
        <w:rPr>
          <w:rFonts w:ascii="Times New Roman" w:hAnsi="Times New Roman" w:cs="Times New Roman"/>
          <w:sz w:val="24"/>
          <w:szCs w:val="24"/>
        </w:rPr>
        <w:t xml:space="preserve">identifikuoti problemas, trukdančias rizikos kapitalo investicijoms plėtotis Lietuvoje. </w:t>
      </w:r>
    </w:p>
    <w:p w:rsidR="00C07293" w:rsidRPr="00EC1AB2" w:rsidRDefault="00C07293" w:rsidP="007A02A8">
      <w:pPr>
        <w:spacing w:after="0" w:line="360" w:lineRule="auto"/>
        <w:jc w:val="both"/>
        <w:rPr>
          <w:rFonts w:ascii="Times New Roman" w:hAnsi="Times New Roman" w:cs="Times New Roman"/>
          <w:sz w:val="24"/>
          <w:szCs w:val="24"/>
        </w:rPr>
      </w:pPr>
    </w:p>
    <w:p w:rsidR="00813A70" w:rsidRPr="00EC1AB2" w:rsidRDefault="00812D85" w:rsidP="00812D85">
      <w:pPr>
        <w:pStyle w:val="Heading2"/>
        <w:numPr>
          <w:ilvl w:val="1"/>
          <w:numId w:val="32"/>
        </w:numPr>
        <w:spacing w:before="0" w:after="0" w:line="360" w:lineRule="auto"/>
        <w:rPr>
          <w:i w:val="0"/>
          <w:sz w:val="24"/>
          <w:szCs w:val="24"/>
        </w:rPr>
      </w:pPr>
      <w:bookmarkStart w:id="90" w:name="_Toc320566997"/>
      <w:bookmarkStart w:id="91" w:name="_Toc320567037"/>
      <w:bookmarkStart w:id="92" w:name="_Toc320567184"/>
      <w:bookmarkStart w:id="93" w:name="_Toc320761767"/>
      <w:bookmarkStart w:id="94" w:name="_Toc320761917"/>
      <w:bookmarkStart w:id="95" w:name="_Toc320762152"/>
      <w:bookmarkStart w:id="96" w:name="_Toc320762554"/>
      <w:r w:rsidRPr="00EC1AB2">
        <w:rPr>
          <w:i w:val="0"/>
          <w:sz w:val="24"/>
          <w:szCs w:val="24"/>
        </w:rPr>
        <w:t xml:space="preserve"> </w:t>
      </w:r>
      <w:bookmarkStart w:id="97" w:name="_Toc321092700"/>
      <w:r w:rsidR="007711C9" w:rsidRPr="00EC1AB2">
        <w:rPr>
          <w:i w:val="0"/>
          <w:sz w:val="24"/>
          <w:szCs w:val="24"/>
        </w:rPr>
        <w:t>Rizikos kapitalo fondų</w:t>
      </w:r>
      <w:r w:rsidR="00C07293" w:rsidRPr="00EC1AB2">
        <w:rPr>
          <w:i w:val="0"/>
          <w:sz w:val="24"/>
          <w:szCs w:val="24"/>
        </w:rPr>
        <w:t xml:space="preserve"> plėtros problemų Lietuvoje tyrimo pagrindimas</w:t>
      </w:r>
      <w:bookmarkEnd w:id="90"/>
      <w:bookmarkEnd w:id="91"/>
      <w:bookmarkEnd w:id="92"/>
      <w:bookmarkEnd w:id="93"/>
      <w:bookmarkEnd w:id="94"/>
      <w:bookmarkEnd w:id="95"/>
      <w:bookmarkEnd w:id="96"/>
      <w:bookmarkEnd w:id="97"/>
    </w:p>
    <w:p w:rsidR="00C07293" w:rsidRPr="00EC1AB2" w:rsidRDefault="00C07293" w:rsidP="007A02A8">
      <w:pPr>
        <w:pStyle w:val="ListParagraph"/>
        <w:spacing w:after="0" w:line="360" w:lineRule="auto"/>
        <w:rPr>
          <w:rFonts w:ascii="Times New Roman" w:hAnsi="Times New Roman" w:cs="Times New Roman"/>
          <w:b/>
          <w:sz w:val="24"/>
          <w:szCs w:val="24"/>
        </w:rPr>
      </w:pPr>
    </w:p>
    <w:p w:rsidR="00813A70" w:rsidRPr="00EC1AB2" w:rsidRDefault="00813A70"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Aktyvios rizikos kapitalo rinkos sukūrimas, t.y. tokios rinkos, kuri teiktų stiprią paramą ankstyvos stadijos ir moderniųjų technologijų įmonėms, tapo ekonominės politikos prioritetu. Šiame amžiuje, kaip jau minėta, stabilų ekonomikos augimą didžia dalimi lemia šalyje esantis inovacijų ir verslumo lygis, todėl pasaulio vyriausybės įvairiais būdais stengiasi, kad j</w:t>
      </w:r>
      <w:r w:rsidR="00541ED5" w:rsidRPr="00EC1AB2">
        <w:rPr>
          <w:rFonts w:ascii="Times New Roman" w:hAnsi="Times New Roman" w:cs="Times New Roman"/>
          <w:sz w:val="24"/>
          <w:szCs w:val="24"/>
        </w:rPr>
        <w:t>ų šalyje RKF</w:t>
      </w:r>
      <w:r w:rsidRPr="00EC1AB2">
        <w:rPr>
          <w:rFonts w:ascii="Times New Roman" w:hAnsi="Times New Roman" w:cs="Times New Roman"/>
          <w:sz w:val="24"/>
          <w:szCs w:val="24"/>
        </w:rPr>
        <w:t xml:space="preserve"> pasiektų tokią pat sėkmę kaip JAV, tačiau rizikos kapitalo fondų </w:t>
      </w:r>
      <w:r w:rsidR="006F2F51" w:rsidRPr="00EC1AB2">
        <w:rPr>
          <w:rFonts w:ascii="Times New Roman" w:hAnsi="Times New Roman" w:cs="Times New Roman"/>
          <w:sz w:val="24"/>
          <w:szCs w:val="24"/>
        </w:rPr>
        <w:t xml:space="preserve">prieinamumas nevisose šalyse vienodas (žr. </w:t>
      </w:r>
      <w:r w:rsidR="0049040A" w:rsidRPr="00EC1AB2">
        <w:rPr>
          <w:rFonts w:ascii="Times New Roman" w:hAnsi="Times New Roman" w:cs="Times New Roman"/>
          <w:sz w:val="24"/>
          <w:szCs w:val="24"/>
        </w:rPr>
        <w:t>5</w:t>
      </w:r>
      <w:r w:rsidR="006F2F51" w:rsidRPr="00EC1AB2">
        <w:rPr>
          <w:rFonts w:ascii="Times New Roman" w:hAnsi="Times New Roman" w:cs="Times New Roman"/>
          <w:sz w:val="24"/>
          <w:szCs w:val="24"/>
        </w:rPr>
        <w:t xml:space="preserve"> pav.).</w:t>
      </w:r>
      <w:r w:rsidRPr="00EC1AB2">
        <w:rPr>
          <w:rFonts w:ascii="Times New Roman" w:hAnsi="Times New Roman" w:cs="Times New Roman"/>
          <w:sz w:val="24"/>
          <w:szCs w:val="24"/>
        </w:rPr>
        <w:t xml:space="preserve"> </w:t>
      </w:r>
      <w:r w:rsidR="000C7B00" w:rsidRPr="00EC1AB2">
        <w:rPr>
          <w:rFonts w:ascii="Times New Roman" w:hAnsi="Times New Roman" w:cs="Times New Roman"/>
          <w:sz w:val="24"/>
          <w:szCs w:val="24"/>
        </w:rPr>
        <w:t xml:space="preserve"> </w:t>
      </w:r>
    </w:p>
    <w:p w:rsidR="00813A70" w:rsidRPr="00EC1AB2" w:rsidRDefault="00813A70" w:rsidP="007A02A8">
      <w:pPr>
        <w:spacing w:after="0" w:line="360" w:lineRule="auto"/>
        <w:ind w:firstLine="1296"/>
        <w:jc w:val="both"/>
        <w:rPr>
          <w:rFonts w:ascii="Times New Roman" w:hAnsi="Times New Roman" w:cs="Times New Roman"/>
          <w:sz w:val="24"/>
          <w:szCs w:val="24"/>
        </w:rPr>
      </w:pPr>
    </w:p>
    <w:p w:rsidR="00813A70" w:rsidRPr="00EC1AB2" w:rsidRDefault="001F45AD" w:rsidP="007A02A8">
      <w:pPr>
        <w:spacing w:after="0" w:line="360" w:lineRule="auto"/>
        <w:ind w:firstLine="1296"/>
        <w:jc w:val="both"/>
        <w:rPr>
          <w:rFonts w:ascii="Times New Roman" w:hAnsi="Times New Roman" w:cs="Times New Roman"/>
          <w:sz w:val="24"/>
          <w:szCs w:val="24"/>
        </w:rPr>
      </w:pPr>
      <w:r w:rsidRPr="00EC1AB2">
        <w:rPr>
          <w:rFonts w:ascii="Times New Roman" w:hAnsi="Times New Roman" w:cs="Times New Roman"/>
          <w:noProof/>
          <w:lang w:eastAsia="lt-LT"/>
        </w:rPr>
        <w:drawing>
          <wp:anchor distT="0" distB="0" distL="114300" distR="114300" simplePos="0" relativeHeight="251843584" behindDoc="1" locked="0" layoutInCell="1" allowOverlap="1" wp14:anchorId="12F6B69B" wp14:editId="1DC80FD5">
            <wp:simplePos x="0" y="0"/>
            <wp:positionH relativeFrom="column">
              <wp:posOffset>53340</wp:posOffset>
            </wp:positionH>
            <wp:positionV relativeFrom="paragraph">
              <wp:posOffset>-2540</wp:posOffset>
            </wp:positionV>
            <wp:extent cx="5915025" cy="3390900"/>
            <wp:effectExtent l="0" t="0" r="0" b="0"/>
            <wp:wrapTight wrapText="bothSides">
              <wp:wrapPolygon edited="0">
                <wp:start x="139" y="243"/>
                <wp:lineTo x="139" y="4126"/>
                <wp:lineTo x="1461" y="4369"/>
                <wp:lineTo x="10783" y="4369"/>
                <wp:lineTo x="209" y="4854"/>
                <wp:lineTo x="209" y="5703"/>
                <wp:lineTo x="10783" y="6310"/>
                <wp:lineTo x="139" y="6431"/>
                <wp:lineTo x="139" y="10072"/>
                <wp:lineTo x="765" y="10193"/>
                <wp:lineTo x="10783" y="10193"/>
                <wp:lineTo x="209" y="10800"/>
                <wp:lineTo x="209" y="11649"/>
                <wp:lineTo x="10783" y="12135"/>
                <wp:lineTo x="278" y="12378"/>
                <wp:lineTo x="139" y="12620"/>
                <wp:lineTo x="487" y="14076"/>
                <wp:lineTo x="487" y="14319"/>
                <wp:lineTo x="1252" y="16018"/>
                <wp:lineTo x="1322" y="16989"/>
                <wp:lineTo x="1670" y="17960"/>
                <wp:lineTo x="2017" y="17960"/>
                <wp:lineTo x="1948" y="20751"/>
                <wp:lineTo x="12313" y="21236"/>
                <wp:lineTo x="12800" y="21236"/>
                <wp:lineTo x="12870" y="19901"/>
                <wp:lineTo x="13217" y="19658"/>
                <wp:lineTo x="14122" y="18202"/>
                <wp:lineTo x="20661" y="17838"/>
                <wp:lineTo x="21217" y="16746"/>
                <wp:lineTo x="20870" y="16018"/>
                <wp:lineTo x="21217" y="15775"/>
                <wp:lineTo x="20939" y="14562"/>
                <wp:lineTo x="974" y="14076"/>
                <wp:lineTo x="10713" y="12135"/>
                <wp:lineTo x="10713" y="10193"/>
                <wp:lineTo x="904" y="8252"/>
                <wp:lineTo x="10713" y="6310"/>
                <wp:lineTo x="10713" y="4369"/>
                <wp:lineTo x="974" y="2427"/>
                <wp:lineTo x="904" y="243"/>
                <wp:lineTo x="139" y="243"/>
              </wp:wrapPolygon>
            </wp:wrapTight>
            <wp:docPr id="135" name="Chart 1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page">
              <wp14:pctWidth>0</wp14:pctWidth>
            </wp14:sizeRelH>
            <wp14:sizeRelV relativeFrom="page">
              <wp14:pctHeight>0</wp14:pctHeight>
            </wp14:sizeRelV>
          </wp:anchor>
        </w:drawing>
      </w:r>
    </w:p>
    <w:p w:rsidR="00813A70" w:rsidRPr="00EC1AB2" w:rsidRDefault="00813A70" w:rsidP="007A02A8">
      <w:pPr>
        <w:spacing w:after="0" w:line="360" w:lineRule="auto"/>
        <w:ind w:firstLine="1296"/>
        <w:jc w:val="both"/>
        <w:rPr>
          <w:rFonts w:ascii="Times New Roman" w:hAnsi="Times New Roman" w:cs="Times New Roman"/>
          <w:sz w:val="24"/>
          <w:szCs w:val="24"/>
        </w:rPr>
      </w:pPr>
    </w:p>
    <w:p w:rsidR="00813A70" w:rsidRPr="00EC1AB2" w:rsidRDefault="00813A70" w:rsidP="007A02A8">
      <w:pPr>
        <w:spacing w:after="0" w:line="360" w:lineRule="auto"/>
        <w:ind w:firstLine="1296"/>
        <w:jc w:val="both"/>
        <w:rPr>
          <w:rFonts w:ascii="Times New Roman" w:hAnsi="Times New Roman" w:cs="Times New Roman"/>
          <w:sz w:val="24"/>
          <w:szCs w:val="24"/>
        </w:rPr>
      </w:pPr>
    </w:p>
    <w:p w:rsidR="00813A70" w:rsidRPr="00EC1AB2" w:rsidRDefault="00813A70" w:rsidP="007A02A8">
      <w:pPr>
        <w:spacing w:after="0" w:line="360" w:lineRule="auto"/>
        <w:ind w:firstLine="1296"/>
        <w:jc w:val="both"/>
        <w:rPr>
          <w:rFonts w:ascii="Times New Roman" w:hAnsi="Times New Roman" w:cs="Times New Roman"/>
          <w:sz w:val="24"/>
          <w:szCs w:val="24"/>
        </w:rPr>
      </w:pPr>
    </w:p>
    <w:p w:rsidR="00813A70" w:rsidRPr="00EC1AB2" w:rsidRDefault="00813A70" w:rsidP="007A02A8">
      <w:pPr>
        <w:spacing w:after="0" w:line="360" w:lineRule="auto"/>
        <w:ind w:firstLine="1296"/>
        <w:jc w:val="both"/>
        <w:rPr>
          <w:rFonts w:ascii="Times New Roman" w:hAnsi="Times New Roman" w:cs="Times New Roman"/>
          <w:sz w:val="24"/>
          <w:szCs w:val="24"/>
        </w:rPr>
      </w:pPr>
    </w:p>
    <w:p w:rsidR="00813A70" w:rsidRPr="00EC1AB2" w:rsidRDefault="00813A70" w:rsidP="007A02A8">
      <w:pPr>
        <w:spacing w:after="0" w:line="360" w:lineRule="auto"/>
        <w:ind w:firstLine="1296"/>
        <w:jc w:val="both"/>
        <w:rPr>
          <w:rFonts w:ascii="Times New Roman" w:hAnsi="Times New Roman" w:cs="Times New Roman"/>
          <w:sz w:val="24"/>
          <w:szCs w:val="24"/>
        </w:rPr>
      </w:pPr>
    </w:p>
    <w:p w:rsidR="00813A70" w:rsidRPr="00EC1AB2" w:rsidRDefault="00813A70" w:rsidP="007A02A8">
      <w:pPr>
        <w:spacing w:after="0" w:line="360" w:lineRule="auto"/>
        <w:ind w:firstLine="1296"/>
        <w:jc w:val="both"/>
        <w:rPr>
          <w:rFonts w:ascii="Times New Roman" w:hAnsi="Times New Roman" w:cs="Times New Roman"/>
          <w:sz w:val="24"/>
          <w:szCs w:val="24"/>
        </w:rPr>
      </w:pPr>
    </w:p>
    <w:p w:rsidR="00813A70" w:rsidRPr="00EC1AB2" w:rsidRDefault="00813A70" w:rsidP="007A02A8">
      <w:pPr>
        <w:spacing w:after="0" w:line="360" w:lineRule="auto"/>
        <w:ind w:firstLine="1296"/>
        <w:jc w:val="both"/>
        <w:rPr>
          <w:rFonts w:ascii="Times New Roman" w:hAnsi="Times New Roman" w:cs="Times New Roman"/>
          <w:sz w:val="24"/>
          <w:szCs w:val="24"/>
        </w:rPr>
      </w:pPr>
    </w:p>
    <w:p w:rsidR="00813A70" w:rsidRPr="00EC1AB2" w:rsidRDefault="00813A70" w:rsidP="007A02A8">
      <w:pPr>
        <w:spacing w:after="0" w:line="360" w:lineRule="auto"/>
        <w:ind w:firstLine="1296"/>
        <w:jc w:val="both"/>
        <w:rPr>
          <w:rFonts w:ascii="Times New Roman" w:hAnsi="Times New Roman" w:cs="Times New Roman"/>
          <w:sz w:val="24"/>
          <w:szCs w:val="24"/>
        </w:rPr>
      </w:pPr>
    </w:p>
    <w:p w:rsidR="00934F5C" w:rsidRPr="00EC1AB2" w:rsidRDefault="00934F5C" w:rsidP="007A02A8">
      <w:pPr>
        <w:tabs>
          <w:tab w:val="left" w:pos="4395"/>
        </w:tabs>
        <w:autoSpaceDE w:val="0"/>
        <w:autoSpaceDN w:val="0"/>
        <w:adjustRightInd w:val="0"/>
        <w:spacing w:after="0" w:line="360" w:lineRule="auto"/>
        <w:jc w:val="both"/>
        <w:rPr>
          <w:rFonts w:ascii="Times New Roman" w:hAnsi="Times New Roman" w:cs="Times New Roman"/>
          <w:b/>
          <w:sz w:val="20"/>
          <w:szCs w:val="20"/>
        </w:rPr>
      </w:pPr>
    </w:p>
    <w:p w:rsidR="001F45AD" w:rsidRPr="00EC1AB2" w:rsidRDefault="001F45AD" w:rsidP="007A02A8">
      <w:pPr>
        <w:tabs>
          <w:tab w:val="left" w:pos="4395"/>
        </w:tabs>
        <w:autoSpaceDE w:val="0"/>
        <w:autoSpaceDN w:val="0"/>
        <w:adjustRightInd w:val="0"/>
        <w:spacing w:after="0" w:line="360" w:lineRule="auto"/>
        <w:ind w:firstLine="1296"/>
        <w:jc w:val="both"/>
        <w:rPr>
          <w:rFonts w:ascii="Times New Roman" w:hAnsi="Times New Roman" w:cs="Times New Roman"/>
          <w:b/>
          <w:sz w:val="20"/>
          <w:szCs w:val="20"/>
        </w:rPr>
      </w:pPr>
    </w:p>
    <w:p w:rsidR="001F45AD" w:rsidRPr="00EC1AB2" w:rsidRDefault="001F45AD" w:rsidP="007A02A8">
      <w:pPr>
        <w:tabs>
          <w:tab w:val="left" w:pos="4395"/>
        </w:tabs>
        <w:autoSpaceDE w:val="0"/>
        <w:autoSpaceDN w:val="0"/>
        <w:adjustRightInd w:val="0"/>
        <w:spacing w:after="0" w:line="360" w:lineRule="auto"/>
        <w:ind w:firstLine="1296"/>
        <w:jc w:val="both"/>
        <w:rPr>
          <w:rFonts w:ascii="Times New Roman" w:hAnsi="Times New Roman" w:cs="Times New Roman"/>
          <w:b/>
          <w:sz w:val="20"/>
          <w:szCs w:val="20"/>
        </w:rPr>
      </w:pPr>
    </w:p>
    <w:p w:rsidR="001F45AD" w:rsidRPr="00EC1AB2" w:rsidRDefault="001F45AD" w:rsidP="007A02A8">
      <w:pPr>
        <w:tabs>
          <w:tab w:val="left" w:pos="4395"/>
        </w:tabs>
        <w:autoSpaceDE w:val="0"/>
        <w:autoSpaceDN w:val="0"/>
        <w:adjustRightInd w:val="0"/>
        <w:spacing w:after="0" w:line="360" w:lineRule="auto"/>
        <w:ind w:firstLine="1296"/>
        <w:jc w:val="both"/>
        <w:rPr>
          <w:rFonts w:ascii="Times New Roman" w:hAnsi="Times New Roman" w:cs="Times New Roman"/>
          <w:b/>
          <w:sz w:val="20"/>
          <w:szCs w:val="20"/>
        </w:rPr>
      </w:pPr>
    </w:p>
    <w:p w:rsidR="001F45AD" w:rsidRPr="00EC1AB2" w:rsidRDefault="001F45AD" w:rsidP="007A02A8">
      <w:pPr>
        <w:tabs>
          <w:tab w:val="left" w:pos="4395"/>
        </w:tabs>
        <w:autoSpaceDE w:val="0"/>
        <w:autoSpaceDN w:val="0"/>
        <w:adjustRightInd w:val="0"/>
        <w:spacing w:after="0" w:line="360" w:lineRule="auto"/>
        <w:ind w:firstLine="1296"/>
        <w:jc w:val="both"/>
        <w:rPr>
          <w:rFonts w:ascii="Times New Roman" w:hAnsi="Times New Roman" w:cs="Times New Roman"/>
          <w:b/>
          <w:sz w:val="20"/>
          <w:szCs w:val="20"/>
        </w:rPr>
      </w:pPr>
    </w:p>
    <w:p w:rsidR="004B011D" w:rsidRPr="00EC1AB2" w:rsidRDefault="004B011D" w:rsidP="007A02A8">
      <w:pPr>
        <w:tabs>
          <w:tab w:val="left" w:pos="4395"/>
        </w:tabs>
        <w:autoSpaceDE w:val="0"/>
        <w:autoSpaceDN w:val="0"/>
        <w:adjustRightInd w:val="0"/>
        <w:spacing w:after="0" w:line="360" w:lineRule="auto"/>
        <w:ind w:firstLine="1296"/>
        <w:jc w:val="both"/>
        <w:rPr>
          <w:rFonts w:ascii="Times New Roman" w:hAnsi="Times New Roman" w:cs="Times New Roman"/>
          <w:sz w:val="20"/>
          <w:szCs w:val="20"/>
        </w:rPr>
      </w:pPr>
      <w:r w:rsidRPr="00EC1AB2">
        <w:rPr>
          <w:rFonts w:ascii="Times New Roman" w:hAnsi="Times New Roman" w:cs="Times New Roman"/>
          <w:b/>
          <w:sz w:val="20"/>
          <w:szCs w:val="20"/>
        </w:rPr>
        <w:t>Šaltinis:</w:t>
      </w:r>
      <w:r w:rsidRPr="00EC1AB2">
        <w:rPr>
          <w:rFonts w:ascii="Times New Roman" w:hAnsi="Times New Roman" w:cs="Times New Roman"/>
          <w:sz w:val="20"/>
          <w:szCs w:val="20"/>
        </w:rPr>
        <w:t xml:space="preserve"> EVCA Yearbook, 2011</w:t>
      </w:r>
      <w:r w:rsidR="006D0E74" w:rsidRPr="00EC1AB2">
        <w:rPr>
          <w:rFonts w:ascii="Times New Roman" w:hAnsi="Times New Roman" w:cs="Times New Roman"/>
          <w:sz w:val="20"/>
          <w:szCs w:val="20"/>
        </w:rPr>
        <w:tab/>
      </w:r>
    </w:p>
    <w:p w:rsidR="00813A70" w:rsidRPr="00EC1AB2" w:rsidRDefault="0049040A" w:rsidP="007A02A8">
      <w:pPr>
        <w:pStyle w:val="Heading5"/>
        <w:spacing w:before="0" w:line="360" w:lineRule="auto"/>
        <w:jc w:val="center"/>
        <w:rPr>
          <w:rFonts w:ascii="Times New Roman" w:hAnsi="Times New Roman" w:cs="Times New Roman"/>
          <w:b/>
          <w:sz w:val="24"/>
          <w:szCs w:val="24"/>
        </w:rPr>
      </w:pPr>
      <w:bookmarkStart w:id="98" w:name="_Toc320761918"/>
      <w:bookmarkStart w:id="99" w:name="_Toc320762153"/>
      <w:bookmarkStart w:id="100" w:name="_Toc320762555"/>
      <w:r w:rsidRPr="00EC1AB2">
        <w:rPr>
          <w:rFonts w:ascii="Times New Roman" w:hAnsi="Times New Roman" w:cs="Times New Roman"/>
          <w:color w:val="auto"/>
          <w:sz w:val="24"/>
          <w:szCs w:val="24"/>
        </w:rPr>
        <w:t>5</w:t>
      </w:r>
      <w:r w:rsidR="004B011D" w:rsidRPr="00EC1AB2">
        <w:rPr>
          <w:rFonts w:ascii="Times New Roman" w:hAnsi="Times New Roman" w:cs="Times New Roman"/>
          <w:color w:val="auto"/>
          <w:sz w:val="24"/>
          <w:szCs w:val="24"/>
        </w:rPr>
        <w:t xml:space="preserve"> pav.</w:t>
      </w:r>
      <w:r w:rsidR="004B011D" w:rsidRPr="00EC1AB2">
        <w:rPr>
          <w:rFonts w:ascii="Times New Roman" w:hAnsi="Times New Roman" w:cs="Times New Roman"/>
          <w:b/>
          <w:color w:val="auto"/>
          <w:sz w:val="24"/>
          <w:szCs w:val="24"/>
        </w:rPr>
        <w:t xml:space="preserve"> </w:t>
      </w:r>
      <w:r w:rsidR="008A1800" w:rsidRPr="00EC1AB2">
        <w:rPr>
          <w:rFonts w:ascii="Times New Roman" w:hAnsi="Times New Roman" w:cs="Times New Roman"/>
          <w:b/>
          <w:color w:val="auto"/>
          <w:sz w:val="24"/>
          <w:szCs w:val="24"/>
        </w:rPr>
        <w:t>Rizikos kapitalo fondų</w:t>
      </w:r>
      <w:r w:rsidR="007E362E" w:rsidRPr="00EC1AB2">
        <w:rPr>
          <w:rFonts w:ascii="Times New Roman" w:hAnsi="Times New Roman" w:cs="Times New Roman"/>
          <w:b/>
          <w:color w:val="auto"/>
          <w:sz w:val="24"/>
          <w:szCs w:val="24"/>
        </w:rPr>
        <w:t xml:space="preserve"> investicijų santykis su</w:t>
      </w:r>
      <w:r w:rsidR="004B011D" w:rsidRPr="00EC1AB2">
        <w:rPr>
          <w:rFonts w:ascii="Times New Roman" w:hAnsi="Times New Roman" w:cs="Times New Roman"/>
          <w:b/>
          <w:color w:val="auto"/>
          <w:sz w:val="24"/>
          <w:szCs w:val="24"/>
        </w:rPr>
        <w:t xml:space="preserve"> BVP</w:t>
      </w:r>
      <w:r w:rsidR="00EC6B84" w:rsidRPr="00EC1AB2">
        <w:rPr>
          <w:rFonts w:ascii="Times New Roman" w:hAnsi="Times New Roman" w:cs="Times New Roman"/>
          <w:b/>
          <w:color w:val="auto"/>
          <w:sz w:val="24"/>
          <w:szCs w:val="24"/>
        </w:rPr>
        <w:t xml:space="preserve"> ES</w:t>
      </w:r>
      <w:r w:rsidR="00640F28" w:rsidRPr="00EC1AB2">
        <w:rPr>
          <w:rFonts w:ascii="Times New Roman" w:hAnsi="Times New Roman" w:cs="Times New Roman"/>
          <w:b/>
          <w:color w:val="auto"/>
          <w:sz w:val="24"/>
          <w:szCs w:val="24"/>
        </w:rPr>
        <w:t xml:space="preserve"> 2010 m.</w:t>
      </w:r>
      <w:r w:rsidR="007E362E" w:rsidRPr="00EC1AB2">
        <w:rPr>
          <w:rFonts w:ascii="Times New Roman" w:hAnsi="Times New Roman" w:cs="Times New Roman"/>
          <w:b/>
          <w:color w:val="auto"/>
          <w:sz w:val="24"/>
          <w:szCs w:val="24"/>
        </w:rPr>
        <w:t>, proc.</w:t>
      </w:r>
      <w:bookmarkEnd w:id="98"/>
      <w:bookmarkEnd w:id="99"/>
      <w:bookmarkEnd w:id="100"/>
    </w:p>
    <w:p w:rsidR="00B971B2" w:rsidRPr="00EC1AB2" w:rsidRDefault="00B971B2" w:rsidP="007A02A8">
      <w:pPr>
        <w:spacing w:after="0" w:line="360" w:lineRule="auto"/>
        <w:ind w:firstLine="1296"/>
        <w:jc w:val="both"/>
        <w:rPr>
          <w:rFonts w:ascii="Times New Roman" w:hAnsi="Times New Roman" w:cs="Times New Roman"/>
          <w:sz w:val="24"/>
          <w:szCs w:val="24"/>
        </w:rPr>
      </w:pPr>
    </w:p>
    <w:p w:rsidR="00EC6B84" w:rsidRPr="00EC1AB2" w:rsidRDefault="00EC6B84" w:rsidP="007A02A8">
      <w:pPr>
        <w:spacing w:after="0" w:line="360" w:lineRule="auto"/>
        <w:ind w:firstLine="1296"/>
        <w:jc w:val="both"/>
        <w:rPr>
          <w:rFonts w:ascii="Times New Roman" w:hAnsi="Times New Roman" w:cs="Times New Roman"/>
          <w:sz w:val="24"/>
          <w:szCs w:val="24"/>
        </w:rPr>
      </w:pPr>
      <w:r w:rsidRPr="00EC1AB2">
        <w:rPr>
          <w:rFonts w:ascii="Times New Roman" w:hAnsi="Times New Roman" w:cs="Times New Roman"/>
          <w:sz w:val="24"/>
          <w:szCs w:val="24"/>
        </w:rPr>
        <w:t xml:space="preserve">Kaip matyti iš </w:t>
      </w:r>
      <w:r w:rsidR="0049040A" w:rsidRPr="00EC1AB2">
        <w:rPr>
          <w:rFonts w:ascii="Times New Roman" w:hAnsi="Times New Roman" w:cs="Times New Roman"/>
          <w:sz w:val="24"/>
          <w:szCs w:val="24"/>
        </w:rPr>
        <w:t>5</w:t>
      </w:r>
      <w:r w:rsidRPr="00EC1AB2">
        <w:rPr>
          <w:rFonts w:ascii="Times New Roman" w:hAnsi="Times New Roman" w:cs="Times New Roman"/>
          <w:sz w:val="24"/>
          <w:szCs w:val="24"/>
        </w:rPr>
        <w:t xml:space="preserve"> pav. Lietuvoje </w:t>
      </w:r>
      <w:r w:rsidR="004B464D" w:rsidRPr="00EC1AB2">
        <w:rPr>
          <w:rFonts w:ascii="Times New Roman" w:hAnsi="Times New Roman" w:cs="Times New Roman"/>
          <w:sz w:val="24"/>
          <w:szCs w:val="24"/>
        </w:rPr>
        <w:t xml:space="preserve">2010 m. </w:t>
      </w:r>
      <w:r w:rsidRPr="00EC1AB2">
        <w:rPr>
          <w:rFonts w:ascii="Times New Roman" w:hAnsi="Times New Roman" w:cs="Times New Roman"/>
          <w:sz w:val="24"/>
          <w:szCs w:val="24"/>
        </w:rPr>
        <w:t xml:space="preserve">RKF investicijų </w:t>
      </w:r>
      <w:r w:rsidR="004B464D" w:rsidRPr="00EC1AB2">
        <w:rPr>
          <w:rFonts w:ascii="Times New Roman" w:hAnsi="Times New Roman" w:cs="Times New Roman"/>
          <w:sz w:val="24"/>
          <w:szCs w:val="24"/>
        </w:rPr>
        <w:t>santykis su BVP buvo mažiausias</w:t>
      </w:r>
      <w:r w:rsidR="00D43D76" w:rsidRPr="00EC1AB2">
        <w:rPr>
          <w:rFonts w:ascii="Times New Roman" w:hAnsi="Times New Roman" w:cs="Times New Roman"/>
          <w:sz w:val="24"/>
          <w:szCs w:val="24"/>
        </w:rPr>
        <w:t xml:space="preserve"> ES, be to Lietuva stipriai atsiliko</w:t>
      </w:r>
      <w:r w:rsidR="00023CA6" w:rsidRPr="00EC1AB2">
        <w:rPr>
          <w:rFonts w:ascii="Times New Roman" w:hAnsi="Times New Roman" w:cs="Times New Roman"/>
          <w:sz w:val="24"/>
          <w:szCs w:val="24"/>
        </w:rPr>
        <w:t xml:space="preserve"> </w:t>
      </w:r>
      <w:r w:rsidRPr="00EC1AB2">
        <w:rPr>
          <w:rFonts w:ascii="Times New Roman" w:hAnsi="Times New Roman" w:cs="Times New Roman"/>
          <w:sz w:val="24"/>
          <w:szCs w:val="24"/>
        </w:rPr>
        <w:t>i</w:t>
      </w:r>
      <w:r w:rsidR="00157D87" w:rsidRPr="00EC1AB2">
        <w:rPr>
          <w:rFonts w:ascii="Times New Roman" w:hAnsi="Times New Roman" w:cs="Times New Roman"/>
          <w:sz w:val="24"/>
          <w:szCs w:val="24"/>
        </w:rPr>
        <w:t>r nuo C</w:t>
      </w:r>
      <w:r w:rsidR="00932640" w:rsidRPr="00EC1AB2">
        <w:rPr>
          <w:rFonts w:ascii="Times New Roman" w:hAnsi="Times New Roman" w:cs="Times New Roman"/>
          <w:sz w:val="24"/>
          <w:szCs w:val="24"/>
        </w:rPr>
        <w:t>E</w:t>
      </w:r>
      <w:r w:rsidR="00B04ABB" w:rsidRPr="00EC1AB2">
        <w:rPr>
          <w:rFonts w:ascii="Times New Roman" w:hAnsi="Times New Roman" w:cs="Times New Roman"/>
          <w:sz w:val="24"/>
          <w:szCs w:val="24"/>
        </w:rPr>
        <w:t xml:space="preserve">E </w:t>
      </w:r>
      <w:r w:rsidRPr="00EC1AB2">
        <w:rPr>
          <w:rFonts w:ascii="Times New Roman" w:hAnsi="Times New Roman" w:cs="Times New Roman"/>
          <w:sz w:val="24"/>
          <w:szCs w:val="24"/>
        </w:rPr>
        <w:t>šalių vidurkio.</w:t>
      </w:r>
      <w:r w:rsidR="004B464D" w:rsidRPr="00EC1AB2">
        <w:rPr>
          <w:rFonts w:ascii="Times New Roman" w:hAnsi="Times New Roman" w:cs="Times New Roman"/>
          <w:sz w:val="24"/>
          <w:szCs w:val="24"/>
        </w:rPr>
        <w:t xml:space="preserve"> </w:t>
      </w:r>
    </w:p>
    <w:p w:rsidR="001F45AD" w:rsidRPr="00EC1AB2" w:rsidRDefault="001F45AD" w:rsidP="007A02A8">
      <w:pPr>
        <w:spacing w:after="0" w:line="360" w:lineRule="auto"/>
        <w:ind w:firstLine="1296"/>
        <w:jc w:val="both"/>
        <w:rPr>
          <w:rFonts w:ascii="Times New Roman" w:hAnsi="Times New Roman" w:cs="Times New Roman"/>
          <w:sz w:val="24"/>
          <w:szCs w:val="24"/>
        </w:rPr>
      </w:pPr>
      <w:r w:rsidRPr="00EC1AB2">
        <w:rPr>
          <w:rFonts w:ascii="Times New Roman" w:hAnsi="Times New Roman" w:cs="Times New Roman"/>
          <w:sz w:val="24"/>
          <w:szCs w:val="24"/>
        </w:rPr>
        <w:lastRenderedPageBreak/>
        <w:t>Kaip teigiama World Competitiveness Report 2010–2011</w:t>
      </w:r>
      <w:r w:rsidR="007D42EE" w:rsidRPr="00EC1AB2">
        <w:rPr>
          <w:rFonts w:ascii="Times New Roman" w:hAnsi="Times New Roman" w:cs="Times New Roman"/>
          <w:sz w:val="24"/>
          <w:szCs w:val="24"/>
        </w:rPr>
        <w:t xml:space="preserve"> m.</w:t>
      </w:r>
      <w:r w:rsidRPr="00EC1AB2">
        <w:rPr>
          <w:rFonts w:ascii="Times New Roman" w:hAnsi="Times New Roman" w:cs="Times New Roman"/>
          <w:sz w:val="24"/>
          <w:szCs w:val="24"/>
        </w:rPr>
        <w:t xml:space="preserve"> rizikos kapitalas</w:t>
      </w:r>
      <w:r w:rsidR="00D43D76" w:rsidRPr="00EC1AB2">
        <w:rPr>
          <w:rFonts w:ascii="Times New Roman" w:hAnsi="Times New Roman" w:cs="Times New Roman"/>
          <w:sz w:val="24"/>
          <w:szCs w:val="24"/>
        </w:rPr>
        <w:t xml:space="preserve"> verslo plėtrai labiausiai buvo </w:t>
      </w:r>
      <w:r w:rsidRPr="00EC1AB2">
        <w:rPr>
          <w:rFonts w:ascii="Times New Roman" w:hAnsi="Times New Roman" w:cs="Times New Roman"/>
          <w:sz w:val="24"/>
          <w:szCs w:val="24"/>
        </w:rPr>
        <w:t xml:space="preserve">prieinamas Honkonge, Norvegijoje bei Singapūre. </w:t>
      </w:r>
      <w:r w:rsidR="00D43D76" w:rsidRPr="00EC1AB2">
        <w:rPr>
          <w:rFonts w:ascii="Times New Roman" w:hAnsi="Times New Roman" w:cs="Times New Roman"/>
          <w:sz w:val="24"/>
          <w:szCs w:val="24"/>
        </w:rPr>
        <w:t>Lietuva pagal r</w:t>
      </w:r>
      <w:r w:rsidRPr="00EC1AB2">
        <w:rPr>
          <w:rFonts w:ascii="Times New Roman" w:hAnsi="Times New Roman" w:cs="Times New Roman"/>
          <w:sz w:val="24"/>
          <w:szCs w:val="24"/>
        </w:rPr>
        <w:t>izikos kapitalo prieinamum</w:t>
      </w:r>
      <w:r w:rsidR="00D43D76" w:rsidRPr="00EC1AB2">
        <w:rPr>
          <w:rFonts w:ascii="Times New Roman" w:hAnsi="Times New Roman" w:cs="Times New Roman"/>
          <w:sz w:val="24"/>
          <w:szCs w:val="24"/>
        </w:rPr>
        <w:t xml:space="preserve">ą buvo </w:t>
      </w:r>
      <w:r w:rsidRPr="00EC1AB2">
        <w:rPr>
          <w:rFonts w:ascii="Times New Roman" w:hAnsi="Times New Roman" w:cs="Times New Roman"/>
          <w:sz w:val="24"/>
          <w:szCs w:val="24"/>
        </w:rPr>
        <w:t>103</w:t>
      </w:r>
      <w:r w:rsidR="00A51A01" w:rsidRPr="00EC1AB2">
        <w:rPr>
          <w:rFonts w:ascii="Times New Roman" w:hAnsi="Times New Roman" w:cs="Times New Roman"/>
          <w:sz w:val="24"/>
          <w:szCs w:val="24"/>
        </w:rPr>
        <w:t>-</w:t>
      </w:r>
      <w:r w:rsidR="00D43D76" w:rsidRPr="00EC1AB2">
        <w:rPr>
          <w:rFonts w:ascii="Times New Roman" w:hAnsi="Times New Roman" w:cs="Times New Roman"/>
          <w:sz w:val="24"/>
          <w:szCs w:val="24"/>
        </w:rPr>
        <w:t>oje vietoje</w:t>
      </w:r>
      <w:r w:rsidRPr="00EC1AB2">
        <w:rPr>
          <w:rFonts w:ascii="Times New Roman" w:hAnsi="Times New Roman" w:cs="Times New Roman"/>
          <w:sz w:val="24"/>
          <w:szCs w:val="24"/>
        </w:rPr>
        <w:t xml:space="preserve"> iš 139 pasaulio valstybių</w:t>
      </w:r>
      <w:r w:rsidR="006E674C" w:rsidRPr="00EC1AB2">
        <w:rPr>
          <w:rFonts w:ascii="Times New Roman" w:hAnsi="Times New Roman" w:cs="Times New Roman"/>
          <w:sz w:val="24"/>
          <w:szCs w:val="24"/>
        </w:rPr>
        <w:t>.</w:t>
      </w:r>
      <w:r w:rsidR="00904886" w:rsidRPr="00EC1AB2">
        <w:rPr>
          <w:rFonts w:ascii="Times New Roman" w:hAnsi="Times New Roman" w:cs="Times New Roman"/>
          <w:sz w:val="24"/>
          <w:szCs w:val="24"/>
        </w:rPr>
        <w:t xml:space="preserve"> </w:t>
      </w:r>
    </w:p>
    <w:p w:rsidR="007D42EE" w:rsidRPr="00EC1AB2" w:rsidRDefault="0036634F" w:rsidP="007A02A8">
      <w:pPr>
        <w:spacing w:after="0" w:line="360" w:lineRule="auto"/>
        <w:ind w:firstLine="1296"/>
        <w:jc w:val="both"/>
        <w:rPr>
          <w:rFonts w:ascii="Times New Roman" w:hAnsi="Times New Roman" w:cs="Times New Roman"/>
          <w:sz w:val="24"/>
          <w:szCs w:val="24"/>
        </w:rPr>
      </w:pPr>
      <w:r w:rsidRPr="00EC1AB2">
        <w:rPr>
          <w:rFonts w:ascii="Times New Roman" w:hAnsi="Times New Roman" w:cs="Times New Roman"/>
          <w:sz w:val="24"/>
          <w:szCs w:val="24"/>
        </w:rPr>
        <w:t xml:space="preserve">RKF investicijų dinamika 2004-2010 m. Lietuvoje bei kitose Baltijos valstybėse pateikta </w:t>
      </w:r>
      <w:r w:rsidR="0049040A" w:rsidRPr="00EC1AB2">
        <w:rPr>
          <w:rFonts w:ascii="Times New Roman" w:hAnsi="Times New Roman" w:cs="Times New Roman"/>
          <w:sz w:val="24"/>
          <w:szCs w:val="24"/>
        </w:rPr>
        <w:t>6</w:t>
      </w:r>
      <w:r w:rsidRPr="00EC1AB2">
        <w:rPr>
          <w:rFonts w:ascii="Times New Roman" w:hAnsi="Times New Roman" w:cs="Times New Roman"/>
          <w:sz w:val="24"/>
          <w:szCs w:val="24"/>
        </w:rPr>
        <w:t xml:space="preserve"> pav. </w:t>
      </w:r>
    </w:p>
    <w:p w:rsidR="0036634F" w:rsidRPr="00EC1AB2" w:rsidRDefault="0036634F" w:rsidP="007A02A8">
      <w:pPr>
        <w:spacing w:after="0" w:line="360" w:lineRule="auto"/>
        <w:ind w:firstLine="1296"/>
        <w:jc w:val="both"/>
        <w:rPr>
          <w:rFonts w:ascii="Times New Roman" w:hAnsi="Times New Roman" w:cs="Times New Roman"/>
          <w:sz w:val="24"/>
          <w:szCs w:val="24"/>
        </w:rPr>
      </w:pPr>
    </w:p>
    <w:p w:rsidR="00813A70" w:rsidRPr="00EC1AB2" w:rsidRDefault="004B1030" w:rsidP="007A02A8">
      <w:pPr>
        <w:spacing w:after="0" w:line="360" w:lineRule="auto"/>
        <w:ind w:firstLine="1296"/>
        <w:jc w:val="both"/>
        <w:rPr>
          <w:rFonts w:ascii="Times New Roman" w:hAnsi="Times New Roman" w:cs="Times New Roman"/>
          <w:sz w:val="24"/>
          <w:szCs w:val="24"/>
        </w:rPr>
      </w:pPr>
      <w:r w:rsidRPr="00EC1AB2">
        <w:rPr>
          <w:rFonts w:ascii="Times New Roman" w:hAnsi="Times New Roman" w:cs="Times New Roman"/>
          <w:noProof/>
          <w:lang w:eastAsia="lt-LT"/>
        </w:rPr>
        <w:drawing>
          <wp:anchor distT="0" distB="0" distL="114300" distR="114300" simplePos="0" relativeHeight="251844608" behindDoc="1" locked="0" layoutInCell="1" allowOverlap="1" wp14:anchorId="1F1428B6" wp14:editId="636A88C9">
            <wp:simplePos x="0" y="0"/>
            <wp:positionH relativeFrom="column">
              <wp:posOffset>217170</wp:posOffset>
            </wp:positionH>
            <wp:positionV relativeFrom="paragraph">
              <wp:posOffset>3810</wp:posOffset>
            </wp:positionV>
            <wp:extent cx="6120130" cy="3231515"/>
            <wp:effectExtent l="0" t="0" r="0" b="6985"/>
            <wp:wrapTight wrapText="bothSides">
              <wp:wrapPolygon edited="0">
                <wp:start x="67" y="255"/>
                <wp:lineTo x="67" y="3183"/>
                <wp:lineTo x="7665" y="4584"/>
                <wp:lineTo x="67" y="4584"/>
                <wp:lineTo x="67" y="5348"/>
                <wp:lineTo x="10757" y="6621"/>
                <wp:lineTo x="67" y="6621"/>
                <wp:lineTo x="67" y="7385"/>
                <wp:lineTo x="10757" y="8659"/>
                <wp:lineTo x="269" y="8786"/>
                <wp:lineTo x="269" y="9550"/>
                <wp:lineTo x="10757" y="10696"/>
                <wp:lineTo x="269" y="10823"/>
                <wp:lineTo x="269" y="11587"/>
                <wp:lineTo x="10757" y="12733"/>
                <wp:lineTo x="202" y="12861"/>
                <wp:lineTo x="202" y="13625"/>
                <wp:lineTo x="10757" y="14771"/>
                <wp:lineTo x="269" y="15025"/>
                <wp:lineTo x="269" y="15789"/>
                <wp:lineTo x="10757" y="16808"/>
                <wp:lineTo x="471" y="17063"/>
                <wp:lineTo x="471" y="18845"/>
                <wp:lineTo x="10757" y="18845"/>
                <wp:lineTo x="1950" y="19991"/>
                <wp:lineTo x="1883" y="20755"/>
                <wp:lineTo x="2757" y="21010"/>
                <wp:lineTo x="5580" y="21519"/>
                <wp:lineTo x="5849" y="21519"/>
                <wp:lineTo x="8673" y="21010"/>
                <wp:lineTo x="21515" y="20501"/>
                <wp:lineTo x="21515" y="20246"/>
                <wp:lineTo x="10757" y="18845"/>
                <wp:lineTo x="18086" y="18845"/>
                <wp:lineTo x="18086" y="17063"/>
                <wp:lineTo x="10757" y="16808"/>
                <wp:lineTo x="18960" y="15789"/>
                <wp:lineTo x="18960" y="15025"/>
                <wp:lineTo x="10757" y="14771"/>
                <wp:lineTo x="18960" y="13625"/>
                <wp:lineTo x="18960" y="12861"/>
                <wp:lineTo x="10757" y="12733"/>
                <wp:lineTo x="18960" y="11587"/>
                <wp:lineTo x="18960" y="10823"/>
                <wp:lineTo x="10757" y="10696"/>
                <wp:lineTo x="18960" y="9550"/>
                <wp:lineTo x="18960" y="8786"/>
                <wp:lineTo x="10757" y="8659"/>
                <wp:lineTo x="18960" y="7385"/>
                <wp:lineTo x="18960" y="6621"/>
                <wp:lineTo x="10757" y="6621"/>
                <wp:lineTo x="18960" y="5348"/>
                <wp:lineTo x="18960" y="4584"/>
                <wp:lineTo x="13178" y="4584"/>
                <wp:lineTo x="19027" y="3183"/>
                <wp:lineTo x="18960" y="255"/>
                <wp:lineTo x="67" y="255"/>
              </wp:wrapPolygon>
            </wp:wrapTight>
            <wp:docPr id="69" name="Chart 6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page">
              <wp14:pctWidth>0</wp14:pctWidth>
            </wp14:sizeRelH>
            <wp14:sizeRelV relativeFrom="page">
              <wp14:pctHeight>0</wp14:pctHeight>
            </wp14:sizeRelV>
          </wp:anchor>
        </w:drawing>
      </w:r>
    </w:p>
    <w:p w:rsidR="00813A70" w:rsidRPr="00EC1AB2" w:rsidRDefault="00813A70" w:rsidP="007A02A8">
      <w:pPr>
        <w:spacing w:after="0" w:line="360" w:lineRule="auto"/>
        <w:ind w:firstLine="1296"/>
        <w:jc w:val="both"/>
        <w:rPr>
          <w:rFonts w:ascii="Times New Roman" w:hAnsi="Times New Roman" w:cs="Times New Roman"/>
          <w:sz w:val="24"/>
          <w:szCs w:val="24"/>
        </w:rPr>
      </w:pPr>
    </w:p>
    <w:p w:rsidR="00813A70" w:rsidRPr="00EC1AB2" w:rsidRDefault="00813A70" w:rsidP="007A02A8">
      <w:pPr>
        <w:spacing w:after="0" w:line="360" w:lineRule="auto"/>
        <w:ind w:firstLine="1296"/>
        <w:jc w:val="both"/>
        <w:rPr>
          <w:rFonts w:ascii="Times New Roman" w:hAnsi="Times New Roman" w:cs="Times New Roman"/>
          <w:sz w:val="24"/>
          <w:szCs w:val="24"/>
        </w:rPr>
      </w:pPr>
    </w:p>
    <w:p w:rsidR="00813A70" w:rsidRPr="00EC1AB2" w:rsidRDefault="00813A70" w:rsidP="007A02A8">
      <w:pPr>
        <w:spacing w:after="0" w:line="360" w:lineRule="auto"/>
        <w:ind w:firstLine="1296"/>
        <w:jc w:val="both"/>
        <w:rPr>
          <w:rFonts w:ascii="Times New Roman" w:hAnsi="Times New Roman" w:cs="Times New Roman"/>
          <w:sz w:val="24"/>
          <w:szCs w:val="24"/>
        </w:rPr>
      </w:pPr>
    </w:p>
    <w:p w:rsidR="00813A70" w:rsidRPr="00EC1AB2" w:rsidRDefault="00813A70" w:rsidP="007A02A8">
      <w:pPr>
        <w:autoSpaceDE w:val="0"/>
        <w:autoSpaceDN w:val="0"/>
        <w:adjustRightInd w:val="0"/>
        <w:spacing w:after="0" w:line="360" w:lineRule="auto"/>
        <w:ind w:left="1296"/>
        <w:jc w:val="center"/>
        <w:rPr>
          <w:rFonts w:ascii="Times New Roman" w:hAnsi="Times New Roman" w:cs="Times New Roman"/>
          <w:b/>
          <w:sz w:val="28"/>
          <w:szCs w:val="28"/>
        </w:rPr>
      </w:pPr>
    </w:p>
    <w:p w:rsidR="007E362E" w:rsidRPr="00EC1AB2" w:rsidRDefault="007E362E" w:rsidP="007A02A8">
      <w:pPr>
        <w:autoSpaceDE w:val="0"/>
        <w:autoSpaceDN w:val="0"/>
        <w:adjustRightInd w:val="0"/>
        <w:spacing w:after="0" w:line="360" w:lineRule="auto"/>
        <w:ind w:left="1296"/>
        <w:jc w:val="center"/>
        <w:rPr>
          <w:rFonts w:ascii="Times New Roman" w:hAnsi="Times New Roman" w:cs="Times New Roman"/>
          <w:b/>
          <w:sz w:val="28"/>
          <w:szCs w:val="28"/>
        </w:rPr>
      </w:pPr>
    </w:p>
    <w:p w:rsidR="007E362E" w:rsidRPr="00EC1AB2" w:rsidRDefault="007E362E" w:rsidP="007A02A8">
      <w:pPr>
        <w:autoSpaceDE w:val="0"/>
        <w:autoSpaceDN w:val="0"/>
        <w:adjustRightInd w:val="0"/>
        <w:spacing w:after="0" w:line="360" w:lineRule="auto"/>
        <w:ind w:left="1296"/>
        <w:jc w:val="center"/>
        <w:rPr>
          <w:rFonts w:ascii="Times New Roman" w:hAnsi="Times New Roman" w:cs="Times New Roman"/>
          <w:b/>
          <w:sz w:val="28"/>
          <w:szCs w:val="28"/>
        </w:rPr>
      </w:pPr>
    </w:p>
    <w:p w:rsidR="007E362E" w:rsidRPr="00EC1AB2" w:rsidRDefault="007E362E" w:rsidP="007A02A8">
      <w:pPr>
        <w:autoSpaceDE w:val="0"/>
        <w:autoSpaceDN w:val="0"/>
        <w:adjustRightInd w:val="0"/>
        <w:spacing w:after="0" w:line="360" w:lineRule="auto"/>
        <w:ind w:left="1296"/>
        <w:jc w:val="center"/>
        <w:rPr>
          <w:rFonts w:ascii="Times New Roman" w:hAnsi="Times New Roman" w:cs="Times New Roman"/>
          <w:b/>
          <w:sz w:val="28"/>
          <w:szCs w:val="28"/>
        </w:rPr>
      </w:pPr>
    </w:p>
    <w:p w:rsidR="007E362E" w:rsidRPr="00EC1AB2" w:rsidRDefault="007E362E" w:rsidP="007A02A8">
      <w:pPr>
        <w:autoSpaceDE w:val="0"/>
        <w:autoSpaceDN w:val="0"/>
        <w:adjustRightInd w:val="0"/>
        <w:spacing w:after="0" w:line="360" w:lineRule="auto"/>
        <w:ind w:left="1296"/>
        <w:jc w:val="center"/>
        <w:rPr>
          <w:rFonts w:ascii="Times New Roman" w:hAnsi="Times New Roman" w:cs="Times New Roman"/>
          <w:b/>
          <w:sz w:val="28"/>
          <w:szCs w:val="28"/>
        </w:rPr>
      </w:pPr>
    </w:p>
    <w:p w:rsidR="007E362E" w:rsidRPr="00EC1AB2" w:rsidRDefault="007E362E" w:rsidP="007A02A8">
      <w:pPr>
        <w:autoSpaceDE w:val="0"/>
        <w:autoSpaceDN w:val="0"/>
        <w:adjustRightInd w:val="0"/>
        <w:spacing w:after="0" w:line="360" w:lineRule="auto"/>
        <w:ind w:left="1296"/>
        <w:jc w:val="center"/>
        <w:rPr>
          <w:rFonts w:ascii="Times New Roman" w:hAnsi="Times New Roman" w:cs="Times New Roman"/>
          <w:b/>
          <w:sz w:val="28"/>
          <w:szCs w:val="28"/>
        </w:rPr>
      </w:pPr>
    </w:p>
    <w:p w:rsidR="007E362E" w:rsidRPr="00EC1AB2" w:rsidRDefault="007E362E" w:rsidP="007A02A8">
      <w:pPr>
        <w:autoSpaceDE w:val="0"/>
        <w:autoSpaceDN w:val="0"/>
        <w:adjustRightInd w:val="0"/>
        <w:spacing w:after="0" w:line="360" w:lineRule="auto"/>
        <w:ind w:left="1296"/>
        <w:jc w:val="center"/>
        <w:rPr>
          <w:rFonts w:ascii="Times New Roman" w:hAnsi="Times New Roman" w:cs="Times New Roman"/>
          <w:b/>
          <w:sz w:val="28"/>
          <w:szCs w:val="28"/>
        </w:rPr>
      </w:pPr>
    </w:p>
    <w:p w:rsidR="007E362E" w:rsidRPr="00EC1AB2" w:rsidRDefault="007E362E" w:rsidP="007A02A8">
      <w:pPr>
        <w:autoSpaceDE w:val="0"/>
        <w:autoSpaceDN w:val="0"/>
        <w:adjustRightInd w:val="0"/>
        <w:spacing w:after="0" w:line="360" w:lineRule="auto"/>
        <w:rPr>
          <w:rFonts w:ascii="Times New Roman" w:hAnsi="Times New Roman" w:cs="Times New Roman"/>
          <w:b/>
          <w:sz w:val="28"/>
          <w:szCs w:val="28"/>
        </w:rPr>
      </w:pPr>
    </w:p>
    <w:p w:rsidR="006D0E74" w:rsidRPr="00EC1AB2" w:rsidRDefault="006D0E74" w:rsidP="007A02A8">
      <w:pPr>
        <w:tabs>
          <w:tab w:val="left" w:pos="4395"/>
        </w:tabs>
        <w:autoSpaceDE w:val="0"/>
        <w:autoSpaceDN w:val="0"/>
        <w:adjustRightInd w:val="0"/>
        <w:spacing w:after="0" w:line="360" w:lineRule="auto"/>
        <w:ind w:firstLine="1296"/>
        <w:jc w:val="both"/>
        <w:rPr>
          <w:rFonts w:ascii="Times New Roman" w:hAnsi="Times New Roman" w:cs="Times New Roman"/>
          <w:sz w:val="20"/>
          <w:szCs w:val="20"/>
        </w:rPr>
      </w:pPr>
      <w:r w:rsidRPr="00EC1AB2">
        <w:rPr>
          <w:rFonts w:ascii="Times New Roman" w:hAnsi="Times New Roman" w:cs="Times New Roman"/>
          <w:b/>
          <w:sz w:val="20"/>
          <w:szCs w:val="20"/>
        </w:rPr>
        <w:t>Šaltinis:</w:t>
      </w:r>
      <w:r w:rsidRPr="00EC1AB2">
        <w:rPr>
          <w:rFonts w:ascii="Times New Roman" w:hAnsi="Times New Roman" w:cs="Times New Roman"/>
          <w:sz w:val="20"/>
          <w:szCs w:val="20"/>
        </w:rPr>
        <w:t xml:space="preserve"> </w:t>
      </w:r>
      <w:r w:rsidR="002006D4" w:rsidRPr="00EC1AB2">
        <w:rPr>
          <w:rFonts w:ascii="Times New Roman" w:hAnsi="Times New Roman" w:cs="Times New Roman"/>
          <w:sz w:val="20"/>
          <w:szCs w:val="20"/>
        </w:rPr>
        <w:t xml:space="preserve">sudaryta pagal </w:t>
      </w:r>
      <w:r w:rsidRPr="00EC1AB2">
        <w:rPr>
          <w:rFonts w:ascii="Times New Roman" w:hAnsi="Times New Roman" w:cs="Times New Roman"/>
          <w:sz w:val="20"/>
          <w:szCs w:val="20"/>
        </w:rPr>
        <w:t>EVCA kasmet</w:t>
      </w:r>
      <w:r w:rsidR="002006D4" w:rsidRPr="00EC1AB2">
        <w:rPr>
          <w:rFonts w:ascii="Times New Roman" w:hAnsi="Times New Roman" w:cs="Times New Roman"/>
          <w:sz w:val="20"/>
          <w:szCs w:val="20"/>
        </w:rPr>
        <w:t>inius</w:t>
      </w:r>
      <w:r w:rsidRPr="00EC1AB2">
        <w:rPr>
          <w:rFonts w:ascii="Times New Roman" w:hAnsi="Times New Roman" w:cs="Times New Roman"/>
          <w:sz w:val="20"/>
          <w:szCs w:val="20"/>
        </w:rPr>
        <w:t xml:space="preserve"> </w:t>
      </w:r>
      <w:r w:rsidR="002006D4" w:rsidRPr="00EC1AB2">
        <w:rPr>
          <w:rFonts w:ascii="Times New Roman" w:hAnsi="Times New Roman" w:cs="Times New Roman"/>
          <w:sz w:val="20"/>
          <w:szCs w:val="20"/>
        </w:rPr>
        <w:t>statistikos leidinius,</w:t>
      </w:r>
      <w:r w:rsidRPr="00EC1AB2">
        <w:rPr>
          <w:rFonts w:ascii="Times New Roman" w:hAnsi="Times New Roman" w:cs="Times New Roman"/>
          <w:sz w:val="20"/>
          <w:szCs w:val="20"/>
        </w:rPr>
        <w:t xml:space="preserve"> 2005-2011</w:t>
      </w:r>
      <w:r w:rsidRPr="00EC1AB2">
        <w:rPr>
          <w:rFonts w:ascii="Times New Roman" w:hAnsi="Times New Roman" w:cs="Times New Roman"/>
          <w:sz w:val="20"/>
          <w:szCs w:val="20"/>
        </w:rPr>
        <w:tab/>
      </w:r>
    </w:p>
    <w:p w:rsidR="007E362E" w:rsidRPr="00EC1AB2" w:rsidRDefault="0049040A" w:rsidP="007A02A8">
      <w:pPr>
        <w:pStyle w:val="Heading5"/>
        <w:spacing w:before="0" w:line="360" w:lineRule="auto"/>
        <w:jc w:val="center"/>
        <w:rPr>
          <w:rFonts w:ascii="Times New Roman" w:hAnsi="Times New Roman" w:cs="Times New Roman"/>
          <w:b/>
          <w:color w:val="auto"/>
          <w:sz w:val="24"/>
          <w:szCs w:val="24"/>
        </w:rPr>
      </w:pPr>
      <w:bookmarkStart w:id="101" w:name="_Toc320761919"/>
      <w:bookmarkStart w:id="102" w:name="_Toc320762154"/>
      <w:bookmarkStart w:id="103" w:name="_Toc320762556"/>
      <w:r w:rsidRPr="00EC1AB2">
        <w:rPr>
          <w:rFonts w:ascii="Times New Roman" w:hAnsi="Times New Roman" w:cs="Times New Roman"/>
          <w:color w:val="auto"/>
          <w:sz w:val="24"/>
          <w:szCs w:val="24"/>
        </w:rPr>
        <w:t>6</w:t>
      </w:r>
      <w:r w:rsidR="006D0E74" w:rsidRPr="00EC1AB2">
        <w:rPr>
          <w:rFonts w:ascii="Times New Roman" w:hAnsi="Times New Roman" w:cs="Times New Roman"/>
          <w:color w:val="auto"/>
          <w:sz w:val="24"/>
          <w:szCs w:val="24"/>
        </w:rPr>
        <w:t xml:space="preserve"> pav.</w:t>
      </w:r>
      <w:r w:rsidR="006D0E74" w:rsidRPr="00EC1AB2">
        <w:rPr>
          <w:rFonts w:ascii="Times New Roman" w:hAnsi="Times New Roman" w:cs="Times New Roman"/>
          <w:b/>
          <w:color w:val="auto"/>
          <w:sz w:val="24"/>
          <w:szCs w:val="24"/>
        </w:rPr>
        <w:t xml:space="preserve"> </w:t>
      </w:r>
      <w:r w:rsidR="008A1800" w:rsidRPr="00EC1AB2">
        <w:rPr>
          <w:rFonts w:ascii="Times New Roman" w:hAnsi="Times New Roman" w:cs="Times New Roman"/>
          <w:b/>
          <w:color w:val="auto"/>
          <w:sz w:val="24"/>
          <w:szCs w:val="24"/>
        </w:rPr>
        <w:t>Rizikos kapitalo fondų</w:t>
      </w:r>
      <w:r w:rsidR="0066345D" w:rsidRPr="00EC1AB2">
        <w:rPr>
          <w:rFonts w:ascii="Times New Roman" w:hAnsi="Times New Roman" w:cs="Times New Roman"/>
          <w:b/>
          <w:color w:val="auto"/>
          <w:sz w:val="24"/>
          <w:szCs w:val="24"/>
        </w:rPr>
        <w:t xml:space="preserve"> investicijos</w:t>
      </w:r>
      <w:r w:rsidR="00C10816" w:rsidRPr="00EC1AB2">
        <w:rPr>
          <w:rFonts w:ascii="Times New Roman" w:hAnsi="Times New Roman" w:cs="Times New Roman"/>
          <w:b/>
          <w:color w:val="auto"/>
          <w:sz w:val="24"/>
          <w:szCs w:val="24"/>
        </w:rPr>
        <w:t xml:space="preserve"> </w:t>
      </w:r>
      <w:r w:rsidR="006D0E74" w:rsidRPr="00EC1AB2">
        <w:rPr>
          <w:rFonts w:ascii="Times New Roman" w:hAnsi="Times New Roman" w:cs="Times New Roman"/>
          <w:b/>
          <w:color w:val="auto"/>
          <w:sz w:val="24"/>
          <w:szCs w:val="24"/>
        </w:rPr>
        <w:t>Baltijos va</w:t>
      </w:r>
      <w:r w:rsidR="00837A89" w:rsidRPr="00EC1AB2">
        <w:rPr>
          <w:rFonts w:ascii="Times New Roman" w:hAnsi="Times New Roman" w:cs="Times New Roman"/>
          <w:b/>
          <w:color w:val="auto"/>
          <w:sz w:val="24"/>
          <w:szCs w:val="24"/>
        </w:rPr>
        <w:t>l</w:t>
      </w:r>
      <w:r w:rsidR="006D0E74" w:rsidRPr="00EC1AB2">
        <w:rPr>
          <w:rFonts w:ascii="Times New Roman" w:hAnsi="Times New Roman" w:cs="Times New Roman"/>
          <w:b/>
          <w:color w:val="auto"/>
          <w:sz w:val="24"/>
          <w:szCs w:val="24"/>
        </w:rPr>
        <w:t>stybėse 2004-2010 m.</w:t>
      </w:r>
      <w:r w:rsidR="00C10816" w:rsidRPr="00EC1AB2">
        <w:rPr>
          <w:rFonts w:ascii="Times New Roman" w:hAnsi="Times New Roman" w:cs="Times New Roman"/>
          <w:b/>
          <w:color w:val="auto"/>
          <w:sz w:val="24"/>
          <w:szCs w:val="24"/>
        </w:rPr>
        <w:t>, mln. EUR</w:t>
      </w:r>
      <w:bookmarkEnd w:id="101"/>
      <w:bookmarkEnd w:id="102"/>
      <w:bookmarkEnd w:id="103"/>
    </w:p>
    <w:p w:rsidR="007E362E" w:rsidRPr="00EC1AB2" w:rsidRDefault="007E362E" w:rsidP="007A02A8">
      <w:pPr>
        <w:autoSpaceDE w:val="0"/>
        <w:autoSpaceDN w:val="0"/>
        <w:adjustRightInd w:val="0"/>
        <w:spacing w:after="0" w:line="360" w:lineRule="auto"/>
        <w:ind w:left="1296"/>
        <w:jc w:val="center"/>
        <w:rPr>
          <w:rFonts w:ascii="Times New Roman" w:hAnsi="Times New Roman" w:cs="Times New Roman"/>
          <w:b/>
          <w:sz w:val="28"/>
          <w:szCs w:val="28"/>
        </w:rPr>
      </w:pPr>
    </w:p>
    <w:p w:rsidR="00657440" w:rsidRPr="00EC1AB2" w:rsidRDefault="0036634F" w:rsidP="007A02A8">
      <w:pPr>
        <w:spacing w:after="0" w:line="360" w:lineRule="auto"/>
        <w:ind w:firstLine="567"/>
        <w:jc w:val="both"/>
        <w:rPr>
          <w:rFonts w:ascii="Times New Roman" w:eastAsia="Times New Roman" w:hAnsi="Times New Roman" w:cs="Times New Roman"/>
          <w:sz w:val="24"/>
          <w:szCs w:val="24"/>
          <w:lang w:eastAsia="lt-LT"/>
        </w:rPr>
      </w:pPr>
      <w:r w:rsidRPr="00EC1AB2">
        <w:rPr>
          <w:rFonts w:ascii="Times New Roman" w:hAnsi="Times New Roman" w:cs="Times New Roman"/>
          <w:sz w:val="24"/>
          <w:szCs w:val="24"/>
        </w:rPr>
        <w:t xml:space="preserve">Kaip matyti iš </w:t>
      </w:r>
      <w:r w:rsidR="0049040A" w:rsidRPr="00EC1AB2">
        <w:rPr>
          <w:rFonts w:ascii="Times New Roman" w:hAnsi="Times New Roman" w:cs="Times New Roman"/>
          <w:sz w:val="24"/>
          <w:szCs w:val="24"/>
        </w:rPr>
        <w:t>6</w:t>
      </w:r>
      <w:r w:rsidRPr="00EC1AB2">
        <w:rPr>
          <w:rFonts w:ascii="Times New Roman" w:hAnsi="Times New Roman" w:cs="Times New Roman"/>
          <w:sz w:val="24"/>
          <w:szCs w:val="24"/>
        </w:rPr>
        <w:t xml:space="preserve"> pav. </w:t>
      </w:r>
      <w:r w:rsidR="00F11812" w:rsidRPr="00EC1AB2">
        <w:rPr>
          <w:rFonts w:ascii="Times New Roman" w:hAnsi="Times New Roman" w:cs="Times New Roman"/>
          <w:sz w:val="24"/>
          <w:szCs w:val="24"/>
        </w:rPr>
        <w:t>nei Lietuvoje, nei Latvijoje ar Estijoje nėra susi</w:t>
      </w:r>
      <w:r w:rsidR="002C00DA" w:rsidRPr="00EC1AB2">
        <w:rPr>
          <w:rFonts w:ascii="Times New Roman" w:hAnsi="Times New Roman" w:cs="Times New Roman"/>
          <w:sz w:val="24"/>
          <w:szCs w:val="24"/>
        </w:rPr>
        <w:t>formavusi RKF kitimo tendencija, t.y. nepastebi</w:t>
      </w:r>
      <w:r w:rsidR="00D609A1" w:rsidRPr="00EC1AB2">
        <w:rPr>
          <w:rFonts w:ascii="Times New Roman" w:hAnsi="Times New Roman" w:cs="Times New Roman"/>
          <w:sz w:val="24"/>
          <w:szCs w:val="24"/>
        </w:rPr>
        <w:t>mas nei di</w:t>
      </w:r>
      <w:r w:rsidR="00CD6D73" w:rsidRPr="00EC1AB2">
        <w:rPr>
          <w:rFonts w:ascii="Times New Roman" w:hAnsi="Times New Roman" w:cs="Times New Roman"/>
          <w:sz w:val="24"/>
          <w:szCs w:val="24"/>
        </w:rPr>
        <w:t>d</w:t>
      </w:r>
      <w:r w:rsidR="00D609A1" w:rsidRPr="00EC1AB2">
        <w:rPr>
          <w:rFonts w:ascii="Times New Roman" w:hAnsi="Times New Roman" w:cs="Times New Roman"/>
          <w:sz w:val="24"/>
          <w:szCs w:val="24"/>
        </w:rPr>
        <w:t>ėjimas, nei mažė</w:t>
      </w:r>
      <w:r w:rsidR="00940759" w:rsidRPr="00EC1AB2">
        <w:rPr>
          <w:rFonts w:ascii="Times New Roman" w:hAnsi="Times New Roman" w:cs="Times New Roman"/>
          <w:sz w:val="24"/>
          <w:szCs w:val="24"/>
        </w:rPr>
        <w:t>jimas visu pateiktu laikotarpiu. Galima nu</w:t>
      </w:r>
      <w:r w:rsidR="00D214F5" w:rsidRPr="00EC1AB2">
        <w:rPr>
          <w:rFonts w:ascii="Times New Roman" w:hAnsi="Times New Roman" w:cs="Times New Roman"/>
          <w:sz w:val="24"/>
          <w:szCs w:val="24"/>
        </w:rPr>
        <w:t>m</w:t>
      </w:r>
      <w:r w:rsidR="00940759" w:rsidRPr="00EC1AB2">
        <w:rPr>
          <w:rFonts w:ascii="Times New Roman" w:hAnsi="Times New Roman" w:cs="Times New Roman"/>
          <w:sz w:val="24"/>
          <w:szCs w:val="24"/>
        </w:rPr>
        <w:t xml:space="preserve">anyti, jog investicijos Baltijos valstybėse yra labiau įtakotos atskirų sandorių patrauklumo, o ne sisteminių rinkos </w:t>
      </w:r>
      <w:r w:rsidR="00D214F5" w:rsidRPr="00EC1AB2">
        <w:rPr>
          <w:rFonts w:ascii="Times New Roman" w:hAnsi="Times New Roman" w:cs="Times New Roman"/>
          <w:sz w:val="24"/>
          <w:szCs w:val="24"/>
        </w:rPr>
        <w:t xml:space="preserve">veiksnių, t.y. RKF </w:t>
      </w:r>
      <w:r w:rsidR="00940759" w:rsidRPr="00EC1AB2">
        <w:rPr>
          <w:rFonts w:ascii="Times New Roman" w:hAnsi="Times New Roman" w:cs="Times New Roman"/>
          <w:sz w:val="24"/>
          <w:szCs w:val="24"/>
        </w:rPr>
        <w:t>invest</w:t>
      </w:r>
      <w:r w:rsidR="00CD6D73" w:rsidRPr="00EC1AB2">
        <w:rPr>
          <w:rFonts w:ascii="Times New Roman" w:hAnsi="Times New Roman" w:cs="Times New Roman"/>
          <w:sz w:val="24"/>
          <w:szCs w:val="24"/>
        </w:rPr>
        <w:t>i</w:t>
      </w:r>
      <w:r w:rsidR="00940759" w:rsidRPr="00EC1AB2">
        <w:rPr>
          <w:rFonts w:ascii="Times New Roman" w:hAnsi="Times New Roman" w:cs="Times New Roman"/>
          <w:sz w:val="24"/>
          <w:szCs w:val="24"/>
        </w:rPr>
        <w:t>cijos</w:t>
      </w:r>
      <w:r w:rsidR="00D214F5" w:rsidRPr="00EC1AB2">
        <w:rPr>
          <w:rFonts w:ascii="Times New Roman" w:hAnsi="Times New Roman" w:cs="Times New Roman"/>
          <w:sz w:val="24"/>
          <w:szCs w:val="24"/>
        </w:rPr>
        <w:t xml:space="preserve"> Baltijos regione yra labiau atsitiktinės. Kalbant konkrečiai </w:t>
      </w:r>
      <w:r w:rsidR="002C00DA" w:rsidRPr="00EC1AB2">
        <w:rPr>
          <w:rFonts w:ascii="Times New Roman" w:hAnsi="Times New Roman" w:cs="Times New Roman"/>
          <w:sz w:val="24"/>
          <w:szCs w:val="24"/>
        </w:rPr>
        <w:t xml:space="preserve">apie Lietuvą, galima pastebėti </w:t>
      </w:r>
      <w:r w:rsidR="00D609A1" w:rsidRPr="00EC1AB2">
        <w:rPr>
          <w:rFonts w:ascii="Times New Roman" w:hAnsi="Times New Roman" w:cs="Times New Roman"/>
          <w:sz w:val="24"/>
          <w:szCs w:val="24"/>
        </w:rPr>
        <w:t xml:space="preserve">2007 m. išaugusias RKF investicijas. </w:t>
      </w:r>
      <w:r w:rsidR="005656B0" w:rsidRPr="00EC1AB2">
        <w:rPr>
          <w:rFonts w:ascii="Times New Roman" w:hAnsi="Times New Roman" w:cs="Times New Roman"/>
          <w:sz w:val="24"/>
          <w:szCs w:val="24"/>
        </w:rPr>
        <w:t xml:space="preserve">Tai lėmė </w:t>
      </w:r>
      <w:r w:rsidR="00BB30A9" w:rsidRPr="00EC1AB2">
        <w:rPr>
          <w:rFonts w:ascii="Times New Roman" w:eastAsia="Times New Roman" w:hAnsi="Times New Roman" w:cs="Times New Roman"/>
          <w:sz w:val="24"/>
          <w:szCs w:val="24"/>
          <w:lang w:eastAsia="lt-LT"/>
        </w:rPr>
        <w:t xml:space="preserve">„Bitės grupės“ ir dar </w:t>
      </w:r>
      <w:r w:rsidR="00326334" w:rsidRPr="00EC1AB2">
        <w:rPr>
          <w:rFonts w:ascii="Times New Roman" w:eastAsia="Times New Roman" w:hAnsi="Times New Roman" w:cs="Times New Roman"/>
          <w:sz w:val="24"/>
          <w:szCs w:val="24"/>
          <w:lang w:eastAsia="lt-LT"/>
        </w:rPr>
        <w:t>kelių stambių įmonių pardavimas.</w:t>
      </w:r>
      <w:r w:rsidR="006C04F9" w:rsidRPr="00EC1AB2">
        <w:rPr>
          <w:rFonts w:ascii="Times New Roman" w:eastAsia="Times New Roman" w:hAnsi="Times New Roman" w:cs="Times New Roman"/>
          <w:sz w:val="24"/>
          <w:szCs w:val="24"/>
          <w:lang w:eastAsia="lt-LT"/>
        </w:rPr>
        <w:t xml:space="preserve"> </w:t>
      </w:r>
      <w:r w:rsidR="00D214F5" w:rsidRPr="00EC1AB2">
        <w:rPr>
          <w:rFonts w:ascii="Times New Roman" w:eastAsia="Times New Roman" w:hAnsi="Times New Roman" w:cs="Times New Roman"/>
          <w:sz w:val="24"/>
          <w:szCs w:val="24"/>
          <w:lang w:eastAsia="lt-LT"/>
        </w:rPr>
        <w:t>Visu kitu pateiktu laikotarpiu Lietuvos rinka nebuvo patrau</w:t>
      </w:r>
      <w:r w:rsidR="00CD6D73" w:rsidRPr="00EC1AB2">
        <w:rPr>
          <w:rFonts w:ascii="Times New Roman" w:eastAsia="Times New Roman" w:hAnsi="Times New Roman" w:cs="Times New Roman"/>
          <w:sz w:val="24"/>
          <w:szCs w:val="24"/>
          <w:lang w:eastAsia="lt-LT"/>
        </w:rPr>
        <w:t>k</w:t>
      </w:r>
      <w:r w:rsidR="00D214F5" w:rsidRPr="00EC1AB2">
        <w:rPr>
          <w:rFonts w:ascii="Times New Roman" w:eastAsia="Times New Roman" w:hAnsi="Times New Roman" w:cs="Times New Roman"/>
          <w:sz w:val="24"/>
          <w:szCs w:val="24"/>
          <w:lang w:eastAsia="lt-LT"/>
        </w:rPr>
        <w:t>li r</w:t>
      </w:r>
      <w:r w:rsidR="002C22C1" w:rsidRPr="00EC1AB2">
        <w:rPr>
          <w:rFonts w:ascii="Times New Roman" w:eastAsia="Times New Roman" w:hAnsi="Times New Roman" w:cs="Times New Roman"/>
          <w:sz w:val="24"/>
          <w:szCs w:val="24"/>
          <w:lang w:eastAsia="lt-LT"/>
        </w:rPr>
        <w:t>izikos kapitalo investuotojams</w:t>
      </w:r>
      <w:r w:rsidR="0004186F" w:rsidRPr="00EC1AB2">
        <w:rPr>
          <w:rFonts w:ascii="Times New Roman" w:eastAsia="Times New Roman" w:hAnsi="Times New Roman" w:cs="Times New Roman"/>
          <w:sz w:val="24"/>
          <w:szCs w:val="24"/>
          <w:lang w:eastAsia="lt-LT"/>
        </w:rPr>
        <w:t>, todėl, k</w:t>
      </w:r>
      <w:r w:rsidR="004A4384" w:rsidRPr="00EC1AB2">
        <w:rPr>
          <w:rFonts w:ascii="Times New Roman" w:eastAsia="Times New Roman" w:hAnsi="Times New Roman" w:cs="Times New Roman"/>
          <w:sz w:val="24"/>
          <w:szCs w:val="24"/>
          <w:lang w:eastAsia="lt-LT"/>
        </w:rPr>
        <w:t xml:space="preserve">aip teigia Laurinavičius (2011) </w:t>
      </w:r>
      <w:r w:rsidR="00606C31" w:rsidRPr="00EC1AB2">
        <w:rPr>
          <w:rFonts w:ascii="Times New Roman" w:eastAsia="Times New Roman" w:hAnsi="Times New Roman" w:cs="Times New Roman"/>
          <w:sz w:val="24"/>
          <w:szCs w:val="24"/>
          <w:lang w:eastAsia="lt-LT"/>
        </w:rPr>
        <w:t xml:space="preserve">remdamasis </w:t>
      </w:r>
      <w:r w:rsidR="002C22C1" w:rsidRPr="00EC1AB2">
        <w:rPr>
          <w:rFonts w:ascii="Times New Roman" w:eastAsia="Times New Roman" w:hAnsi="Times New Roman" w:cs="Times New Roman"/>
          <w:sz w:val="24"/>
          <w:szCs w:val="24"/>
          <w:lang w:eastAsia="lt-LT"/>
        </w:rPr>
        <w:t xml:space="preserve">tyrimų bendrovės „Vilmorus“ 2010 m. pabaigoje atlikta </w:t>
      </w:r>
      <w:r w:rsidR="004A4384" w:rsidRPr="00EC1AB2">
        <w:rPr>
          <w:rFonts w:ascii="Times New Roman" w:eastAsia="Times New Roman" w:hAnsi="Times New Roman" w:cs="Times New Roman"/>
          <w:sz w:val="24"/>
          <w:szCs w:val="24"/>
          <w:lang w:eastAsia="lt-LT"/>
        </w:rPr>
        <w:t>apklausa,</w:t>
      </w:r>
      <w:r w:rsidR="002C22C1" w:rsidRPr="00EC1AB2">
        <w:rPr>
          <w:rFonts w:ascii="Times New Roman" w:eastAsia="Times New Roman" w:hAnsi="Times New Roman" w:cs="Times New Roman"/>
          <w:sz w:val="24"/>
          <w:szCs w:val="24"/>
          <w:lang w:eastAsia="lt-LT"/>
        </w:rPr>
        <w:t xml:space="preserve"> </w:t>
      </w:r>
      <w:r w:rsidR="004A4384" w:rsidRPr="00EC1AB2">
        <w:rPr>
          <w:rFonts w:ascii="Times New Roman" w:eastAsia="Times New Roman" w:hAnsi="Times New Roman" w:cs="Times New Roman"/>
          <w:sz w:val="24"/>
          <w:szCs w:val="24"/>
          <w:lang w:eastAsia="lt-LT"/>
        </w:rPr>
        <w:t xml:space="preserve">didžioji dalis Lietuvos įmonių vadovų </w:t>
      </w:r>
      <w:r w:rsidR="00EB0663" w:rsidRPr="00EC1AB2">
        <w:rPr>
          <w:rFonts w:ascii="Times New Roman" w:eastAsia="Times New Roman" w:hAnsi="Times New Roman" w:cs="Times New Roman"/>
          <w:sz w:val="24"/>
          <w:szCs w:val="24"/>
          <w:lang w:eastAsia="lt-LT"/>
        </w:rPr>
        <w:t xml:space="preserve">mažai žino apie RKF. </w:t>
      </w:r>
      <w:r w:rsidR="0004186F" w:rsidRPr="00EC1AB2">
        <w:rPr>
          <w:rFonts w:ascii="Times New Roman" w:eastAsia="Times New Roman" w:hAnsi="Times New Roman" w:cs="Times New Roman"/>
          <w:sz w:val="24"/>
          <w:szCs w:val="24"/>
          <w:lang w:eastAsia="lt-LT"/>
        </w:rPr>
        <w:t>N</w:t>
      </w:r>
      <w:r w:rsidR="002C22C1" w:rsidRPr="00EC1AB2">
        <w:rPr>
          <w:rFonts w:ascii="Times New Roman" w:eastAsia="Times New Roman" w:hAnsi="Times New Roman" w:cs="Times New Roman"/>
          <w:sz w:val="24"/>
          <w:szCs w:val="24"/>
          <w:lang w:eastAsia="lt-LT"/>
        </w:rPr>
        <w:t>et 93% apklausoje dalyvavusių įmonių vadovų nežinojo nė vieno Lietuvoje veiki</w:t>
      </w:r>
      <w:r w:rsidR="00184A3A" w:rsidRPr="00EC1AB2">
        <w:rPr>
          <w:rFonts w:ascii="Times New Roman" w:eastAsia="Times New Roman" w:hAnsi="Times New Roman" w:cs="Times New Roman"/>
          <w:sz w:val="24"/>
          <w:szCs w:val="24"/>
          <w:lang w:eastAsia="lt-LT"/>
        </w:rPr>
        <w:t>ančio RKF</w:t>
      </w:r>
      <w:r w:rsidR="002C22C1" w:rsidRPr="00EC1AB2">
        <w:rPr>
          <w:rFonts w:ascii="Times New Roman" w:eastAsia="Times New Roman" w:hAnsi="Times New Roman" w:cs="Times New Roman"/>
          <w:sz w:val="24"/>
          <w:szCs w:val="24"/>
          <w:lang w:eastAsia="lt-LT"/>
        </w:rPr>
        <w:t>, taip pat 91,5% apklaustųjų negalėjo įvardinti lietuviškų įmonių, į kurias buvo ar yra investavę to</w:t>
      </w:r>
      <w:r w:rsidR="0004186F" w:rsidRPr="00EC1AB2">
        <w:rPr>
          <w:rFonts w:ascii="Times New Roman" w:eastAsia="Times New Roman" w:hAnsi="Times New Roman" w:cs="Times New Roman"/>
          <w:sz w:val="24"/>
          <w:szCs w:val="24"/>
          <w:lang w:eastAsia="lt-LT"/>
        </w:rPr>
        <w:t>kie fondai. Tad visai nekeista</w:t>
      </w:r>
      <w:r w:rsidR="002C22C1" w:rsidRPr="00EC1AB2">
        <w:rPr>
          <w:rFonts w:ascii="Times New Roman" w:eastAsia="Times New Roman" w:hAnsi="Times New Roman" w:cs="Times New Roman"/>
          <w:sz w:val="24"/>
          <w:szCs w:val="24"/>
          <w:lang w:eastAsia="lt-LT"/>
        </w:rPr>
        <w:t>, kad, remian</w:t>
      </w:r>
      <w:r w:rsidR="0004186F" w:rsidRPr="00EC1AB2">
        <w:rPr>
          <w:rFonts w:ascii="Times New Roman" w:eastAsia="Times New Roman" w:hAnsi="Times New Roman" w:cs="Times New Roman"/>
          <w:sz w:val="24"/>
          <w:szCs w:val="24"/>
          <w:lang w:eastAsia="lt-LT"/>
        </w:rPr>
        <w:t>tis to paties tyrimo duomenimis,</w:t>
      </w:r>
      <w:r w:rsidR="002C22C1" w:rsidRPr="00EC1AB2">
        <w:rPr>
          <w:rFonts w:ascii="Times New Roman" w:eastAsia="Times New Roman" w:hAnsi="Times New Roman" w:cs="Times New Roman"/>
          <w:sz w:val="24"/>
          <w:szCs w:val="24"/>
          <w:lang w:eastAsia="lt-LT"/>
        </w:rPr>
        <w:t xml:space="preserve"> 78% apklaustų vadovų </w:t>
      </w:r>
      <w:r w:rsidR="00184A3A" w:rsidRPr="00EC1AB2">
        <w:rPr>
          <w:rFonts w:ascii="Times New Roman" w:eastAsia="Times New Roman" w:hAnsi="Times New Roman" w:cs="Times New Roman"/>
          <w:sz w:val="24"/>
          <w:szCs w:val="24"/>
          <w:lang w:eastAsia="lt-LT"/>
        </w:rPr>
        <w:t>neįtraukė RKF</w:t>
      </w:r>
      <w:r w:rsidR="002C22C1" w:rsidRPr="00EC1AB2">
        <w:rPr>
          <w:rFonts w:ascii="Times New Roman" w:eastAsia="Times New Roman" w:hAnsi="Times New Roman" w:cs="Times New Roman"/>
          <w:sz w:val="24"/>
          <w:szCs w:val="24"/>
          <w:lang w:eastAsia="lt-LT"/>
        </w:rPr>
        <w:t xml:space="preserve"> į galimų</w:t>
      </w:r>
      <w:r w:rsidR="00D64715" w:rsidRPr="00EC1AB2">
        <w:rPr>
          <w:rFonts w:ascii="Times New Roman" w:eastAsia="Times New Roman" w:hAnsi="Times New Roman" w:cs="Times New Roman"/>
          <w:sz w:val="24"/>
          <w:szCs w:val="24"/>
          <w:lang w:eastAsia="lt-LT"/>
        </w:rPr>
        <w:t xml:space="preserve"> įm</w:t>
      </w:r>
      <w:r w:rsidR="00CD6D73" w:rsidRPr="00EC1AB2">
        <w:rPr>
          <w:rFonts w:ascii="Times New Roman" w:eastAsia="Times New Roman" w:hAnsi="Times New Roman" w:cs="Times New Roman"/>
          <w:sz w:val="24"/>
          <w:szCs w:val="24"/>
          <w:lang w:eastAsia="lt-LT"/>
        </w:rPr>
        <w:t>onės plėtros veiksnių sąrašą.</w:t>
      </w:r>
      <w:r w:rsidR="00087787" w:rsidRPr="00EC1AB2">
        <w:rPr>
          <w:rFonts w:ascii="Times New Roman" w:eastAsia="Times New Roman" w:hAnsi="Times New Roman" w:cs="Times New Roman"/>
          <w:sz w:val="24"/>
          <w:szCs w:val="24"/>
          <w:lang w:eastAsia="lt-LT"/>
        </w:rPr>
        <w:t xml:space="preserve"> Val</w:t>
      </w:r>
      <w:r w:rsidR="00184A3A" w:rsidRPr="00EC1AB2">
        <w:rPr>
          <w:rFonts w:ascii="Times New Roman" w:eastAsia="Times New Roman" w:hAnsi="Times New Roman" w:cs="Times New Roman"/>
          <w:sz w:val="24"/>
          <w:szCs w:val="24"/>
          <w:lang w:eastAsia="lt-LT"/>
        </w:rPr>
        <w:t>e</w:t>
      </w:r>
      <w:r w:rsidR="00087787" w:rsidRPr="00EC1AB2">
        <w:rPr>
          <w:rFonts w:ascii="Times New Roman" w:eastAsia="Times New Roman" w:hAnsi="Times New Roman" w:cs="Times New Roman"/>
          <w:sz w:val="24"/>
          <w:szCs w:val="24"/>
          <w:lang w:eastAsia="lt-LT"/>
        </w:rPr>
        <w:t>n</w:t>
      </w:r>
      <w:r w:rsidR="00184A3A" w:rsidRPr="00EC1AB2">
        <w:rPr>
          <w:rFonts w:ascii="Times New Roman" w:eastAsia="Times New Roman" w:hAnsi="Times New Roman" w:cs="Times New Roman"/>
          <w:sz w:val="24"/>
          <w:szCs w:val="24"/>
          <w:lang w:eastAsia="lt-LT"/>
        </w:rPr>
        <w:t>tinavičiaus (2006) atlikto tyrimo metu inovatyvių įmonių vadovai prie finansavimo šaltinių, kuriais naudojosi verslo</w:t>
      </w:r>
      <w:r w:rsidR="00BE5A4E" w:rsidRPr="00EC1AB2">
        <w:rPr>
          <w:rFonts w:ascii="Times New Roman" w:eastAsia="Times New Roman" w:hAnsi="Times New Roman" w:cs="Times New Roman"/>
          <w:sz w:val="24"/>
          <w:szCs w:val="24"/>
          <w:lang w:eastAsia="lt-LT"/>
        </w:rPr>
        <w:t xml:space="preserve"> plėtrai visų pirma </w:t>
      </w:r>
      <w:r w:rsidR="00BE5A4E" w:rsidRPr="00EC1AB2">
        <w:rPr>
          <w:rFonts w:ascii="Times New Roman" w:eastAsia="Times New Roman" w:hAnsi="Times New Roman" w:cs="Times New Roman"/>
          <w:sz w:val="24"/>
          <w:szCs w:val="24"/>
          <w:lang w:eastAsia="lt-LT"/>
        </w:rPr>
        <w:lastRenderedPageBreak/>
        <w:t xml:space="preserve">nurodė savus išteklius, gautą pelną. </w:t>
      </w:r>
      <w:r w:rsidR="007C4F15" w:rsidRPr="00EC1AB2">
        <w:rPr>
          <w:rFonts w:ascii="Times New Roman" w:eastAsia="Times New Roman" w:hAnsi="Times New Roman" w:cs="Times New Roman"/>
          <w:sz w:val="24"/>
          <w:szCs w:val="24"/>
          <w:lang w:eastAsia="lt-LT"/>
        </w:rPr>
        <w:t>Pavieniui paminėti akcinis kapitalas, bankai ir partnerių lėšos.</w:t>
      </w:r>
      <w:r w:rsidR="00184A3A" w:rsidRPr="00EC1AB2">
        <w:rPr>
          <w:rFonts w:ascii="Times New Roman" w:eastAsia="Times New Roman" w:hAnsi="Times New Roman" w:cs="Times New Roman"/>
          <w:sz w:val="24"/>
          <w:szCs w:val="24"/>
          <w:lang w:eastAsia="lt-LT"/>
        </w:rPr>
        <w:t xml:space="preserve"> </w:t>
      </w:r>
      <w:r w:rsidR="0035305A" w:rsidRPr="00EC1AB2">
        <w:rPr>
          <w:rFonts w:ascii="Times New Roman" w:eastAsia="Times New Roman" w:hAnsi="Times New Roman" w:cs="Times New Roman"/>
          <w:sz w:val="24"/>
          <w:szCs w:val="24"/>
          <w:lang w:eastAsia="lt-LT"/>
        </w:rPr>
        <w:t xml:space="preserve">Toks mažas finansavimo šaltinių spektras rodo, kad iš tikrųjų Lietuvoje inovacinė veikla </w:t>
      </w:r>
      <w:r w:rsidR="008048E4" w:rsidRPr="00EC1AB2">
        <w:rPr>
          <w:rFonts w:ascii="Times New Roman" w:eastAsia="Times New Roman" w:hAnsi="Times New Roman" w:cs="Times New Roman"/>
          <w:sz w:val="24"/>
          <w:szCs w:val="24"/>
          <w:lang w:eastAsia="lt-LT"/>
        </w:rPr>
        <w:t>yra gana pasyvi dėl lėšų stokos, t.y. RKF investicijų stokos.</w:t>
      </w:r>
      <w:r w:rsidR="008C3F36" w:rsidRPr="00EC1AB2">
        <w:rPr>
          <w:rFonts w:ascii="Times New Roman" w:eastAsia="Times New Roman" w:hAnsi="Times New Roman" w:cs="Times New Roman"/>
          <w:sz w:val="24"/>
          <w:szCs w:val="24"/>
          <w:lang w:eastAsia="lt-LT"/>
        </w:rPr>
        <w:t xml:space="preserve"> Tai patvirtina</w:t>
      </w:r>
      <w:r w:rsidR="00846AF4" w:rsidRPr="00EC1AB2">
        <w:rPr>
          <w:rFonts w:ascii="Times New Roman" w:eastAsia="Times New Roman" w:hAnsi="Times New Roman" w:cs="Times New Roman"/>
          <w:sz w:val="24"/>
          <w:szCs w:val="24"/>
          <w:lang w:eastAsia="lt-LT"/>
        </w:rPr>
        <w:t xml:space="preserve"> Lietuvos Respublikos Ūkio ministerijos užsakymu VšĮ „KTU regioninis verslo inkubatorius“ </w:t>
      </w:r>
      <w:r w:rsidR="008C3F36" w:rsidRPr="00EC1AB2">
        <w:rPr>
          <w:rFonts w:ascii="Times New Roman" w:eastAsia="Times New Roman" w:hAnsi="Times New Roman" w:cs="Times New Roman"/>
          <w:sz w:val="24"/>
          <w:szCs w:val="24"/>
          <w:lang w:eastAsia="lt-LT"/>
        </w:rPr>
        <w:t xml:space="preserve">atliktas tyrimas, kurio metu </w:t>
      </w:r>
      <w:r w:rsidR="00846AF4" w:rsidRPr="00EC1AB2">
        <w:rPr>
          <w:rFonts w:ascii="Times New Roman" w:eastAsia="Times New Roman" w:hAnsi="Times New Roman" w:cs="Times New Roman"/>
          <w:sz w:val="24"/>
          <w:szCs w:val="24"/>
          <w:lang w:eastAsia="lt-LT"/>
        </w:rPr>
        <w:t xml:space="preserve">net 59 proc. įmonių, </w:t>
      </w:r>
      <w:r w:rsidR="00EA7CFC" w:rsidRPr="00EC1AB2">
        <w:rPr>
          <w:rFonts w:ascii="Times New Roman" w:eastAsia="Times New Roman" w:hAnsi="Times New Roman" w:cs="Times New Roman"/>
          <w:sz w:val="24"/>
          <w:szCs w:val="24"/>
          <w:lang w:eastAsia="lt-LT"/>
        </w:rPr>
        <w:t>dalyvavusių tyrime,</w:t>
      </w:r>
      <w:r w:rsidR="008C3F36" w:rsidRPr="00EC1AB2">
        <w:rPr>
          <w:rFonts w:ascii="Times New Roman" w:eastAsia="Times New Roman" w:hAnsi="Times New Roman" w:cs="Times New Roman"/>
          <w:sz w:val="24"/>
          <w:szCs w:val="24"/>
          <w:lang w:eastAsia="lt-LT"/>
        </w:rPr>
        <w:t xml:space="preserve"> nurodė dideles inovacines išlaidas, kaip</w:t>
      </w:r>
      <w:r w:rsidR="00EA7CFC" w:rsidRPr="00EC1AB2">
        <w:rPr>
          <w:rFonts w:ascii="Times New Roman" w:eastAsia="Times New Roman" w:hAnsi="Times New Roman" w:cs="Times New Roman"/>
          <w:sz w:val="24"/>
          <w:szCs w:val="24"/>
          <w:lang w:eastAsia="lt-LT"/>
        </w:rPr>
        <w:t xml:space="preserve"> </w:t>
      </w:r>
      <w:r w:rsidR="008C3F36" w:rsidRPr="00EC1AB2">
        <w:rPr>
          <w:rFonts w:ascii="Times New Roman" w:eastAsia="Times New Roman" w:hAnsi="Times New Roman" w:cs="Times New Roman"/>
          <w:sz w:val="24"/>
          <w:szCs w:val="24"/>
          <w:lang w:eastAsia="lt-LT"/>
        </w:rPr>
        <w:t>veik</w:t>
      </w:r>
      <w:r w:rsidR="002D2178" w:rsidRPr="00EC1AB2">
        <w:rPr>
          <w:rFonts w:ascii="Times New Roman" w:eastAsia="Times New Roman" w:hAnsi="Times New Roman" w:cs="Times New Roman"/>
          <w:sz w:val="24"/>
          <w:szCs w:val="24"/>
          <w:lang w:eastAsia="lt-LT"/>
        </w:rPr>
        <w:t>s</w:t>
      </w:r>
      <w:r w:rsidR="008C3F36" w:rsidRPr="00EC1AB2">
        <w:rPr>
          <w:rFonts w:ascii="Times New Roman" w:eastAsia="Times New Roman" w:hAnsi="Times New Roman" w:cs="Times New Roman"/>
          <w:sz w:val="24"/>
          <w:szCs w:val="24"/>
          <w:lang w:eastAsia="lt-LT"/>
        </w:rPr>
        <w:t>nį</w:t>
      </w:r>
      <w:r w:rsidR="00EA7CFC" w:rsidRPr="00EC1AB2">
        <w:rPr>
          <w:rFonts w:ascii="Times New Roman" w:eastAsia="Times New Roman" w:hAnsi="Times New Roman" w:cs="Times New Roman"/>
          <w:sz w:val="24"/>
          <w:szCs w:val="24"/>
          <w:lang w:eastAsia="lt-LT"/>
        </w:rPr>
        <w:t>, labiausiai tru</w:t>
      </w:r>
      <w:r w:rsidR="002D2178" w:rsidRPr="00EC1AB2">
        <w:rPr>
          <w:rFonts w:ascii="Times New Roman" w:eastAsia="Times New Roman" w:hAnsi="Times New Roman" w:cs="Times New Roman"/>
          <w:sz w:val="24"/>
          <w:szCs w:val="24"/>
          <w:lang w:eastAsia="lt-LT"/>
        </w:rPr>
        <w:t>kdžiusį</w:t>
      </w:r>
      <w:r w:rsidR="008C3F36" w:rsidRPr="00EC1AB2">
        <w:rPr>
          <w:rFonts w:ascii="Times New Roman" w:eastAsia="Times New Roman" w:hAnsi="Times New Roman" w:cs="Times New Roman"/>
          <w:sz w:val="24"/>
          <w:szCs w:val="24"/>
          <w:lang w:eastAsia="lt-LT"/>
        </w:rPr>
        <w:t xml:space="preserve"> įmonių inovaciniai veiklai.</w:t>
      </w:r>
    </w:p>
    <w:p w:rsidR="00657440" w:rsidRPr="00EC1AB2" w:rsidRDefault="00657440"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pacing w:val="1"/>
          <w:sz w:val="24"/>
          <w:szCs w:val="24"/>
        </w:rPr>
        <w:t>Stati</w:t>
      </w:r>
      <w:r w:rsidRPr="00EC1AB2">
        <w:rPr>
          <w:rFonts w:ascii="Times New Roman" w:hAnsi="Times New Roman" w:cs="Times New Roman"/>
          <w:spacing w:val="-1"/>
          <w:sz w:val="24"/>
          <w:szCs w:val="24"/>
        </w:rPr>
        <w:t>s</w:t>
      </w:r>
      <w:r w:rsidRPr="00EC1AB2">
        <w:rPr>
          <w:rFonts w:ascii="Times New Roman" w:hAnsi="Times New Roman" w:cs="Times New Roman"/>
          <w:spacing w:val="1"/>
          <w:sz w:val="24"/>
          <w:szCs w:val="24"/>
        </w:rPr>
        <w:t>ti</w:t>
      </w:r>
      <w:r w:rsidRPr="00EC1AB2">
        <w:rPr>
          <w:rFonts w:ascii="Times New Roman" w:hAnsi="Times New Roman" w:cs="Times New Roman"/>
          <w:spacing w:val="-1"/>
          <w:sz w:val="24"/>
          <w:szCs w:val="24"/>
        </w:rPr>
        <w:t>k</w:t>
      </w:r>
      <w:r w:rsidRPr="00EC1AB2">
        <w:rPr>
          <w:rFonts w:ascii="Times New Roman" w:hAnsi="Times New Roman" w:cs="Times New Roman"/>
          <w:spacing w:val="1"/>
          <w:sz w:val="24"/>
          <w:szCs w:val="24"/>
        </w:rPr>
        <w:t>o</w:t>
      </w:r>
      <w:r w:rsidRPr="00EC1AB2">
        <w:rPr>
          <w:rFonts w:ascii="Times New Roman" w:hAnsi="Times New Roman" w:cs="Times New Roman"/>
          <w:sz w:val="24"/>
          <w:szCs w:val="24"/>
        </w:rPr>
        <w:t>s</w:t>
      </w:r>
      <w:r w:rsidRPr="00EC1AB2">
        <w:rPr>
          <w:rFonts w:ascii="Times New Roman" w:hAnsi="Times New Roman" w:cs="Times New Roman"/>
          <w:spacing w:val="22"/>
          <w:sz w:val="24"/>
          <w:szCs w:val="24"/>
        </w:rPr>
        <w:t xml:space="preserve"> </w:t>
      </w:r>
      <w:r w:rsidRPr="00EC1AB2">
        <w:rPr>
          <w:rFonts w:ascii="Times New Roman" w:hAnsi="Times New Roman" w:cs="Times New Roman"/>
          <w:spacing w:val="1"/>
          <w:sz w:val="24"/>
          <w:szCs w:val="24"/>
        </w:rPr>
        <w:t>de</w:t>
      </w:r>
      <w:r w:rsidRPr="00EC1AB2">
        <w:rPr>
          <w:rFonts w:ascii="Times New Roman" w:hAnsi="Times New Roman" w:cs="Times New Roman"/>
          <w:spacing w:val="-2"/>
          <w:sz w:val="24"/>
          <w:szCs w:val="24"/>
        </w:rPr>
        <w:t>p</w:t>
      </w:r>
      <w:r w:rsidRPr="00EC1AB2">
        <w:rPr>
          <w:rFonts w:ascii="Times New Roman" w:hAnsi="Times New Roman" w:cs="Times New Roman"/>
          <w:spacing w:val="1"/>
          <w:sz w:val="24"/>
          <w:szCs w:val="24"/>
        </w:rPr>
        <w:t>art</w:t>
      </w:r>
      <w:r w:rsidRPr="00EC1AB2">
        <w:rPr>
          <w:rFonts w:ascii="Times New Roman" w:hAnsi="Times New Roman" w:cs="Times New Roman"/>
          <w:spacing w:val="-2"/>
          <w:sz w:val="24"/>
          <w:szCs w:val="24"/>
        </w:rPr>
        <w:t>a</w:t>
      </w:r>
      <w:r w:rsidRPr="00EC1AB2">
        <w:rPr>
          <w:rFonts w:ascii="Times New Roman" w:hAnsi="Times New Roman" w:cs="Times New Roman"/>
          <w:spacing w:val="1"/>
          <w:sz w:val="24"/>
          <w:szCs w:val="24"/>
        </w:rPr>
        <w:t>men</w:t>
      </w:r>
      <w:r w:rsidRPr="00EC1AB2">
        <w:rPr>
          <w:rFonts w:ascii="Times New Roman" w:hAnsi="Times New Roman" w:cs="Times New Roman"/>
          <w:spacing w:val="-2"/>
          <w:sz w:val="24"/>
          <w:szCs w:val="24"/>
        </w:rPr>
        <w:t>t</w:t>
      </w:r>
      <w:r w:rsidRPr="00EC1AB2">
        <w:rPr>
          <w:rFonts w:ascii="Times New Roman" w:hAnsi="Times New Roman" w:cs="Times New Roman"/>
          <w:spacing w:val="1"/>
          <w:sz w:val="24"/>
          <w:szCs w:val="24"/>
        </w:rPr>
        <w:t>a</w:t>
      </w:r>
      <w:r w:rsidRPr="00EC1AB2">
        <w:rPr>
          <w:rFonts w:ascii="Times New Roman" w:hAnsi="Times New Roman" w:cs="Times New Roman"/>
          <w:sz w:val="24"/>
          <w:szCs w:val="24"/>
        </w:rPr>
        <w:t>s</w:t>
      </w:r>
      <w:r w:rsidRPr="00EC1AB2">
        <w:rPr>
          <w:rFonts w:ascii="Times New Roman" w:hAnsi="Times New Roman" w:cs="Times New Roman"/>
          <w:spacing w:val="22"/>
          <w:sz w:val="24"/>
          <w:szCs w:val="24"/>
        </w:rPr>
        <w:t xml:space="preserve"> </w:t>
      </w:r>
      <w:r w:rsidRPr="00EC1AB2">
        <w:rPr>
          <w:rFonts w:ascii="Times New Roman" w:hAnsi="Times New Roman" w:cs="Times New Roman"/>
          <w:spacing w:val="1"/>
          <w:sz w:val="24"/>
          <w:szCs w:val="24"/>
        </w:rPr>
        <w:t>2</w:t>
      </w:r>
      <w:r w:rsidRPr="00EC1AB2">
        <w:rPr>
          <w:rFonts w:ascii="Times New Roman" w:hAnsi="Times New Roman" w:cs="Times New Roman"/>
          <w:spacing w:val="-2"/>
          <w:sz w:val="24"/>
          <w:szCs w:val="24"/>
        </w:rPr>
        <w:t>0</w:t>
      </w:r>
      <w:r w:rsidRPr="00EC1AB2">
        <w:rPr>
          <w:rFonts w:ascii="Times New Roman" w:hAnsi="Times New Roman" w:cs="Times New Roman"/>
          <w:spacing w:val="1"/>
          <w:sz w:val="24"/>
          <w:szCs w:val="24"/>
        </w:rPr>
        <w:t>1</w:t>
      </w:r>
      <w:r w:rsidRPr="00EC1AB2">
        <w:rPr>
          <w:rFonts w:ascii="Times New Roman" w:hAnsi="Times New Roman" w:cs="Times New Roman"/>
          <w:sz w:val="24"/>
          <w:szCs w:val="24"/>
        </w:rPr>
        <w:t xml:space="preserve">0 </w:t>
      </w:r>
      <w:r w:rsidRPr="00EC1AB2">
        <w:rPr>
          <w:rFonts w:ascii="Times New Roman" w:hAnsi="Times New Roman" w:cs="Times New Roman"/>
          <w:spacing w:val="1"/>
          <w:sz w:val="24"/>
          <w:szCs w:val="24"/>
        </w:rPr>
        <w:t>m</w:t>
      </w:r>
      <w:r w:rsidRPr="00EC1AB2">
        <w:rPr>
          <w:rFonts w:ascii="Times New Roman" w:hAnsi="Times New Roman" w:cs="Times New Roman"/>
          <w:sz w:val="24"/>
          <w:szCs w:val="24"/>
        </w:rPr>
        <w:t>.</w:t>
      </w:r>
      <w:r w:rsidRPr="00EC1AB2">
        <w:rPr>
          <w:rFonts w:ascii="Times New Roman" w:hAnsi="Times New Roman" w:cs="Times New Roman"/>
          <w:spacing w:val="22"/>
          <w:sz w:val="24"/>
          <w:szCs w:val="24"/>
        </w:rPr>
        <w:t xml:space="preserve"> </w:t>
      </w:r>
      <w:r w:rsidRPr="00EC1AB2">
        <w:rPr>
          <w:rFonts w:ascii="Times New Roman" w:hAnsi="Times New Roman" w:cs="Times New Roman"/>
          <w:spacing w:val="1"/>
          <w:sz w:val="24"/>
          <w:szCs w:val="24"/>
        </w:rPr>
        <w:t>a</w:t>
      </w:r>
      <w:r w:rsidRPr="00EC1AB2">
        <w:rPr>
          <w:rFonts w:ascii="Times New Roman" w:hAnsi="Times New Roman" w:cs="Times New Roman"/>
          <w:spacing w:val="-2"/>
          <w:sz w:val="24"/>
          <w:szCs w:val="24"/>
        </w:rPr>
        <w:t>t</w:t>
      </w:r>
      <w:r w:rsidRPr="00EC1AB2">
        <w:rPr>
          <w:rFonts w:ascii="Times New Roman" w:hAnsi="Times New Roman" w:cs="Times New Roman"/>
          <w:spacing w:val="1"/>
          <w:sz w:val="24"/>
          <w:szCs w:val="24"/>
        </w:rPr>
        <w:t>li</w:t>
      </w:r>
      <w:r w:rsidRPr="00EC1AB2">
        <w:rPr>
          <w:rFonts w:ascii="Times New Roman" w:hAnsi="Times New Roman" w:cs="Times New Roman"/>
          <w:spacing w:val="-1"/>
          <w:sz w:val="24"/>
          <w:szCs w:val="24"/>
        </w:rPr>
        <w:t>k</w:t>
      </w:r>
      <w:r w:rsidRPr="00EC1AB2">
        <w:rPr>
          <w:rFonts w:ascii="Times New Roman" w:hAnsi="Times New Roman" w:cs="Times New Roman"/>
          <w:sz w:val="24"/>
          <w:szCs w:val="24"/>
        </w:rPr>
        <w:t>o</w:t>
      </w:r>
      <w:r w:rsidRPr="00EC1AB2">
        <w:rPr>
          <w:rFonts w:ascii="Times New Roman" w:hAnsi="Times New Roman" w:cs="Times New Roman"/>
          <w:spacing w:val="29"/>
          <w:sz w:val="24"/>
          <w:szCs w:val="24"/>
        </w:rPr>
        <w:t xml:space="preserve"> </w:t>
      </w:r>
      <w:r w:rsidRPr="00EC1AB2">
        <w:rPr>
          <w:rFonts w:ascii="Times New Roman" w:hAnsi="Times New Roman" w:cs="Times New Roman"/>
          <w:spacing w:val="-2"/>
          <w:sz w:val="24"/>
          <w:szCs w:val="24"/>
        </w:rPr>
        <w:t>n</w:t>
      </w:r>
      <w:r w:rsidRPr="00EC1AB2">
        <w:rPr>
          <w:rFonts w:ascii="Times New Roman" w:hAnsi="Times New Roman" w:cs="Times New Roman"/>
          <w:spacing w:val="1"/>
          <w:sz w:val="24"/>
          <w:szCs w:val="24"/>
        </w:rPr>
        <w:t>efi</w:t>
      </w:r>
      <w:r w:rsidRPr="00EC1AB2">
        <w:rPr>
          <w:rFonts w:ascii="Times New Roman" w:hAnsi="Times New Roman" w:cs="Times New Roman"/>
          <w:spacing w:val="-2"/>
          <w:sz w:val="24"/>
          <w:szCs w:val="24"/>
        </w:rPr>
        <w:t>n</w:t>
      </w:r>
      <w:r w:rsidRPr="00EC1AB2">
        <w:rPr>
          <w:rFonts w:ascii="Times New Roman" w:hAnsi="Times New Roman" w:cs="Times New Roman"/>
          <w:spacing w:val="1"/>
          <w:sz w:val="24"/>
          <w:szCs w:val="24"/>
        </w:rPr>
        <w:t>an</w:t>
      </w:r>
      <w:r w:rsidRPr="00EC1AB2">
        <w:rPr>
          <w:rFonts w:ascii="Times New Roman" w:hAnsi="Times New Roman" w:cs="Times New Roman"/>
          <w:spacing w:val="-1"/>
          <w:sz w:val="24"/>
          <w:szCs w:val="24"/>
        </w:rPr>
        <w:t>s</w:t>
      </w:r>
      <w:r w:rsidRPr="00EC1AB2">
        <w:rPr>
          <w:rFonts w:ascii="Times New Roman" w:hAnsi="Times New Roman" w:cs="Times New Roman"/>
          <w:spacing w:val="1"/>
          <w:sz w:val="24"/>
          <w:szCs w:val="24"/>
        </w:rPr>
        <w:t>in</w:t>
      </w:r>
      <w:r w:rsidRPr="00EC1AB2">
        <w:rPr>
          <w:rFonts w:ascii="Times New Roman" w:hAnsi="Times New Roman" w:cs="Times New Roman"/>
          <w:spacing w:val="-1"/>
          <w:sz w:val="24"/>
          <w:szCs w:val="24"/>
        </w:rPr>
        <w:t>i</w:t>
      </w:r>
      <w:r w:rsidRPr="00EC1AB2">
        <w:rPr>
          <w:rFonts w:ascii="Times New Roman" w:hAnsi="Times New Roman" w:cs="Times New Roman"/>
          <w:sz w:val="24"/>
          <w:szCs w:val="24"/>
        </w:rPr>
        <w:t>ų</w:t>
      </w:r>
      <w:r w:rsidRPr="00EC1AB2">
        <w:rPr>
          <w:rFonts w:ascii="Times New Roman" w:hAnsi="Times New Roman" w:cs="Times New Roman"/>
          <w:spacing w:val="29"/>
          <w:sz w:val="24"/>
          <w:szCs w:val="24"/>
        </w:rPr>
        <w:t xml:space="preserve"> </w:t>
      </w:r>
      <w:r w:rsidRPr="00EC1AB2">
        <w:rPr>
          <w:rFonts w:ascii="Times New Roman" w:hAnsi="Times New Roman" w:cs="Times New Roman"/>
          <w:spacing w:val="-2"/>
          <w:sz w:val="24"/>
          <w:szCs w:val="24"/>
        </w:rPr>
        <w:t>į</w:t>
      </w:r>
      <w:r w:rsidRPr="00EC1AB2">
        <w:rPr>
          <w:rFonts w:ascii="Times New Roman" w:hAnsi="Times New Roman" w:cs="Times New Roman"/>
          <w:spacing w:val="1"/>
          <w:sz w:val="24"/>
          <w:szCs w:val="24"/>
        </w:rPr>
        <w:t>mo</w:t>
      </w:r>
      <w:r w:rsidRPr="00EC1AB2">
        <w:rPr>
          <w:rFonts w:ascii="Times New Roman" w:hAnsi="Times New Roman" w:cs="Times New Roman"/>
          <w:spacing w:val="-2"/>
          <w:sz w:val="24"/>
          <w:szCs w:val="24"/>
        </w:rPr>
        <w:t>n</w:t>
      </w:r>
      <w:r w:rsidRPr="00EC1AB2">
        <w:rPr>
          <w:rFonts w:ascii="Times New Roman" w:hAnsi="Times New Roman" w:cs="Times New Roman"/>
          <w:spacing w:val="1"/>
          <w:sz w:val="24"/>
          <w:szCs w:val="24"/>
        </w:rPr>
        <w:t>i</w:t>
      </w:r>
      <w:r w:rsidRPr="00EC1AB2">
        <w:rPr>
          <w:rFonts w:ascii="Times New Roman" w:hAnsi="Times New Roman" w:cs="Times New Roman"/>
          <w:sz w:val="24"/>
          <w:szCs w:val="24"/>
        </w:rPr>
        <w:t>ų</w:t>
      </w:r>
      <w:r w:rsidRPr="00EC1AB2">
        <w:rPr>
          <w:rFonts w:ascii="Times New Roman" w:hAnsi="Times New Roman" w:cs="Times New Roman"/>
          <w:spacing w:val="29"/>
          <w:sz w:val="24"/>
          <w:szCs w:val="24"/>
        </w:rPr>
        <w:t xml:space="preserve"> </w:t>
      </w:r>
      <w:r w:rsidRPr="00EC1AB2">
        <w:rPr>
          <w:rFonts w:ascii="Times New Roman" w:hAnsi="Times New Roman" w:cs="Times New Roman"/>
          <w:sz w:val="24"/>
          <w:szCs w:val="24"/>
        </w:rPr>
        <w:t>t</w:t>
      </w:r>
      <w:r w:rsidRPr="00EC1AB2">
        <w:rPr>
          <w:rFonts w:ascii="Times New Roman" w:hAnsi="Times New Roman" w:cs="Times New Roman"/>
          <w:spacing w:val="-1"/>
          <w:sz w:val="24"/>
          <w:szCs w:val="24"/>
        </w:rPr>
        <w:t>y</w:t>
      </w:r>
      <w:r w:rsidRPr="00EC1AB2">
        <w:rPr>
          <w:rFonts w:ascii="Times New Roman" w:hAnsi="Times New Roman" w:cs="Times New Roman"/>
          <w:sz w:val="24"/>
          <w:szCs w:val="24"/>
        </w:rPr>
        <w:t>ri</w:t>
      </w:r>
      <w:r w:rsidRPr="00EC1AB2">
        <w:rPr>
          <w:rFonts w:ascii="Times New Roman" w:hAnsi="Times New Roman" w:cs="Times New Roman"/>
          <w:spacing w:val="-1"/>
          <w:sz w:val="24"/>
          <w:szCs w:val="24"/>
        </w:rPr>
        <w:t>m</w:t>
      </w:r>
      <w:r w:rsidRPr="00EC1AB2">
        <w:rPr>
          <w:rFonts w:ascii="Times New Roman" w:hAnsi="Times New Roman" w:cs="Times New Roman"/>
          <w:sz w:val="24"/>
          <w:szCs w:val="24"/>
        </w:rPr>
        <w:t>ą</w:t>
      </w:r>
      <w:r w:rsidRPr="00EC1AB2">
        <w:rPr>
          <w:rFonts w:ascii="Times New Roman" w:hAnsi="Times New Roman" w:cs="Times New Roman"/>
          <w:spacing w:val="29"/>
          <w:sz w:val="24"/>
          <w:szCs w:val="24"/>
        </w:rPr>
        <w:t xml:space="preserve"> </w:t>
      </w:r>
      <w:r w:rsidRPr="00EC1AB2">
        <w:rPr>
          <w:rFonts w:ascii="Times New Roman" w:hAnsi="Times New Roman" w:cs="Times New Roman"/>
          <w:sz w:val="24"/>
          <w:szCs w:val="24"/>
        </w:rPr>
        <w:t>„Ve</w:t>
      </w:r>
      <w:r w:rsidRPr="00EC1AB2">
        <w:rPr>
          <w:rFonts w:ascii="Times New Roman" w:hAnsi="Times New Roman" w:cs="Times New Roman"/>
          <w:spacing w:val="-2"/>
          <w:sz w:val="24"/>
          <w:szCs w:val="24"/>
        </w:rPr>
        <w:t>r</w:t>
      </w:r>
      <w:r w:rsidRPr="00EC1AB2">
        <w:rPr>
          <w:rFonts w:ascii="Times New Roman" w:hAnsi="Times New Roman" w:cs="Times New Roman"/>
          <w:spacing w:val="1"/>
          <w:sz w:val="24"/>
          <w:szCs w:val="24"/>
        </w:rPr>
        <w:t>sl</w:t>
      </w:r>
      <w:r w:rsidRPr="00EC1AB2">
        <w:rPr>
          <w:rFonts w:ascii="Times New Roman" w:hAnsi="Times New Roman" w:cs="Times New Roman"/>
          <w:sz w:val="24"/>
          <w:szCs w:val="24"/>
        </w:rPr>
        <w:t>o</w:t>
      </w:r>
      <w:r w:rsidRPr="00EC1AB2">
        <w:rPr>
          <w:rFonts w:ascii="Times New Roman" w:hAnsi="Times New Roman" w:cs="Times New Roman"/>
          <w:spacing w:val="22"/>
          <w:sz w:val="24"/>
          <w:szCs w:val="24"/>
        </w:rPr>
        <w:t xml:space="preserve"> </w:t>
      </w:r>
      <w:r w:rsidRPr="00EC1AB2">
        <w:rPr>
          <w:rFonts w:ascii="Times New Roman" w:hAnsi="Times New Roman" w:cs="Times New Roman"/>
          <w:spacing w:val="-2"/>
          <w:sz w:val="24"/>
          <w:szCs w:val="24"/>
        </w:rPr>
        <w:t>s</w:t>
      </w:r>
      <w:r w:rsidRPr="00EC1AB2">
        <w:rPr>
          <w:rFonts w:ascii="Times New Roman" w:hAnsi="Times New Roman" w:cs="Times New Roman"/>
          <w:spacing w:val="1"/>
          <w:sz w:val="24"/>
          <w:szCs w:val="24"/>
        </w:rPr>
        <w:t>ąl</w:t>
      </w:r>
      <w:r w:rsidRPr="00EC1AB2">
        <w:rPr>
          <w:rFonts w:ascii="Times New Roman" w:hAnsi="Times New Roman" w:cs="Times New Roman"/>
          <w:spacing w:val="-1"/>
          <w:sz w:val="24"/>
          <w:szCs w:val="24"/>
        </w:rPr>
        <w:t>y</w:t>
      </w:r>
      <w:r w:rsidRPr="00EC1AB2">
        <w:rPr>
          <w:rFonts w:ascii="Times New Roman" w:hAnsi="Times New Roman" w:cs="Times New Roman"/>
          <w:spacing w:val="1"/>
          <w:sz w:val="24"/>
          <w:szCs w:val="24"/>
        </w:rPr>
        <w:t>go</w:t>
      </w:r>
      <w:r w:rsidRPr="00EC1AB2">
        <w:rPr>
          <w:rFonts w:ascii="Times New Roman" w:hAnsi="Times New Roman" w:cs="Times New Roman"/>
          <w:spacing w:val="-1"/>
          <w:sz w:val="24"/>
          <w:szCs w:val="24"/>
        </w:rPr>
        <w:t>s</w:t>
      </w:r>
      <w:r w:rsidRPr="00EC1AB2">
        <w:rPr>
          <w:rFonts w:ascii="Times New Roman" w:hAnsi="Times New Roman" w:cs="Times New Roman"/>
          <w:sz w:val="24"/>
          <w:szCs w:val="24"/>
        </w:rPr>
        <w:t>:</w:t>
      </w:r>
      <w:r w:rsidRPr="00EC1AB2">
        <w:rPr>
          <w:rFonts w:ascii="Times New Roman" w:hAnsi="Times New Roman" w:cs="Times New Roman"/>
          <w:spacing w:val="29"/>
          <w:sz w:val="24"/>
          <w:szCs w:val="24"/>
        </w:rPr>
        <w:t xml:space="preserve"> </w:t>
      </w:r>
      <w:r w:rsidRPr="00EC1AB2">
        <w:rPr>
          <w:rFonts w:ascii="Times New Roman" w:hAnsi="Times New Roman" w:cs="Times New Roman"/>
          <w:spacing w:val="-2"/>
          <w:sz w:val="24"/>
          <w:szCs w:val="24"/>
        </w:rPr>
        <w:t>į</w:t>
      </w:r>
      <w:r w:rsidRPr="00EC1AB2">
        <w:rPr>
          <w:rFonts w:ascii="Times New Roman" w:hAnsi="Times New Roman" w:cs="Times New Roman"/>
          <w:spacing w:val="1"/>
          <w:sz w:val="24"/>
          <w:szCs w:val="24"/>
        </w:rPr>
        <w:t>m</w:t>
      </w:r>
      <w:r w:rsidRPr="00EC1AB2">
        <w:rPr>
          <w:rFonts w:ascii="Times New Roman" w:hAnsi="Times New Roman" w:cs="Times New Roman"/>
          <w:spacing w:val="-2"/>
          <w:sz w:val="24"/>
          <w:szCs w:val="24"/>
        </w:rPr>
        <w:t>o</w:t>
      </w:r>
      <w:r w:rsidRPr="00EC1AB2">
        <w:rPr>
          <w:rFonts w:ascii="Times New Roman" w:hAnsi="Times New Roman" w:cs="Times New Roman"/>
          <w:spacing w:val="1"/>
          <w:sz w:val="24"/>
          <w:szCs w:val="24"/>
        </w:rPr>
        <w:t>ni</w:t>
      </w:r>
      <w:r w:rsidRPr="00EC1AB2">
        <w:rPr>
          <w:rFonts w:ascii="Times New Roman" w:hAnsi="Times New Roman" w:cs="Times New Roman"/>
          <w:sz w:val="24"/>
          <w:szCs w:val="24"/>
        </w:rPr>
        <w:t>ų</w:t>
      </w:r>
      <w:r w:rsidRPr="00EC1AB2">
        <w:rPr>
          <w:rFonts w:ascii="Times New Roman" w:hAnsi="Times New Roman" w:cs="Times New Roman"/>
          <w:spacing w:val="29"/>
          <w:sz w:val="24"/>
          <w:szCs w:val="24"/>
        </w:rPr>
        <w:t xml:space="preserve"> </w:t>
      </w:r>
      <w:r w:rsidRPr="00EC1AB2">
        <w:rPr>
          <w:rFonts w:ascii="Times New Roman" w:hAnsi="Times New Roman" w:cs="Times New Roman"/>
          <w:spacing w:val="-1"/>
          <w:sz w:val="24"/>
          <w:szCs w:val="24"/>
        </w:rPr>
        <w:t>v</w:t>
      </w:r>
      <w:r w:rsidRPr="00EC1AB2">
        <w:rPr>
          <w:rFonts w:ascii="Times New Roman" w:hAnsi="Times New Roman" w:cs="Times New Roman"/>
          <w:spacing w:val="1"/>
          <w:sz w:val="24"/>
          <w:szCs w:val="24"/>
        </w:rPr>
        <w:t>e</w:t>
      </w:r>
      <w:r w:rsidRPr="00EC1AB2">
        <w:rPr>
          <w:rFonts w:ascii="Times New Roman" w:hAnsi="Times New Roman" w:cs="Times New Roman"/>
          <w:spacing w:val="-2"/>
          <w:sz w:val="24"/>
          <w:szCs w:val="24"/>
        </w:rPr>
        <w:t>i</w:t>
      </w:r>
      <w:r w:rsidRPr="00EC1AB2">
        <w:rPr>
          <w:rFonts w:ascii="Times New Roman" w:hAnsi="Times New Roman" w:cs="Times New Roman"/>
          <w:spacing w:val="1"/>
          <w:sz w:val="24"/>
          <w:szCs w:val="24"/>
        </w:rPr>
        <w:t>kl</w:t>
      </w:r>
      <w:r w:rsidRPr="00EC1AB2">
        <w:rPr>
          <w:rFonts w:ascii="Times New Roman" w:hAnsi="Times New Roman" w:cs="Times New Roman"/>
          <w:spacing w:val="-2"/>
          <w:sz w:val="24"/>
          <w:szCs w:val="24"/>
        </w:rPr>
        <w:t>o</w:t>
      </w:r>
      <w:r w:rsidRPr="00EC1AB2">
        <w:rPr>
          <w:rFonts w:ascii="Times New Roman" w:hAnsi="Times New Roman" w:cs="Times New Roman"/>
          <w:sz w:val="24"/>
          <w:szCs w:val="24"/>
        </w:rPr>
        <w:t xml:space="preserve">s </w:t>
      </w:r>
      <w:r w:rsidRPr="00EC1AB2">
        <w:rPr>
          <w:rFonts w:ascii="Times New Roman" w:hAnsi="Times New Roman" w:cs="Times New Roman"/>
          <w:spacing w:val="-25"/>
          <w:sz w:val="24"/>
          <w:szCs w:val="24"/>
        </w:rPr>
        <w:t xml:space="preserve"> </w:t>
      </w:r>
      <w:r w:rsidRPr="00EC1AB2">
        <w:rPr>
          <w:rFonts w:ascii="Times New Roman" w:hAnsi="Times New Roman" w:cs="Times New Roman"/>
          <w:spacing w:val="-2"/>
          <w:sz w:val="24"/>
          <w:szCs w:val="24"/>
        </w:rPr>
        <w:t>f</w:t>
      </w:r>
      <w:r w:rsidRPr="00EC1AB2">
        <w:rPr>
          <w:rFonts w:ascii="Times New Roman" w:hAnsi="Times New Roman" w:cs="Times New Roman"/>
          <w:spacing w:val="1"/>
          <w:sz w:val="24"/>
          <w:szCs w:val="24"/>
        </w:rPr>
        <w:t>in</w:t>
      </w:r>
      <w:r w:rsidRPr="00EC1AB2">
        <w:rPr>
          <w:rFonts w:ascii="Times New Roman" w:hAnsi="Times New Roman" w:cs="Times New Roman"/>
          <w:spacing w:val="-2"/>
          <w:sz w:val="24"/>
          <w:szCs w:val="24"/>
        </w:rPr>
        <w:t>a</w:t>
      </w:r>
      <w:r w:rsidRPr="00EC1AB2">
        <w:rPr>
          <w:rFonts w:ascii="Times New Roman" w:hAnsi="Times New Roman" w:cs="Times New Roman"/>
          <w:spacing w:val="1"/>
          <w:sz w:val="24"/>
          <w:szCs w:val="24"/>
        </w:rPr>
        <w:t>nsa</w:t>
      </w:r>
      <w:r w:rsidRPr="00EC1AB2">
        <w:rPr>
          <w:rFonts w:ascii="Times New Roman" w:hAnsi="Times New Roman" w:cs="Times New Roman"/>
          <w:spacing w:val="-1"/>
          <w:sz w:val="24"/>
          <w:szCs w:val="24"/>
        </w:rPr>
        <w:t>v</w:t>
      </w:r>
      <w:r w:rsidRPr="00EC1AB2">
        <w:rPr>
          <w:rFonts w:ascii="Times New Roman" w:hAnsi="Times New Roman" w:cs="Times New Roman"/>
          <w:spacing w:val="-2"/>
          <w:sz w:val="24"/>
          <w:szCs w:val="24"/>
        </w:rPr>
        <w:t>i</w:t>
      </w:r>
      <w:r w:rsidRPr="00EC1AB2">
        <w:rPr>
          <w:rFonts w:ascii="Times New Roman" w:hAnsi="Times New Roman" w:cs="Times New Roman"/>
          <w:spacing w:val="1"/>
          <w:sz w:val="24"/>
          <w:szCs w:val="24"/>
        </w:rPr>
        <w:t>m</w:t>
      </w:r>
      <w:r w:rsidRPr="00EC1AB2">
        <w:rPr>
          <w:rFonts w:ascii="Times New Roman" w:hAnsi="Times New Roman" w:cs="Times New Roman"/>
          <w:spacing w:val="-2"/>
          <w:sz w:val="24"/>
          <w:szCs w:val="24"/>
        </w:rPr>
        <w:t>a</w:t>
      </w:r>
      <w:r w:rsidRPr="00EC1AB2">
        <w:rPr>
          <w:rFonts w:ascii="Times New Roman" w:hAnsi="Times New Roman" w:cs="Times New Roman"/>
          <w:spacing w:val="1"/>
          <w:sz w:val="24"/>
          <w:szCs w:val="24"/>
        </w:rPr>
        <w:t>s“,</w:t>
      </w:r>
      <w:r w:rsidRPr="00EC1AB2">
        <w:rPr>
          <w:rFonts w:ascii="Times New Roman" w:hAnsi="Times New Roman" w:cs="Times New Roman"/>
          <w:sz w:val="24"/>
          <w:szCs w:val="24"/>
        </w:rPr>
        <w:t xml:space="preserve"> </w:t>
      </w:r>
      <w:r w:rsidRPr="00EC1AB2">
        <w:rPr>
          <w:rFonts w:ascii="Times New Roman" w:hAnsi="Times New Roman" w:cs="Times New Roman"/>
          <w:spacing w:val="1"/>
          <w:sz w:val="24"/>
          <w:szCs w:val="24"/>
        </w:rPr>
        <w:t>kuri</w:t>
      </w:r>
      <w:r w:rsidRPr="00EC1AB2">
        <w:rPr>
          <w:rFonts w:ascii="Times New Roman" w:hAnsi="Times New Roman" w:cs="Times New Roman"/>
          <w:sz w:val="24"/>
          <w:szCs w:val="24"/>
        </w:rPr>
        <w:t>o</w:t>
      </w:r>
      <w:r w:rsidRPr="00EC1AB2">
        <w:rPr>
          <w:rFonts w:ascii="Times New Roman" w:hAnsi="Times New Roman" w:cs="Times New Roman"/>
          <w:spacing w:val="18"/>
          <w:sz w:val="24"/>
          <w:szCs w:val="24"/>
        </w:rPr>
        <w:t xml:space="preserve"> </w:t>
      </w:r>
      <w:r w:rsidRPr="00EC1AB2">
        <w:rPr>
          <w:rFonts w:ascii="Times New Roman" w:hAnsi="Times New Roman" w:cs="Times New Roman"/>
          <w:spacing w:val="-2"/>
          <w:sz w:val="24"/>
          <w:szCs w:val="24"/>
        </w:rPr>
        <w:t>t</w:t>
      </w:r>
      <w:r w:rsidRPr="00EC1AB2">
        <w:rPr>
          <w:rFonts w:ascii="Times New Roman" w:hAnsi="Times New Roman" w:cs="Times New Roman"/>
          <w:spacing w:val="1"/>
          <w:sz w:val="24"/>
          <w:szCs w:val="24"/>
        </w:rPr>
        <w:t>i</w:t>
      </w:r>
      <w:r w:rsidRPr="00EC1AB2">
        <w:rPr>
          <w:rFonts w:ascii="Times New Roman" w:hAnsi="Times New Roman" w:cs="Times New Roman"/>
          <w:spacing w:val="-1"/>
          <w:sz w:val="24"/>
          <w:szCs w:val="24"/>
        </w:rPr>
        <w:t>k</w:t>
      </w:r>
      <w:r w:rsidRPr="00EC1AB2">
        <w:rPr>
          <w:rFonts w:ascii="Times New Roman" w:hAnsi="Times New Roman" w:cs="Times New Roman"/>
          <w:spacing w:val="1"/>
          <w:sz w:val="24"/>
          <w:szCs w:val="24"/>
        </w:rPr>
        <w:t>sl</w:t>
      </w:r>
      <w:r w:rsidRPr="00EC1AB2">
        <w:rPr>
          <w:rFonts w:ascii="Times New Roman" w:hAnsi="Times New Roman" w:cs="Times New Roman"/>
          <w:spacing w:val="-2"/>
          <w:sz w:val="24"/>
          <w:szCs w:val="24"/>
        </w:rPr>
        <w:t>a</w:t>
      </w:r>
      <w:r w:rsidRPr="00EC1AB2">
        <w:rPr>
          <w:rFonts w:ascii="Times New Roman" w:hAnsi="Times New Roman" w:cs="Times New Roman"/>
          <w:sz w:val="24"/>
          <w:szCs w:val="24"/>
        </w:rPr>
        <w:t>s</w:t>
      </w:r>
      <w:r w:rsidRPr="00EC1AB2">
        <w:rPr>
          <w:rFonts w:ascii="Times New Roman" w:hAnsi="Times New Roman" w:cs="Times New Roman"/>
          <w:spacing w:val="18"/>
          <w:sz w:val="24"/>
          <w:szCs w:val="24"/>
        </w:rPr>
        <w:t xml:space="preserve"> </w:t>
      </w:r>
      <w:r w:rsidRPr="00EC1AB2">
        <w:rPr>
          <w:rFonts w:ascii="Times New Roman" w:hAnsi="Times New Roman" w:cs="Times New Roman"/>
          <w:sz w:val="24"/>
          <w:szCs w:val="24"/>
        </w:rPr>
        <w:t>–</w:t>
      </w:r>
      <w:r w:rsidRPr="00EC1AB2">
        <w:rPr>
          <w:rFonts w:ascii="Times New Roman" w:hAnsi="Times New Roman" w:cs="Times New Roman"/>
          <w:spacing w:val="18"/>
          <w:sz w:val="24"/>
          <w:szCs w:val="24"/>
        </w:rPr>
        <w:t xml:space="preserve"> </w:t>
      </w:r>
      <w:r w:rsidRPr="00EC1AB2">
        <w:rPr>
          <w:rFonts w:ascii="Times New Roman" w:hAnsi="Times New Roman" w:cs="Times New Roman"/>
          <w:spacing w:val="1"/>
          <w:sz w:val="24"/>
          <w:szCs w:val="24"/>
        </w:rPr>
        <w:t>su</w:t>
      </w:r>
      <w:r w:rsidRPr="00EC1AB2">
        <w:rPr>
          <w:rFonts w:ascii="Times New Roman" w:hAnsi="Times New Roman" w:cs="Times New Roman"/>
          <w:spacing w:val="-1"/>
          <w:sz w:val="24"/>
          <w:szCs w:val="24"/>
        </w:rPr>
        <w:t>ž</w:t>
      </w:r>
      <w:r w:rsidRPr="00EC1AB2">
        <w:rPr>
          <w:rFonts w:ascii="Times New Roman" w:hAnsi="Times New Roman" w:cs="Times New Roman"/>
          <w:spacing w:val="1"/>
          <w:sz w:val="24"/>
          <w:szCs w:val="24"/>
        </w:rPr>
        <w:t>in</w:t>
      </w:r>
      <w:r w:rsidRPr="00EC1AB2">
        <w:rPr>
          <w:rFonts w:ascii="Times New Roman" w:hAnsi="Times New Roman" w:cs="Times New Roman"/>
          <w:spacing w:val="-2"/>
          <w:sz w:val="24"/>
          <w:szCs w:val="24"/>
        </w:rPr>
        <w:t>o</w:t>
      </w:r>
      <w:r w:rsidRPr="00EC1AB2">
        <w:rPr>
          <w:rFonts w:ascii="Times New Roman" w:hAnsi="Times New Roman" w:cs="Times New Roman"/>
          <w:spacing w:val="1"/>
          <w:sz w:val="24"/>
          <w:szCs w:val="24"/>
        </w:rPr>
        <w:t>t</w:t>
      </w:r>
      <w:r w:rsidRPr="00EC1AB2">
        <w:rPr>
          <w:rFonts w:ascii="Times New Roman" w:hAnsi="Times New Roman" w:cs="Times New Roman"/>
          <w:sz w:val="24"/>
          <w:szCs w:val="24"/>
        </w:rPr>
        <w:t>i</w:t>
      </w:r>
      <w:r w:rsidRPr="00EC1AB2">
        <w:rPr>
          <w:rFonts w:ascii="Times New Roman" w:hAnsi="Times New Roman" w:cs="Times New Roman"/>
          <w:spacing w:val="18"/>
          <w:sz w:val="24"/>
          <w:szCs w:val="24"/>
        </w:rPr>
        <w:t xml:space="preserve"> </w:t>
      </w:r>
      <w:r w:rsidRPr="00EC1AB2">
        <w:rPr>
          <w:rFonts w:ascii="Times New Roman" w:hAnsi="Times New Roman" w:cs="Times New Roman"/>
          <w:spacing w:val="-1"/>
          <w:sz w:val="24"/>
          <w:szCs w:val="24"/>
        </w:rPr>
        <w:t>v</w:t>
      </w:r>
      <w:r w:rsidRPr="00EC1AB2">
        <w:rPr>
          <w:rFonts w:ascii="Times New Roman" w:hAnsi="Times New Roman" w:cs="Times New Roman"/>
          <w:spacing w:val="1"/>
          <w:sz w:val="24"/>
          <w:szCs w:val="24"/>
        </w:rPr>
        <w:t>ersl</w:t>
      </w:r>
      <w:r w:rsidRPr="00EC1AB2">
        <w:rPr>
          <w:rFonts w:ascii="Times New Roman" w:hAnsi="Times New Roman" w:cs="Times New Roman"/>
          <w:spacing w:val="-2"/>
          <w:sz w:val="24"/>
          <w:szCs w:val="24"/>
        </w:rPr>
        <w:t>i</w:t>
      </w:r>
      <w:r w:rsidRPr="00EC1AB2">
        <w:rPr>
          <w:rFonts w:ascii="Times New Roman" w:hAnsi="Times New Roman" w:cs="Times New Roman"/>
          <w:spacing w:val="1"/>
          <w:sz w:val="24"/>
          <w:szCs w:val="24"/>
        </w:rPr>
        <w:t>n</w:t>
      </w:r>
      <w:r w:rsidRPr="00EC1AB2">
        <w:rPr>
          <w:rFonts w:ascii="Times New Roman" w:hAnsi="Times New Roman" w:cs="Times New Roman"/>
          <w:spacing w:val="-2"/>
          <w:sz w:val="24"/>
          <w:szCs w:val="24"/>
        </w:rPr>
        <w:t>i</w:t>
      </w:r>
      <w:r w:rsidRPr="00EC1AB2">
        <w:rPr>
          <w:rFonts w:ascii="Times New Roman" w:hAnsi="Times New Roman" w:cs="Times New Roman"/>
          <w:spacing w:val="1"/>
          <w:sz w:val="24"/>
          <w:szCs w:val="24"/>
        </w:rPr>
        <w:t>n</w:t>
      </w:r>
      <w:r w:rsidRPr="00EC1AB2">
        <w:rPr>
          <w:rFonts w:ascii="Times New Roman" w:hAnsi="Times New Roman" w:cs="Times New Roman"/>
          <w:spacing w:val="2"/>
          <w:sz w:val="24"/>
          <w:szCs w:val="24"/>
        </w:rPr>
        <w:t>k</w:t>
      </w:r>
      <w:r w:rsidRPr="00EC1AB2">
        <w:rPr>
          <w:rFonts w:ascii="Times New Roman" w:hAnsi="Times New Roman" w:cs="Times New Roman"/>
          <w:sz w:val="24"/>
          <w:szCs w:val="24"/>
        </w:rPr>
        <w:t>ų</w:t>
      </w:r>
      <w:r w:rsidRPr="00EC1AB2">
        <w:rPr>
          <w:rFonts w:ascii="Times New Roman" w:hAnsi="Times New Roman" w:cs="Times New Roman"/>
          <w:spacing w:val="18"/>
          <w:sz w:val="24"/>
          <w:szCs w:val="24"/>
        </w:rPr>
        <w:t xml:space="preserve"> </w:t>
      </w:r>
      <w:r w:rsidRPr="00EC1AB2">
        <w:rPr>
          <w:rFonts w:ascii="Times New Roman" w:hAnsi="Times New Roman" w:cs="Times New Roman"/>
          <w:spacing w:val="1"/>
          <w:sz w:val="24"/>
          <w:szCs w:val="24"/>
        </w:rPr>
        <w:t>n</w:t>
      </w:r>
      <w:r w:rsidRPr="00EC1AB2">
        <w:rPr>
          <w:rFonts w:ascii="Times New Roman" w:hAnsi="Times New Roman" w:cs="Times New Roman"/>
          <w:spacing w:val="-2"/>
          <w:sz w:val="24"/>
          <w:szCs w:val="24"/>
        </w:rPr>
        <w:t>u</w:t>
      </w:r>
      <w:r w:rsidRPr="00EC1AB2">
        <w:rPr>
          <w:rFonts w:ascii="Times New Roman" w:hAnsi="Times New Roman" w:cs="Times New Roman"/>
          <w:spacing w:val="1"/>
          <w:sz w:val="24"/>
          <w:szCs w:val="24"/>
        </w:rPr>
        <w:t>om</w:t>
      </w:r>
      <w:r w:rsidRPr="00EC1AB2">
        <w:rPr>
          <w:rFonts w:ascii="Times New Roman" w:hAnsi="Times New Roman" w:cs="Times New Roman"/>
          <w:spacing w:val="-2"/>
          <w:sz w:val="24"/>
          <w:szCs w:val="24"/>
        </w:rPr>
        <w:t>o</w:t>
      </w:r>
      <w:r w:rsidRPr="00EC1AB2">
        <w:rPr>
          <w:rFonts w:ascii="Times New Roman" w:hAnsi="Times New Roman" w:cs="Times New Roman"/>
          <w:spacing w:val="1"/>
          <w:sz w:val="24"/>
          <w:szCs w:val="24"/>
        </w:rPr>
        <w:t>n</w:t>
      </w:r>
      <w:r w:rsidRPr="00EC1AB2">
        <w:rPr>
          <w:rFonts w:ascii="Times New Roman" w:hAnsi="Times New Roman" w:cs="Times New Roman"/>
          <w:sz w:val="24"/>
          <w:szCs w:val="24"/>
        </w:rPr>
        <w:t>ę</w:t>
      </w:r>
      <w:r w:rsidRPr="00EC1AB2">
        <w:rPr>
          <w:rFonts w:ascii="Times New Roman" w:hAnsi="Times New Roman" w:cs="Times New Roman"/>
          <w:spacing w:val="18"/>
          <w:sz w:val="24"/>
          <w:szCs w:val="24"/>
        </w:rPr>
        <w:t xml:space="preserve"> </w:t>
      </w:r>
      <w:r w:rsidRPr="00EC1AB2">
        <w:rPr>
          <w:rFonts w:ascii="Times New Roman" w:hAnsi="Times New Roman" w:cs="Times New Roman"/>
          <w:spacing w:val="1"/>
          <w:sz w:val="24"/>
          <w:szCs w:val="24"/>
        </w:rPr>
        <w:t>ap</w:t>
      </w:r>
      <w:r w:rsidRPr="00EC1AB2">
        <w:rPr>
          <w:rFonts w:ascii="Times New Roman" w:hAnsi="Times New Roman" w:cs="Times New Roman"/>
          <w:spacing w:val="-2"/>
          <w:sz w:val="24"/>
          <w:szCs w:val="24"/>
        </w:rPr>
        <w:t>i</w:t>
      </w:r>
      <w:r w:rsidRPr="00EC1AB2">
        <w:rPr>
          <w:rFonts w:ascii="Times New Roman" w:hAnsi="Times New Roman" w:cs="Times New Roman"/>
          <w:sz w:val="24"/>
          <w:szCs w:val="24"/>
        </w:rPr>
        <w:t>e</w:t>
      </w:r>
      <w:r w:rsidRPr="00EC1AB2">
        <w:rPr>
          <w:rFonts w:ascii="Times New Roman" w:hAnsi="Times New Roman" w:cs="Times New Roman"/>
          <w:spacing w:val="18"/>
          <w:sz w:val="24"/>
          <w:szCs w:val="24"/>
        </w:rPr>
        <w:t xml:space="preserve"> </w:t>
      </w:r>
      <w:r w:rsidRPr="00EC1AB2">
        <w:rPr>
          <w:rFonts w:ascii="Times New Roman" w:hAnsi="Times New Roman" w:cs="Times New Roman"/>
          <w:spacing w:val="-1"/>
          <w:sz w:val="24"/>
          <w:szCs w:val="24"/>
        </w:rPr>
        <w:t>v</w:t>
      </w:r>
      <w:r w:rsidRPr="00EC1AB2">
        <w:rPr>
          <w:rFonts w:ascii="Times New Roman" w:hAnsi="Times New Roman" w:cs="Times New Roman"/>
          <w:spacing w:val="1"/>
          <w:sz w:val="24"/>
          <w:szCs w:val="24"/>
        </w:rPr>
        <w:t>ersl</w:t>
      </w:r>
      <w:r w:rsidRPr="00EC1AB2">
        <w:rPr>
          <w:rFonts w:ascii="Times New Roman" w:hAnsi="Times New Roman" w:cs="Times New Roman"/>
          <w:sz w:val="24"/>
          <w:szCs w:val="24"/>
        </w:rPr>
        <w:t>o</w:t>
      </w:r>
      <w:r w:rsidRPr="00EC1AB2">
        <w:rPr>
          <w:rFonts w:ascii="Times New Roman" w:hAnsi="Times New Roman" w:cs="Times New Roman"/>
          <w:spacing w:val="18"/>
          <w:sz w:val="24"/>
          <w:szCs w:val="24"/>
        </w:rPr>
        <w:t xml:space="preserve"> </w:t>
      </w:r>
      <w:r w:rsidRPr="00EC1AB2">
        <w:rPr>
          <w:rFonts w:ascii="Times New Roman" w:hAnsi="Times New Roman" w:cs="Times New Roman"/>
          <w:spacing w:val="1"/>
          <w:sz w:val="24"/>
          <w:szCs w:val="24"/>
        </w:rPr>
        <w:t>f</w:t>
      </w:r>
      <w:r w:rsidRPr="00EC1AB2">
        <w:rPr>
          <w:rFonts w:ascii="Times New Roman" w:hAnsi="Times New Roman" w:cs="Times New Roman"/>
          <w:spacing w:val="-2"/>
          <w:sz w:val="24"/>
          <w:szCs w:val="24"/>
        </w:rPr>
        <w:t>i</w:t>
      </w:r>
      <w:r w:rsidRPr="00EC1AB2">
        <w:rPr>
          <w:rFonts w:ascii="Times New Roman" w:hAnsi="Times New Roman" w:cs="Times New Roman"/>
          <w:spacing w:val="1"/>
          <w:sz w:val="24"/>
          <w:szCs w:val="24"/>
        </w:rPr>
        <w:t>n</w:t>
      </w:r>
      <w:r w:rsidRPr="00EC1AB2">
        <w:rPr>
          <w:rFonts w:ascii="Times New Roman" w:hAnsi="Times New Roman" w:cs="Times New Roman"/>
          <w:spacing w:val="-2"/>
          <w:sz w:val="24"/>
          <w:szCs w:val="24"/>
        </w:rPr>
        <w:t>a</w:t>
      </w:r>
      <w:r w:rsidRPr="00EC1AB2">
        <w:rPr>
          <w:rFonts w:ascii="Times New Roman" w:hAnsi="Times New Roman" w:cs="Times New Roman"/>
          <w:spacing w:val="1"/>
          <w:sz w:val="24"/>
          <w:szCs w:val="24"/>
        </w:rPr>
        <w:t>nsa</w:t>
      </w:r>
      <w:r w:rsidRPr="00EC1AB2">
        <w:rPr>
          <w:rFonts w:ascii="Times New Roman" w:hAnsi="Times New Roman" w:cs="Times New Roman"/>
          <w:spacing w:val="-1"/>
          <w:sz w:val="24"/>
          <w:szCs w:val="24"/>
        </w:rPr>
        <w:t>v</w:t>
      </w:r>
      <w:r w:rsidRPr="00EC1AB2">
        <w:rPr>
          <w:rFonts w:ascii="Times New Roman" w:hAnsi="Times New Roman" w:cs="Times New Roman"/>
          <w:spacing w:val="1"/>
          <w:sz w:val="24"/>
          <w:szCs w:val="24"/>
        </w:rPr>
        <w:t>i</w:t>
      </w:r>
      <w:r w:rsidRPr="00EC1AB2">
        <w:rPr>
          <w:rFonts w:ascii="Times New Roman" w:hAnsi="Times New Roman" w:cs="Times New Roman"/>
          <w:spacing w:val="-1"/>
          <w:sz w:val="24"/>
          <w:szCs w:val="24"/>
        </w:rPr>
        <w:t>m</w:t>
      </w:r>
      <w:r w:rsidRPr="00EC1AB2">
        <w:rPr>
          <w:rFonts w:ascii="Times New Roman" w:hAnsi="Times New Roman" w:cs="Times New Roman"/>
          <w:sz w:val="24"/>
          <w:szCs w:val="24"/>
        </w:rPr>
        <w:t>o</w:t>
      </w:r>
      <w:r w:rsidRPr="00EC1AB2">
        <w:rPr>
          <w:rFonts w:ascii="Times New Roman" w:hAnsi="Times New Roman" w:cs="Times New Roman"/>
          <w:spacing w:val="18"/>
          <w:sz w:val="24"/>
          <w:szCs w:val="24"/>
        </w:rPr>
        <w:t xml:space="preserve"> </w:t>
      </w:r>
      <w:r w:rsidRPr="00EC1AB2">
        <w:rPr>
          <w:rFonts w:ascii="Times New Roman" w:hAnsi="Times New Roman" w:cs="Times New Roman"/>
          <w:spacing w:val="1"/>
          <w:sz w:val="24"/>
          <w:szCs w:val="24"/>
        </w:rPr>
        <w:t>por</w:t>
      </w:r>
      <w:r w:rsidRPr="00EC1AB2">
        <w:rPr>
          <w:rFonts w:ascii="Times New Roman" w:hAnsi="Times New Roman" w:cs="Times New Roman"/>
          <w:spacing w:val="-2"/>
          <w:sz w:val="24"/>
          <w:szCs w:val="24"/>
        </w:rPr>
        <w:t>e</w:t>
      </w:r>
      <w:r w:rsidRPr="00EC1AB2">
        <w:rPr>
          <w:rFonts w:ascii="Times New Roman" w:hAnsi="Times New Roman" w:cs="Times New Roman"/>
          <w:spacing w:val="1"/>
          <w:sz w:val="24"/>
          <w:szCs w:val="24"/>
        </w:rPr>
        <w:t>i</w:t>
      </w:r>
      <w:r w:rsidRPr="00EC1AB2">
        <w:rPr>
          <w:rFonts w:ascii="Times New Roman" w:hAnsi="Times New Roman" w:cs="Times New Roman"/>
          <w:spacing w:val="2"/>
          <w:sz w:val="24"/>
          <w:szCs w:val="24"/>
        </w:rPr>
        <w:t>k</w:t>
      </w:r>
      <w:r w:rsidRPr="00EC1AB2">
        <w:rPr>
          <w:rFonts w:ascii="Times New Roman" w:hAnsi="Times New Roman" w:cs="Times New Roman"/>
          <w:spacing w:val="-2"/>
          <w:sz w:val="24"/>
          <w:szCs w:val="24"/>
        </w:rPr>
        <w:t>į</w:t>
      </w:r>
      <w:r w:rsidRPr="00EC1AB2">
        <w:rPr>
          <w:rFonts w:ascii="Times New Roman" w:hAnsi="Times New Roman" w:cs="Times New Roman"/>
          <w:sz w:val="24"/>
          <w:szCs w:val="24"/>
        </w:rPr>
        <w:t>,</w:t>
      </w:r>
      <w:r w:rsidRPr="00EC1AB2">
        <w:rPr>
          <w:rFonts w:ascii="Times New Roman" w:hAnsi="Times New Roman" w:cs="Times New Roman"/>
          <w:spacing w:val="18"/>
          <w:sz w:val="24"/>
          <w:szCs w:val="24"/>
        </w:rPr>
        <w:t xml:space="preserve"> </w:t>
      </w:r>
      <w:r w:rsidRPr="00EC1AB2">
        <w:rPr>
          <w:rFonts w:ascii="Times New Roman" w:hAnsi="Times New Roman" w:cs="Times New Roman"/>
          <w:spacing w:val="1"/>
          <w:sz w:val="24"/>
          <w:szCs w:val="24"/>
        </w:rPr>
        <w:t>fina</w:t>
      </w:r>
      <w:r w:rsidRPr="00EC1AB2">
        <w:rPr>
          <w:rFonts w:ascii="Times New Roman" w:hAnsi="Times New Roman" w:cs="Times New Roman"/>
          <w:spacing w:val="-2"/>
          <w:sz w:val="24"/>
          <w:szCs w:val="24"/>
        </w:rPr>
        <w:t>n</w:t>
      </w:r>
      <w:r w:rsidRPr="00EC1AB2">
        <w:rPr>
          <w:rFonts w:ascii="Times New Roman" w:hAnsi="Times New Roman" w:cs="Times New Roman"/>
          <w:spacing w:val="1"/>
          <w:sz w:val="24"/>
          <w:szCs w:val="24"/>
        </w:rPr>
        <w:t>sa</w:t>
      </w:r>
      <w:r w:rsidRPr="00EC1AB2">
        <w:rPr>
          <w:rFonts w:ascii="Times New Roman" w:hAnsi="Times New Roman" w:cs="Times New Roman"/>
          <w:spacing w:val="-1"/>
          <w:sz w:val="24"/>
          <w:szCs w:val="24"/>
        </w:rPr>
        <w:t>v</w:t>
      </w:r>
      <w:r w:rsidRPr="00EC1AB2">
        <w:rPr>
          <w:rFonts w:ascii="Times New Roman" w:hAnsi="Times New Roman" w:cs="Times New Roman"/>
          <w:spacing w:val="-2"/>
          <w:sz w:val="24"/>
          <w:szCs w:val="24"/>
        </w:rPr>
        <w:t>i</w:t>
      </w:r>
      <w:r w:rsidRPr="00EC1AB2">
        <w:rPr>
          <w:rFonts w:ascii="Times New Roman" w:hAnsi="Times New Roman" w:cs="Times New Roman"/>
          <w:spacing w:val="1"/>
          <w:sz w:val="24"/>
          <w:szCs w:val="24"/>
        </w:rPr>
        <w:t>m</w:t>
      </w:r>
      <w:r w:rsidRPr="00EC1AB2">
        <w:rPr>
          <w:rFonts w:ascii="Times New Roman" w:hAnsi="Times New Roman" w:cs="Times New Roman"/>
          <w:sz w:val="24"/>
          <w:szCs w:val="24"/>
        </w:rPr>
        <w:t>o</w:t>
      </w:r>
      <w:r w:rsidRPr="00EC1AB2">
        <w:rPr>
          <w:rFonts w:ascii="Times New Roman" w:hAnsi="Times New Roman" w:cs="Times New Roman"/>
          <w:spacing w:val="16"/>
          <w:sz w:val="24"/>
          <w:szCs w:val="24"/>
        </w:rPr>
        <w:t xml:space="preserve"> </w:t>
      </w:r>
      <w:r w:rsidRPr="00EC1AB2">
        <w:rPr>
          <w:rFonts w:ascii="Times New Roman" w:hAnsi="Times New Roman" w:cs="Times New Roman"/>
          <w:spacing w:val="1"/>
          <w:sz w:val="24"/>
          <w:szCs w:val="24"/>
        </w:rPr>
        <w:t>būd</w:t>
      </w:r>
      <w:r w:rsidRPr="00EC1AB2">
        <w:rPr>
          <w:rFonts w:ascii="Times New Roman" w:hAnsi="Times New Roman" w:cs="Times New Roman"/>
          <w:spacing w:val="-2"/>
          <w:sz w:val="24"/>
          <w:szCs w:val="24"/>
        </w:rPr>
        <w:t>u</w:t>
      </w:r>
      <w:r w:rsidRPr="00EC1AB2">
        <w:rPr>
          <w:rFonts w:ascii="Times New Roman" w:hAnsi="Times New Roman" w:cs="Times New Roman"/>
          <w:spacing w:val="1"/>
          <w:sz w:val="24"/>
          <w:szCs w:val="24"/>
        </w:rPr>
        <w:t>s</w:t>
      </w:r>
      <w:r w:rsidRPr="00EC1AB2">
        <w:rPr>
          <w:rFonts w:ascii="Times New Roman" w:hAnsi="Times New Roman" w:cs="Times New Roman"/>
          <w:sz w:val="24"/>
          <w:szCs w:val="24"/>
        </w:rPr>
        <w:t>,</w:t>
      </w:r>
      <w:r w:rsidRPr="00EC1AB2">
        <w:rPr>
          <w:rFonts w:ascii="Times New Roman" w:hAnsi="Times New Roman" w:cs="Times New Roman"/>
          <w:spacing w:val="18"/>
          <w:sz w:val="24"/>
          <w:szCs w:val="24"/>
        </w:rPr>
        <w:t xml:space="preserve"> </w:t>
      </w:r>
      <w:r w:rsidRPr="00EC1AB2">
        <w:rPr>
          <w:rFonts w:ascii="Times New Roman" w:hAnsi="Times New Roman" w:cs="Times New Roman"/>
          <w:spacing w:val="1"/>
          <w:sz w:val="24"/>
          <w:szCs w:val="24"/>
        </w:rPr>
        <w:t>š</w:t>
      </w:r>
      <w:r w:rsidRPr="00EC1AB2">
        <w:rPr>
          <w:rFonts w:ascii="Times New Roman" w:hAnsi="Times New Roman" w:cs="Times New Roman"/>
          <w:spacing w:val="-2"/>
          <w:sz w:val="24"/>
          <w:szCs w:val="24"/>
        </w:rPr>
        <w:t>a</w:t>
      </w:r>
      <w:r w:rsidRPr="00EC1AB2">
        <w:rPr>
          <w:rFonts w:ascii="Times New Roman" w:hAnsi="Times New Roman" w:cs="Times New Roman"/>
          <w:spacing w:val="1"/>
          <w:sz w:val="24"/>
          <w:szCs w:val="24"/>
        </w:rPr>
        <w:t>lti</w:t>
      </w:r>
      <w:r w:rsidRPr="00EC1AB2">
        <w:rPr>
          <w:rFonts w:ascii="Times New Roman" w:hAnsi="Times New Roman" w:cs="Times New Roman"/>
          <w:spacing w:val="-2"/>
          <w:sz w:val="24"/>
          <w:szCs w:val="24"/>
        </w:rPr>
        <w:t>n</w:t>
      </w:r>
      <w:r w:rsidRPr="00EC1AB2">
        <w:rPr>
          <w:rFonts w:ascii="Times New Roman" w:hAnsi="Times New Roman" w:cs="Times New Roman"/>
          <w:spacing w:val="1"/>
          <w:sz w:val="24"/>
          <w:szCs w:val="24"/>
        </w:rPr>
        <w:t>iu</w:t>
      </w:r>
      <w:r w:rsidRPr="00EC1AB2">
        <w:rPr>
          <w:rFonts w:ascii="Times New Roman" w:hAnsi="Times New Roman" w:cs="Times New Roman"/>
          <w:sz w:val="24"/>
          <w:szCs w:val="24"/>
        </w:rPr>
        <w:t>s</w:t>
      </w:r>
      <w:r w:rsidRPr="00EC1AB2">
        <w:rPr>
          <w:rFonts w:ascii="Times New Roman" w:hAnsi="Times New Roman" w:cs="Times New Roman"/>
          <w:spacing w:val="18"/>
          <w:sz w:val="24"/>
          <w:szCs w:val="24"/>
        </w:rPr>
        <w:t xml:space="preserve"> </w:t>
      </w:r>
      <w:r w:rsidRPr="00EC1AB2">
        <w:rPr>
          <w:rFonts w:ascii="Times New Roman" w:hAnsi="Times New Roman" w:cs="Times New Roman"/>
          <w:spacing w:val="1"/>
          <w:sz w:val="24"/>
          <w:szCs w:val="24"/>
        </w:rPr>
        <w:t>i</w:t>
      </w:r>
      <w:r w:rsidRPr="00EC1AB2">
        <w:rPr>
          <w:rFonts w:ascii="Times New Roman" w:hAnsi="Times New Roman" w:cs="Times New Roman"/>
          <w:sz w:val="24"/>
          <w:szCs w:val="24"/>
        </w:rPr>
        <w:t>r</w:t>
      </w:r>
      <w:r w:rsidRPr="00EC1AB2">
        <w:rPr>
          <w:rFonts w:ascii="Times New Roman" w:hAnsi="Times New Roman" w:cs="Times New Roman"/>
          <w:spacing w:val="16"/>
          <w:sz w:val="24"/>
          <w:szCs w:val="24"/>
        </w:rPr>
        <w:t xml:space="preserve"> </w:t>
      </w:r>
      <w:r w:rsidRPr="00EC1AB2">
        <w:rPr>
          <w:rFonts w:ascii="Times New Roman" w:hAnsi="Times New Roman" w:cs="Times New Roman"/>
          <w:spacing w:val="1"/>
          <w:sz w:val="24"/>
          <w:szCs w:val="24"/>
        </w:rPr>
        <w:t>su</w:t>
      </w:r>
      <w:r w:rsidRPr="00EC1AB2">
        <w:rPr>
          <w:rFonts w:ascii="Times New Roman" w:hAnsi="Times New Roman" w:cs="Times New Roman"/>
          <w:spacing w:val="-2"/>
          <w:sz w:val="24"/>
          <w:szCs w:val="24"/>
        </w:rPr>
        <w:t>n</w:t>
      </w:r>
      <w:r w:rsidRPr="00EC1AB2">
        <w:rPr>
          <w:rFonts w:ascii="Times New Roman" w:hAnsi="Times New Roman" w:cs="Times New Roman"/>
          <w:spacing w:val="1"/>
          <w:sz w:val="24"/>
          <w:szCs w:val="24"/>
        </w:rPr>
        <w:t>ku</w:t>
      </w:r>
      <w:r w:rsidRPr="00EC1AB2">
        <w:rPr>
          <w:rFonts w:ascii="Times New Roman" w:hAnsi="Times New Roman" w:cs="Times New Roman"/>
          <w:spacing w:val="-1"/>
          <w:sz w:val="24"/>
          <w:szCs w:val="24"/>
        </w:rPr>
        <w:t>m</w:t>
      </w:r>
      <w:r w:rsidRPr="00EC1AB2">
        <w:rPr>
          <w:rFonts w:ascii="Times New Roman" w:hAnsi="Times New Roman" w:cs="Times New Roman"/>
          <w:spacing w:val="1"/>
          <w:sz w:val="24"/>
          <w:szCs w:val="24"/>
        </w:rPr>
        <w:t>us,</w:t>
      </w:r>
      <w:r w:rsidRPr="00EC1AB2">
        <w:rPr>
          <w:rFonts w:ascii="Times New Roman" w:hAnsi="Times New Roman" w:cs="Times New Roman"/>
          <w:sz w:val="24"/>
          <w:szCs w:val="24"/>
        </w:rPr>
        <w:t xml:space="preserve"> </w:t>
      </w:r>
      <w:r w:rsidRPr="00EC1AB2">
        <w:rPr>
          <w:rFonts w:ascii="Times New Roman" w:hAnsi="Times New Roman" w:cs="Times New Roman"/>
          <w:spacing w:val="1"/>
          <w:sz w:val="24"/>
          <w:szCs w:val="24"/>
        </w:rPr>
        <w:t>į</w:t>
      </w:r>
      <w:r w:rsidRPr="00EC1AB2">
        <w:rPr>
          <w:rFonts w:ascii="Times New Roman" w:hAnsi="Times New Roman" w:cs="Times New Roman"/>
          <w:spacing w:val="-2"/>
          <w:sz w:val="24"/>
          <w:szCs w:val="24"/>
        </w:rPr>
        <w:t>v</w:t>
      </w:r>
      <w:r w:rsidRPr="00EC1AB2">
        <w:rPr>
          <w:rFonts w:ascii="Times New Roman" w:hAnsi="Times New Roman" w:cs="Times New Roman"/>
          <w:spacing w:val="1"/>
          <w:sz w:val="24"/>
          <w:szCs w:val="24"/>
        </w:rPr>
        <w:t>e</w:t>
      </w:r>
      <w:r w:rsidRPr="00EC1AB2">
        <w:rPr>
          <w:rFonts w:ascii="Times New Roman" w:hAnsi="Times New Roman" w:cs="Times New Roman"/>
          <w:sz w:val="24"/>
          <w:szCs w:val="24"/>
        </w:rPr>
        <w:t>rt</w:t>
      </w:r>
      <w:r w:rsidRPr="00EC1AB2">
        <w:rPr>
          <w:rFonts w:ascii="Times New Roman" w:hAnsi="Times New Roman" w:cs="Times New Roman"/>
          <w:spacing w:val="1"/>
          <w:sz w:val="24"/>
          <w:szCs w:val="24"/>
        </w:rPr>
        <w:t>in</w:t>
      </w:r>
      <w:r w:rsidRPr="00EC1AB2">
        <w:rPr>
          <w:rFonts w:ascii="Times New Roman" w:hAnsi="Times New Roman" w:cs="Times New Roman"/>
          <w:sz w:val="24"/>
          <w:szCs w:val="24"/>
        </w:rPr>
        <w:t>ti</w:t>
      </w:r>
      <w:r w:rsidRPr="00EC1AB2">
        <w:rPr>
          <w:rFonts w:ascii="Times New Roman" w:hAnsi="Times New Roman" w:cs="Times New Roman"/>
          <w:spacing w:val="1"/>
          <w:sz w:val="24"/>
          <w:szCs w:val="24"/>
        </w:rPr>
        <w:t xml:space="preserve"> </w:t>
      </w:r>
      <w:r w:rsidRPr="00EC1AB2">
        <w:rPr>
          <w:rFonts w:ascii="Times New Roman" w:hAnsi="Times New Roman" w:cs="Times New Roman"/>
          <w:spacing w:val="-2"/>
          <w:sz w:val="24"/>
          <w:szCs w:val="24"/>
        </w:rPr>
        <w:t>2007–2</w:t>
      </w:r>
      <w:r w:rsidRPr="00EC1AB2">
        <w:rPr>
          <w:rFonts w:ascii="Times New Roman" w:hAnsi="Times New Roman" w:cs="Times New Roman"/>
          <w:spacing w:val="-4"/>
          <w:sz w:val="24"/>
          <w:szCs w:val="24"/>
        </w:rPr>
        <w:t>0</w:t>
      </w:r>
      <w:r w:rsidRPr="00EC1AB2">
        <w:rPr>
          <w:rFonts w:ascii="Times New Roman" w:hAnsi="Times New Roman" w:cs="Times New Roman"/>
          <w:spacing w:val="-2"/>
          <w:sz w:val="24"/>
          <w:szCs w:val="24"/>
        </w:rPr>
        <w:t>1</w:t>
      </w:r>
      <w:r w:rsidRPr="00EC1AB2">
        <w:rPr>
          <w:rFonts w:ascii="Times New Roman" w:hAnsi="Times New Roman" w:cs="Times New Roman"/>
          <w:sz w:val="24"/>
          <w:szCs w:val="24"/>
        </w:rPr>
        <w:t>0</w:t>
      </w:r>
      <w:r w:rsidRPr="00EC1AB2">
        <w:rPr>
          <w:rFonts w:ascii="Times New Roman" w:hAnsi="Times New Roman" w:cs="Times New Roman"/>
          <w:spacing w:val="-4"/>
          <w:sz w:val="24"/>
          <w:szCs w:val="24"/>
        </w:rPr>
        <w:t xml:space="preserve"> </w:t>
      </w:r>
      <w:r w:rsidRPr="00EC1AB2">
        <w:rPr>
          <w:rFonts w:ascii="Times New Roman" w:hAnsi="Times New Roman" w:cs="Times New Roman"/>
          <w:spacing w:val="-2"/>
          <w:sz w:val="24"/>
          <w:szCs w:val="24"/>
        </w:rPr>
        <w:t>m</w:t>
      </w:r>
      <w:r w:rsidRPr="00EC1AB2">
        <w:rPr>
          <w:rFonts w:ascii="Times New Roman" w:hAnsi="Times New Roman" w:cs="Times New Roman"/>
          <w:sz w:val="24"/>
          <w:szCs w:val="24"/>
        </w:rPr>
        <w:t>.</w:t>
      </w:r>
      <w:r w:rsidRPr="00EC1AB2">
        <w:rPr>
          <w:rFonts w:ascii="Times New Roman" w:hAnsi="Times New Roman" w:cs="Times New Roman"/>
          <w:spacing w:val="-1"/>
          <w:sz w:val="24"/>
          <w:szCs w:val="24"/>
        </w:rPr>
        <w:t xml:space="preserve"> </w:t>
      </w:r>
      <w:r w:rsidRPr="00EC1AB2">
        <w:rPr>
          <w:rFonts w:ascii="Times New Roman" w:hAnsi="Times New Roman" w:cs="Times New Roman"/>
          <w:spacing w:val="-2"/>
          <w:sz w:val="24"/>
          <w:szCs w:val="24"/>
        </w:rPr>
        <w:t>v</w:t>
      </w:r>
      <w:r w:rsidRPr="00EC1AB2">
        <w:rPr>
          <w:rFonts w:ascii="Times New Roman" w:hAnsi="Times New Roman" w:cs="Times New Roman"/>
          <w:spacing w:val="1"/>
          <w:sz w:val="24"/>
          <w:szCs w:val="24"/>
        </w:rPr>
        <w:t>e</w:t>
      </w:r>
      <w:r w:rsidRPr="00EC1AB2">
        <w:rPr>
          <w:rFonts w:ascii="Times New Roman" w:hAnsi="Times New Roman" w:cs="Times New Roman"/>
          <w:sz w:val="24"/>
          <w:szCs w:val="24"/>
        </w:rPr>
        <w:t>r</w:t>
      </w:r>
      <w:r w:rsidRPr="00EC1AB2">
        <w:rPr>
          <w:rFonts w:ascii="Times New Roman" w:hAnsi="Times New Roman" w:cs="Times New Roman"/>
          <w:spacing w:val="-1"/>
          <w:sz w:val="24"/>
          <w:szCs w:val="24"/>
        </w:rPr>
        <w:t>s</w:t>
      </w:r>
      <w:r w:rsidRPr="00EC1AB2">
        <w:rPr>
          <w:rFonts w:ascii="Times New Roman" w:hAnsi="Times New Roman" w:cs="Times New Roman"/>
          <w:spacing w:val="1"/>
          <w:sz w:val="24"/>
          <w:szCs w:val="24"/>
        </w:rPr>
        <w:t>l</w:t>
      </w:r>
      <w:r w:rsidRPr="00EC1AB2">
        <w:rPr>
          <w:rFonts w:ascii="Times New Roman" w:hAnsi="Times New Roman" w:cs="Times New Roman"/>
          <w:sz w:val="24"/>
          <w:szCs w:val="24"/>
        </w:rPr>
        <w:t>o</w:t>
      </w:r>
      <w:r w:rsidRPr="00EC1AB2">
        <w:rPr>
          <w:rFonts w:ascii="Times New Roman" w:hAnsi="Times New Roman" w:cs="Times New Roman"/>
          <w:spacing w:val="4"/>
          <w:sz w:val="24"/>
          <w:szCs w:val="24"/>
        </w:rPr>
        <w:t xml:space="preserve"> </w:t>
      </w:r>
      <w:r w:rsidRPr="00EC1AB2">
        <w:rPr>
          <w:rFonts w:ascii="Times New Roman" w:hAnsi="Times New Roman" w:cs="Times New Roman"/>
          <w:spacing w:val="-2"/>
          <w:sz w:val="24"/>
          <w:szCs w:val="24"/>
        </w:rPr>
        <w:t>f</w:t>
      </w:r>
      <w:r w:rsidRPr="00EC1AB2">
        <w:rPr>
          <w:rFonts w:ascii="Times New Roman" w:hAnsi="Times New Roman" w:cs="Times New Roman"/>
          <w:spacing w:val="-1"/>
          <w:sz w:val="24"/>
          <w:szCs w:val="24"/>
        </w:rPr>
        <w:t>i</w:t>
      </w:r>
      <w:r w:rsidRPr="00EC1AB2">
        <w:rPr>
          <w:rFonts w:ascii="Times New Roman" w:hAnsi="Times New Roman" w:cs="Times New Roman"/>
          <w:spacing w:val="1"/>
          <w:sz w:val="24"/>
          <w:szCs w:val="24"/>
        </w:rPr>
        <w:t>nan</w:t>
      </w:r>
      <w:r w:rsidRPr="00EC1AB2">
        <w:rPr>
          <w:rFonts w:ascii="Times New Roman" w:hAnsi="Times New Roman" w:cs="Times New Roman"/>
          <w:spacing w:val="-1"/>
          <w:sz w:val="24"/>
          <w:szCs w:val="24"/>
        </w:rPr>
        <w:t>s</w:t>
      </w:r>
      <w:r w:rsidRPr="00EC1AB2">
        <w:rPr>
          <w:rFonts w:ascii="Times New Roman" w:hAnsi="Times New Roman" w:cs="Times New Roman"/>
          <w:spacing w:val="1"/>
          <w:sz w:val="24"/>
          <w:szCs w:val="24"/>
        </w:rPr>
        <w:t>a</w:t>
      </w:r>
      <w:r w:rsidRPr="00EC1AB2">
        <w:rPr>
          <w:rFonts w:ascii="Times New Roman" w:hAnsi="Times New Roman" w:cs="Times New Roman"/>
          <w:spacing w:val="-1"/>
          <w:sz w:val="24"/>
          <w:szCs w:val="24"/>
        </w:rPr>
        <w:t>v</w:t>
      </w:r>
      <w:r w:rsidRPr="00EC1AB2">
        <w:rPr>
          <w:rFonts w:ascii="Times New Roman" w:hAnsi="Times New Roman" w:cs="Times New Roman"/>
          <w:spacing w:val="1"/>
          <w:sz w:val="24"/>
          <w:szCs w:val="24"/>
        </w:rPr>
        <w:t>im</w:t>
      </w:r>
      <w:r w:rsidRPr="00EC1AB2">
        <w:rPr>
          <w:rFonts w:ascii="Times New Roman" w:hAnsi="Times New Roman" w:cs="Times New Roman"/>
          <w:sz w:val="24"/>
          <w:szCs w:val="24"/>
        </w:rPr>
        <w:t>o</w:t>
      </w:r>
      <w:r w:rsidRPr="00EC1AB2">
        <w:rPr>
          <w:rFonts w:ascii="Times New Roman" w:hAnsi="Times New Roman" w:cs="Times New Roman"/>
          <w:spacing w:val="1"/>
          <w:sz w:val="24"/>
          <w:szCs w:val="24"/>
        </w:rPr>
        <w:t xml:space="preserve"> </w:t>
      </w:r>
      <w:r w:rsidRPr="00EC1AB2">
        <w:rPr>
          <w:rFonts w:ascii="Times New Roman" w:hAnsi="Times New Roman" w:cs="Times New Roman"/>
          <w:spacing w:val="-2"/>
          <w:sz w:val="24"/>
          <w:szCs w:val="24"/>
        </w:rPr>
        <w:t>po</w:t>
      </w:r>
      <w:r w:rsidRPr="00EC1AB2">
        <w:rPr>
          <w:rFonts w:ascii="Times New Roman" w:hAnsi="Times New Roman" w:cs="Times New Roman"/>
          <w:spacing w:val="-1"/>
          <w:sz w:val="24"/>
          <w:szCs w:val="24"/>
        </w:rPr>
        <w:t>k</w:t>
      </w:r>
      <w:r w:rsidRPr="00EC1AB2">
        <w:rPr>
          <w:rFonts w:ascii="Times New Roman" w:hAnsi="Times New Roman" w:cs="Times New Roman"/>
          <w:spacing w:val="-3"/>
          <w:sz w:val="24"/>
          <w:szCs w:val="24"/>
        </w:rPr>
        <w:t>y</w:t>
      </w:r>
      <w:r w:rsidRPr="00EC1AB2">
        <w:rPr>
          <w:rFonts w:ascii="Times New Roman" w:hAnsi="Times New Roman" w:cs="Times New Roman"/>
          <w:spacing w:val="-1"/>
          <w:sz w:val="24"/>
          <w:szCs w:val="24"/>
        </w:rPr>
        <w:t>č</w:t>
      </w:r>
      <w:r w:rsidRPr="00EC1AB2">
        <w:rPr>
          <w:rFonts w:ascii="Times New Roman" w:hAnsi="Times New Roman" w:cs="Times New Roman"/>
          <w:spacing w:val="-2"/>
          <w:sz w:val="24"/>
          <w:szCs w:val="24"/>
        </w:rPr>
        <w:t>ius</w:t>
      </w:r>
      <w:r w:rsidRPr="00EC1AB2">
        <w:rPr>
          <w:rFonts w:ascii="Times New Roman" w:hAnsi="Times New Roman" w:cs="Times New Roman"/>
          <w:sz w:val="24"/>
          <w:szCs w:val="24"/>
        </w:rPr>
        <w:t>.</w:t>
      </w:r>
      <w:r w:rsidR="00490E84" w:rsidRPr="00EC1AB2">
        <w:rPr>
          <w:rFonts w:ascii="Times New Roman" w:hAnsi="Times New Roman" w:cs="Times New Roman"/>
          <w:sz w:val="24"/>
          <w:szCs w:val="24"/>
        </w:rPr>
        <w:t xml:space="preserve"> Šio tyrimo rezultatai</w:t>
      </w:r>
      <w:r w:rsidR="009C0E2C" w:rsidRPr="00EC1AB2">
        <w:rPr>
          <w:rFonts w:ascii="Times New Roman" w:hAnsi="Times New Roman" w:cs="Times New Roman"/>
          <w:sz w:val="24"/>
          <w:szCs w:val="24"/>
        </w:rPr>
        <w:t xml:space="preserve"> </w:t>
      </w:r>
      <w:r w:rsidR="00490E84" w:rsidRPr="00EC1AB2">
        <w:rPr>
          <w:rFonts w:ascii="Times New Roman" w:hAnsi="Times New Roman" w:cs="Times New Roman"/>
          <w:sz w:val="24"/>
          <w:szCs w:val="24"/>
        </w:rPr>
        <w:t>atskleidė, kad iš 185</w:t>
      </w:r>
      <w:r w:rsidR="009C0E2C" w:rsidRPr="00EC1AB2">
        <w:rPr>
          <w:rFonts w:ascii="Times New Roman" w:hAnsi="Times New Roman" w:cs="Times New Roman"/>
          <w:sz w:val="24"/>
          <w:szCs w:val="24"/>
        </w:rPr>
        <w:t>4 tyrime dalyvavusių įmonių tik 2,7 proc. ketino plė</w:t>
      </w:r>
      <w:r w:rsidR="00490E84" w:rsidRPr="00EC1AB2">
        <w:rPr>
          <w:rFonts w:ascii="Times New Roman" w:hAnsi="Times New Roman" w:cs="Times New Roman"/>
          <w:sz w:val="24"/>
          <w:szCs w:val="24"/>
        </w:rPr>
        <w:t>s</w:t>
      </w:r>
      <w:r w:rsidR="009C0E2C" w:rsidRPr="00EC1AB2">
        <w:rPr>
          <w:rFonts w:ascii="Times New Roman" w:hAnsi="Times New Roman" w:cs="Times New Roman"/>
          <w:sz w:val="24"/>
          <w:szCs w:val="24"/>
        </w:rPr>
        <w:t>ti ver</w:t>
      </w:r>
      <w:r w:rsidR="00525B9D" w:rsidRPr="00EC1AB2">
        <w:rPr>
          <w:rFonts w:ascii="Times New Roman" w:hAnsi="Times New Roman" w:cs="Times New Roman"/>
          <w:sz w:val="24"/>
          <w:szCs w:val="24"/>
        </w:rPr>
        <w:t xml:space="preserve">slą didindamos nuosavą kapitalą, tačiau pastebima, kad </w:t>
      </w:r>
      <w:r w:rsidRPr="00EC1AB2">
        <w:rPr>
          <w:rFonts w:ascii="Times New Roman" w:hAnsi="Times New Roman" w:cs="Times New Roman"/>
          <w:spacing w:val="-20"/>
          <w:sz w:val="24"/>
          <w:szCs w:val="24"/>
        </w:rPr>
        <w:t xml:space="preserve"> </w:t>
      </w:r>
      <w:r w:rsidRPr="00EC1AB2">
        <w:rPr>
          <w:rFonts w:ascii="Times New Roman" w:hAnsi="Times New Roman" w:cs="Times New Roman"/>
          <w:sz w:val="24"/>
          <w:szCs w:val="24"/>
        </w:rPr>
        <w:t>20</w:t>
      </w:r>
      <w:r w:rsidRPr="00EC1AB2">
        <w:rPr>
          <w:rFonts w:ascii="Times New Roman" w:hAnsi="Times New Roman" w:cs="Times New Roman"/>
          <w:spacing w:val="-2"/>
          <w:sz w:val="24"/>
          <w:szCs w:val="24"/>
        </w:rPr>
        <w:t>1</w:t>
      </w:r>
      <w:r w:rsidRPr="00EC1AB2">
        <w:rPr>
          <w:rFonts w:ascii="Times New Roman" w:hAnsi="Times New Roman" w:cs="Times New Roman"/>
          <w:sz w:val="24"/>
          <w:szCs w:val="24"/>
        </w:rPr>
        <w:t xml:space="preserve">0 </w:t>
      </w:r>
      <w:r w:rsidRPr="00EC1AB2">
        <w:rPr>
          <w:rFonts w:ascii="Times New Roman" w:hAnsi="Times New Roman" w:cs="Times New Roman"/>
          <w:spacing w:val="-18"/>
          <w:sz w:val="24"/>
          <w:szCs w:val="24"/>
        </w:rPr>
        <w:t xml:space="preserve"> </w:t>
      </w:r>
      <w:r w:rsidRPr="00EC1AB2">
        <w:rPr>
          <w:rFonts w:ascii="Times New Roman" w:hAnsi="Times New Roman" w:cs="Times New Roman"/>
          <w:spacing w:val="-1"/>
          <w:sz w:val="24"/>
          <w:szCs w:val="24"/>
        </w:rPr>
        <w:t>m</w:t>
      </w:r>
      <w:r w:rsidRPr="00EC1AB2">
        <w:rPr>
          <w:rFonts w:ascii="Times New Roman" w:hAnsi="Times New Roman" w:cs="Times New Roman"/>
          <w:sz w:val="24"/>
          <w:szCs w:val="24"/>
        </w:rPr>
        <w:t>.</w:t>
      </w:r>
      <w:r w:rsidRPr="00EC1AB2">
        <w:rPr>
          <w:rFonts w:ascii="Times New Roman" w:hAnsi="Times New Roman" w:cs="Times New Roman"/>
          <w:spacing w:val="37"/>
          <w:sz w:val="24"/>
          <w:szCs w:val="24"/>
        </w:rPr>
        <w:t xml:space="preserve"> </w:t>
      </w:r>
      <w:r w:rsidRPr="00EC1AB2">
        <w:rPr>
          <w:rFonts w:ascii="Times New Roman" w:hAnsi="Times New Roman" w:cs="Times New Roman"/>
          <w:sz w:val="24"/>
          <w:szCs w:val="24"/>
        </w:rPr>
        <w:t>„</w:t>
      </w:r>
      <w:r w:rsidRPr="00EC1AB2">
        <w:rPr>
          <w:rFonts w:ascii="Times New Roman" w:hAnsi="Times New Roman" w:cs="Times New Roman"/>
          <w:spacing w:val="-1"/>
          <w:sz w:val="24"/>
          <w:szCs w:val="24"/>
        </w:rPr>
        <w:t>v</w:t>
      </w:r>
      <w:r w:rsidRPr="00EC1AB2">
        <w:rPr>
          <w:rFonts w:ascii="Times New Roman" w:hAnsi="Times New Roman" w:cs="Times New Roman"/>
          <w:sz w:val="24"/>
          <w:szCs w:val="24"/>
        </w:rPr>
        <w:t>er</w:t>
      </w:r>
      <w:r w:rsidRPr="00EC1AB2">
        <w:rPr>
          <w:rFonts w:ascii="Times New Roman" w:hAnsi="Times New Roman" w:cs="Times New Roman"/>
          <w:spacing w:val="-1"/>
          <w:sz w:val="24"/>
          <w:szCs w:val="24"/>
        </w:rPr>
        <w:t>s</w:t>
      </w:r>
      <w:r w:rsidRPr="00EC1AB2">
        <w:rPr>
          <w:rFonts w:ascii="Times New Roman" w:hAnsi="Times New Roman" w:cs="Times New Roman"/>
          <w:spacing w:val="1"/>
          <w:sz w:val="24"/>
          <w:szCs w:val="24"/>
        </w:rPr>
        <w:t>l</w:t>
      </w:r>
      <w:r w:rsidRPr="00EC1AB2">
        <w:rPr>
          <w:rFonts w:ascii="Times New Roman" w:hAnsi="Times New Roman" w:cs="Times New Roman"/>
          <w:sz w:val="24"/>
          <w:szCs w:val="24"/>
        </w:rPr>
        <w:t xml:space="preserve">o </w:t>
      </w:r>
      <w:r w:rsidRPr="00EC1AB2">
        <w:rPr>
          <w:rFonts w:ascii="Times New Roman" w:hAnsi="Times New Roman" w:cs="Times New Roman"/>
          <w:spacing w:val="1"/>
          <w:sz w:val="24"/>
          <w:szCs w:val="24"/>
        </w:rPr>
        <w:t>ange</w:t>
      </w:r>
      <w:r w:rsidRPr="00EC1AB2">
        <w:rPr>
          <w:rFonts w:ascii="Times New Roman" w:hAnsi="Times New Roman" w:cs="Times New Roman"/>
          <w:spacing w:val="-2"/>
          <w:sz w:val="24"/>
          <w:szCs w:val="24"/>
        </w:rPr>
        <w:t>l</w:t>
      </w:r>
      <w:r w:rsidRPr="00EC1AB2">
        <w:rPr>
          <w:rFonts w:ascii="Times New Roman" w:hAnsi="Times New Roman" w:cs="Times New Roman"/>
          <w:spacing w:val="1"/>
          <w:sz w:val="24"/>
          <w:szCs w:val="24"/>
        </w:rPr>
        <w:t>ų</w:t>
      </w:r>
      <w:r w:rsidRPr="00EC1AB2">
        <w:rPr>
          <w:rFonts w:ascii="Times New Roman" w:hAnsi="Times New Roman" w:cs="Times New Roman"/>
          <w:sz w:val="24"/>
          <w:szCs w:val="24"/>
        </w:rPr>
        <w:t>“</w:t>
      </w:r>
      <w:r w:rsidRPr="00EC1AB2">
        <w:rPr>
          <w:rFonts w:ascii="Times New Roman" w:hAnsi="Times New Roman" w:cs="Times New Roman"/>
          <w:spacing w:val="39"/>
          <w:sz w:val="24"/>
          <w:szCs w:val="24"/>
        </w:rPr>
        <w:t xml:space="preserve"> </w:t>
      </w:r>
      <w:r w:rsidRPr="00EC1AB2">
        <w:rPr>
          <w:rFonts w:ascii="Times New Roman" w:hAnsi="Times New Roman" w:cs="Times New Roman"/>
          <w:spacing w:val="1"/>
          <w:sz w:val="24"/>
          <w:szCs w:val="24"/>
        </w:rPr>
        <w:t>l</w:t>
      </w:r>
      <w:r w:rsidRPr="00EC1AB2">
        <w:rPr>
          <w:rFonts w:ascii="Times New Roman" w:hAnsi="Times New Roman" w:cs="Times New Roman"/>
          <w:spacing w:val="-2"/>
          <w:sz w:val="24"/>
          <w:szCs w:val="24"/>
        </w:rPr>
        <w:t>ė</w:t>
      </w:r>
      <w:r w:rsidRPr="00EC1AB2">
        <w:rPr>
          <w:rFonts w:ascii="Times New Roman" w:hAnsi="Times New Roman" w:cs="Times New Roman"/>
          <w:spacing w:val="1"/>
          <w:sz w:val="24"/>
          <w:szCs w:val="24"/>
        </w:rPr>
        <w:t>š</w:t>
      </w:r>
      <w:r w:rsidRPr="00EC1AB2">
        <w:rPr>
          <w:rFonts w:ascii="Times New Roman" w:hAnsi="Times New Roman" w:cs="Times New Roman"/>
          <w:spacing w:val="-2"/>
          <w:sz w:val="24"/>
          <w:szCs w:val="24"/>
        </w:rPr>
        <w:t>o</w:t>
      </w:r>
      <w:r w:rsidRPr="00EC1AB2">
        <w:rPr>
          <w:rFonts w:ascii="Times New Roman" w:hAnsi="Times New Roman" w:cs="Times New Roman"/>
          <w:spacing w:val="1"/>
          <w:sz w:val="24"/>
          <w:szCs w:val="24"/>
        </w:rPr>
        <w:t>m</w:t>
      </w:r>
      <w:r w:rsidRPr="00EC1AB2">
        <w:rPr>
          <w:rFonts w:ascii="Times New Roman" w:hAnsi="Times New Roman" w:cs="Times New Roman"/>
          <w:spacing w:val="-2"/>
          <w:sz w:val="24"/>
          <w:szCs w:val="24"/>
        </w:rPr>
        <w:t>i</w:t>
      </w:r>
      <w:r w:rsidRPr="00EC1AB2">
        <w:rPr>
          <w:rFonts w:ascii="Times New Roman" w:hAnsi="Times New Roman" w:cs="Times New Roman"/>
          <w:sz w:val="24"/>
          <w:szCs w:val="24"/>
        </w:rPr>
        <w:t>s</w:t>
      </w:r>
      <w:r w:rsidRPr="00EC1AB2">
        <w:rPr>
          <w:rFonts w:ascii="Times New Roman" w:hAnsi="Times New Roman" w:cs="Times New Roman"/>
          <w:spacing w:val="40"/>
          <w:sz w:val="24"/>
          <w:szCs w:val="24"/>
        </w:rPr>
        <w:t xml:space="preserve"> </w:t>
      </w:r>
      <w:r w:rsidRPr="00EC1AB2">
        <w:rPr>
          <w:rFonts w:ascii="Times New Roman" w:hAnsi="Times New Roman" w:cs="Times New Roman"/>
          <w:spacing w:val="1"/>
          <w:sz w:val="24"/>
          <w:szCs w:val="24"/>
        </w:rPr>
        <w:t>p</w:t>
      </w:r>
      <w:r w:rsidRPr="00EC1AB2">
        <w:rPr>
          <w:rFonts w:ascii="Times New Roman" w:hAnsi="Times New Roman" w:cs="Times New Roman"/>
          <w:spacing w:val="-2"/>
          <w:sz w:val="24"/>
          <w:szCs w:val="24"/>
        </w:rPr>
        <w:t>a</w:t>
      </w:r>
      <w:r w:rsidRPr="00EC1AB2">
        <w:rPr>
          <w:rFonts w:ascii="Times New Roman" w:hAnsi="Times New Roman" w:cs="Times New Roman"/>
          <w:spacing w:val="1"/>
          <w:sz w:val="24"/>
          <w:szCs w:val="24"/>
        </w:rPr>
        <w:t>si</w:t>
      </w:r>
      <w:r w:rsidRPr="00EC1AB2">
        <w:rPr>
          <w:rFonts w:ascii="Times New Roman" w:hAnsi="Times New Roman" w:cs="Times New Roman"/>
          <w:spacing w:val="-2"/>
          <w:sz w:val="24"/>
          <w:szCs w:val="24"/>
        </w:rPr>
        <w:t>n</w:t>
      </w:r>
      <w:r w:rsidRPr="00EC1AB2">
        <w:rPr>
          <w:rFonts w:ascii="Times New Roman" w:hAnsi="Times New Roman" w:cs="Times New Roman"/>
          <w:spacing w:val="1"/>
          <w:sz w:val="24"/>
          <w:szCs w:val="24"/>
        </w:rPr>
        <w:t>aud</w:t>
      </w:r>
      <w:r w:rsidRPr="00EC1AB2">
        <w:rPr>
          <w:rFonts w:ascii="Times New Roman" w:hAnsi="Times New Roman" w:cs="Times New Roman"/>
          <w:spacing w:val="-2"/>
          <w:sz w:val="24"/>
          <w:szCs w:val="24"/>
        </w:rPr>
        <w:t>o</w:t>
      </w:r>
      <w:r w:rsidRPr="00EC1AB2">
        <w:rPr>
          <w:rFonts w:ascii="Times New Roman" w:hAnsi="Times New Roman" w:cs="Times New Roman"/>
          <w:spacing w:val="1"/>
          <w:sz w:val="24"/>
          <w:szCs w:val="24"/>
        </w:rPr>
        <w:t>j</w:t>
      </w:r>
      <w:r w:rsidRPr="00EC1AB2">
        <w:rPr>
          <w:rFonts w:ascii="Times New Roman" w:hAnsi="Times New Roman" w:cs="Times New Roman"/>
          <w:sz w:val="24"/>
          <w:szCs w:val="24"/>
        </w:rPr>
        <w:t>o</w:t>
      </w:r>
      <w:r w:rsidRPr="00EC1AB2">
        <w:rPr>
          <w:rFonts w:ascii="Times New Roman" w:hAnsi="Times New Roman" w:cs="Times New Roman"/>
          <w:spacing w:val="38"/>
          <w:sz w:val="24"/>
          <w:szCs w:val="24"/>
        </w:rPr>
        <w:t xml:space="preserve"> </w:t>
      </w:r>
      <w:r w:rsidRPr="00EC1AB2">
        <w:rPr>
          <w:rFonts w:ascii="Times New Roman" w:hAnsi="Times New Roman" w:cs="Times New Roman"/>
          <w:spacing w:val="1"/>
          <w:sz w:val="24"/>
          <w:szCs w:val="24"/>
        </w:rPr>
        <w:t>4,</w:t>
      </w:r>
      <w:r w:rsidRPr="00EC1AB2">
        <w:rPr>
          <w:rFonts w:ascii="Times New Roman" w:hAnsi="Times New Roman" w:cs="Times New Roman"/>
          <w:sz w:val="24"/>
          <w:szCs w:val="24"/>
        </w:rPr>
        <w:t>8</w:t>
      </w:r>
      <w:r w:rsidRPr="00EC1AB2">
        <w:rPr>
          <w:rFonts w:ascii="Times New Roman" w:hAnsi="Times New Roman" w:cs="Times New Roman"/>
          <w:spacing w:val="40"/>
          <w:sz w:val="24"/>
          <w:szCs w:val="24"/>
        </w:rPr>
        <w:t xml:space="preserve"> </w:t>
      </w:r>
      <w:r w:rsidRPr="00EC1AB2">
        <w:rPr>
          <w:rFonts w:ascii="Times New Roman" w:hAnsi="Times New Roman" w:cs="Times New Roman"/>
          <w:spacing w:val="1"/>
          <w:sz w:val="24"/>
          <w:szCs w:val="24"/>
        </w:rPr>
        <w:t>pr</w:t>
      </w:r>
      <w:r w:rsidRPr="00EC1AB2">
        <w:rPr>
          <w:rFonts w:ascii="Times New Roman" w:hAnsi="Times New Roman" w:cs="Times New Roman"/>
          <w:spacing w:val="-2"/>
          <w:sz w:val="24"/>
          <w:szCs w:val="24"/>
        </w:rPr>
        <w:t>o</w:t>
      </w:r>
      <w:r w:rsidRPr="00EC1AB2">
        <w:rPr>
          <w:rFonts w:ascii="Times New Roman" w:hAnsi="Times New Roman" w:cs="Times New Roman"/>
          <w:spacing w:val="1"/>
          <w:sz w:val="24"/>
          <w:szCs w:val="24"/>
        </w:rPr>
        <w:t>ce</w:t>
      </w:r>
      <w:r w:rsidRPr="00EC1AB2">
        <w:rPr>
          <w:rFonts w:ascii="Times New Roman" w:hAnsi="Times New Roman" w:cs="Times New Roman"/>
          <w:spacing w:val="-2"/>
          <w:sz w:val="24"/>
          <w:szCs w:val="24"/>
        </w:rPr>
        <w:t>n</w:t>
      </w:r>
      <w:r w:rsidRPr="00EC1AB2">
        <w:rPr>
          <w:rFonts w:ascii="Times New Roman" w:hAnsi="Times New Roman" w:cs="Times New Roman"/>
          <w:spacing w:val="1"/>
          <w:sz w:val="24"/>
          <w:szCs w:val="24"/>
        </w:rPr>
        <w:t>t</w:t>
      </w:r>
      <w:r w:rsidRPr="00EC1AB2">
        <w:rPr>
          <w:rFonts w:ascii="Times New Roman" w:hAnsi="Times New Roman" w:cs="Times New Roman"/>
          <w:sz w:val="24"/>
          <w:szCs w:val="24"/>
        </w:rPr>
        <w:t>o</w:t>
      </w:r>
      <w:r w:rsidRPr="00EC1AB2">
        <w:rPr>
          <w:rFonts w:ascii="Times New Roman" w:hAnsi="Times New Roman" w:cs="Times New Roman"/>
          <w:spacing w:val="40"/>
          <w:sz w:val="24"/>
          <w:szCs w:val="24"/>
        </w:rPr>
        <w:t xml:space="preserve"> </w:t>
      </w:r>
      <w:r w:rsidRPr="00EC1AB2">
        <w:rPr>
          <w:rFonts w:ascii="Times New Roman" w:hAnsi="Times New Roman" w:cs="Times New Roman"/>
          <w:spacing w:val="-2"/>
          <w:sz w:val="24"/>
          <w:szCs w:val="24"/>
        </w:rPr>
        <w:t>į</w:t>
      </w:r>
      <w:r w:rsidRPr="00EC1AB2">
        <w:rPr>
          <w:rFonts w:ascii="Times New Roman" w:hAnsi="Times New Roman" w:cs="Times New Roman"/>
          <w:spacing w:val="1"/>
          <w:sz w:val="24"/>
          <w:szCs w:val="24"/>
        </w:rPr>
        <w:t>mo</w:t>
      </w:r>
      <w:r w:rsidRPr="00EC1AB2">
        <w:rPr>
          <w:rFonts w:ascii="Times New Roman" w:hAnsi="Times New Roman" w:cs="Times New Roman"/>
          <w:spacing w:val="-2"/>
          <w:sz w:val="24"/>
          <w:szCs w:val="24"/>
        </w:rPr>
        <w:t>n</w:t>
      </w:r>
      <w:r w:rsidRPr="00EC1AB2">
        <w:rPr>
          <w:rFonts w:ascii="Times New Roman" w:hAnsi="Times New Roman" w:cs="Times New Roman"/>
          <w:spacing w:val="1"/>
          <w:sz w:val="24"/>
          <w:szCs w:val="24"/>
        </w:rPr>
        <w:t>ių</w:t>
      </w:r>
      <w:r w:rsidRPr="00EC1AB2">
        <w:rPr>
          <w:rFonts w:ascii="Times New Roman" w:hAnsi="Times New Roman" w:cs="Times New Roman"/>
          <w:sz w:val="24"/>
          <w:szCs w:val="24"/>
        </w:rPr>
        <w:t>,</w:t>
      </w:r>
      <w:r w:rsidRPr="00EC1AB2">
        <w:rPr>
          <w:rFonts w:ascii="Times New Roman" w:hAnsi="Times New Roman" w:cs="Times New Roman"/>
          <w:spacing w:val="40"/>
          <w:sz w:val="24"/>
          <w:szCs w:val="24"/>
        </w:rPr>
        <w:t xml:space="preserve"> </w:t>
      </w:r>
      <w:r w:rsidRPr="00EC1AB2">
        <w:rPr>
          <w:rFonts w:ascii="Times New Roman" w:hAnsi="Times New Roman" w:cs="Times New Roman"/>
          <w:sz w:val="24"/>
          <w:szCs w:val="24"/>
        </w:rPr>
        <w:t>o</w:t>
      </w:r>
      <w:r w:rsidRPr="00EC1AB2">
        <w:rPr>
          <w:rFonts w:ascii="Times New Roman" w:hAnsi="Times New Roman" w:cs="Times New Roman"/>
          <w:spacing w:val="40"/>
          <w:sz w:val="24"/>
          <w:szCs w:val="24"/>
        </w:rPr>
        <w:t xml:space="preserve"> </w:t>
      </w:r>
      <w:r w:rsidR="0095651A" w:rsidRPr="00EC1AB2">
        <w:rPr>
          <w:rFonts w:ascii="Times New Roman" w:hAnsi="Times New Roman" w:cs="Times New Roman"/>
          <w:spacing w:val="-3"/>
          <w:sz w:val="24"/>
          <w:szCs w:val="24"/>
        </w:rPr>
        <w:t>RKF lėšomis</w:t>
      </w:r>
      <w:r w:rsidRPr="00EC1AB2">
        <w:rPr>
          <w:rFonts w:ascii="Times New Roman" w:hAnsi="Times New Roman" w:cs="Times New Roman"/>
          <w:spacing w:val="40"/>
          <w:sz w:val="24"/>
          <w:szCs w:val="24"/>
        </w:rPr>
        <w:t xml:space="preserve"> </w:t>
      </w:r>
      <w:r w:rsidRPr="00EC1AB2">
        <w:rPr>
          <w:rFonts w:ascii="Times New Roman" w:hAnsi="Times New Roman" w:cs="Times New Roman"/>
          <w:sz w:val="24"/>
          <w:szCs w:val="24"/>
        </w:rPr>
        <w:t>–</w:t>
      </w:r>
      <w:r w:rsidRPr="00EC1AB2">
        <w:rPr>
          <w:rFonts w:ascii="Times New Roman" w:hAnsi="Times New Roman" w:cs="Times New Roman"/>
          <w:spacing w:val="40"/>
          <w:sz w:val="24"/>
          <w:szCs w:val="24"/>
        </w:rPr>
        <w:t xml:space="preserve"> </w:t>
      </w:r>
      <w:r w:rsidRPr="00EC1AB2">
        <w:rPr>
          <w:rFonts w:ascii="Times New Roman" w:hAnsi="Times New Roman" w:cs="Times New Roman"/>
          <w:spacing w:val="1"/>
          <w:sz w:val="24"/>
          <w:szCs w:val="24"/>
        </w:rPr>
        <w:t>3</w:t>
      </w:r>
      <w:r w:rsidRPr="00EC1AB2">
        <w:rPr>
          <w:rFonts w:ascii="Times New Roman" w:hAnsi="Times New Roman" w:cs="Times New Roman"/>
          <w:spacing w:val="-2"/>
          <w:sz w:val="24"/>
          <w:szCs w:val="24"/>
        </w:rPr>
        <w:t>,</w:t>
      </w:r>
      <w:r w:rsidRPr="00EC1AB2">
        <w:rPr>
          <w:rFonts w:ascii="Times New Roman" w:hAnsi="Times New Roman" w:cs="Times New Roman"/>
          <w:sz w:val="24"/>
          <w:szCs w:val="24"/>
        </w:rPr>
        <w:t xml:space="preserve">2 </w:t>
      </w:r>
      <w:r w:rsidRPr="00EC1AB2">
        <w:rPr>
          <w:rFonts w:ascii="Times New Roman" w:hAnsi="Times New Roman" w:cs="Times New Roman"/>
          <w:spacing w:val="-15"/>
          <w:sz w:val="24"/>
          <w:szCs w:val="24"/>
        </w:rPr>
        <w:t xml:space="preserve"> </w:t>
      </w:r>
      <w:r w:rsidRPr="00EC1AB2">
        <w:rPr>
          <w:rFonts w:ascii="Times New Roman" w:hAnsi="Times New Roman" w:cs="Times New Roman"/>
          <w:spacing w:val="1"/>
          <w:sz w:val="24"/>
          <w:szCs w:val="24"/>
        </w:rPr>
        <w:t>pr</w:t>
      </w:r>
      <w:r w:rsidRPr="00EC1AB2">
        <w:rPr>
          <w:rFonts w:ascii="Times New Roman" w:hAnsi="Times New Roman" w:cs="Times New Roman"/>
          <w:spacing w:val="-2"/>
          <w:sz w:val="24"/>
          <w:szCs w:val="24"/>
        </w:rPr>
        <w:t>o</w:t>
      </w:r>
      <w:r w:rsidRPr="00EC1AB2">
        <w:rPr>
          <w:rFonts w:ascii="Times New Roman" w:hAnsi="Times New Roman" w:cs="Times New Roman"/>
          <w:spacing w:val="-1"/>
          <w:sz w:val="24"/>
          <w:szCs w:val="24"/>
        </w:rPr>
        <w:t>c</w:t>
      </w:r>
      <w:r w:rsidRPr="00EC1AB2">
        <w:rPr>
          <w:rFonts w:ascii="Times New Roman" w:hAnsi="Times New Roman" w:cs="Times New Roman"/>
          <w:spacing w:val="1"/>
          <w:sz w:val="24"/>
          <w:szCs w:val="24"/>
        </w:rPr>
        <w:t>ent</w:t>
      </w:r>
      <w:r w:rsidRPr="00EC1AB2">
        <w:rPr>
          <w:rFonts w:ascii="Times New Roman" w:hAnsi="Times New Roman" w:cs="Times New Roman"/>
          <w:sz w:val="24"/>
          <w:szCs w:val="24"/>
        </w:rPr>
        <w:t>o</w:t>
      </w:r>
      <w:r w:rsidRPr="00EC1AB2">
        <w:rPr>
          <w:rFonts w:ascii="Times New Roman" w:hAnsi="Times New Roman" w:cs="Times New Roman"/>
          <w:spacing w:val="40"/>
          <w:sz w:val="24"/>
          <w:szCs w:val="24"/>
        </w:rPr>
        <w:t xml:space="preserve"> </w:t>
      </w:r>
      <w:r w:rsidRPr="00EC1AB2">
        <w:rPr>
          <w:rFonts w:ascii="Times New Roman" w:hAnsi="Times New Roman" w:cs="Times New Roman"/>
          <w:spacing w:val="1"/>
          <w:sz w:val="24"/>
          <w:szCs w:val="24"/>
        </w:rPr>
        <w:t>(</w:t>
      </w:r>
      <w:r w:rsidRPr="00EC1AB2">
        <w:rPr>
          <w:rFonts w:ascii="Times New Roman" w:hAnsi="Times New Roman" w:cs="Times New Roman"/>
          <w:spacing w:val="-2"/>
          <w:sz w:val="24"/>
          <w:szCs w:val="24"/>
        </w:rPr>
        <w:t>2</w:t>
      </w:r>
      <w:r w:rsidRPr="00EC1AB2">
        <w:rPr>
          <w:rFonts w:ascii="Times New Roman" w:hAnsi="Times New Roman" w:cs="Times New Roman"/>
          <w:spacing w:val="1"/>
          <w:sz w:val="24"/>
          <w:szCs w:val="24"/>
        </w:rPr>
        <w:t>00</w:t>
      </w:r>
      <w:r w:rsidRPr="00EC1AB2">
        <w:rPr>
          <w:rFonts w:ascii="Times New Roman" w:hAnsi="Times New Roman" w:cs="Times New Roman"/>
          <w:sz w:val="24"/>
          <w:szCs w:val="24"/>
        </w:rPr>
        <w:t>7</w:t>
      </w:r>
      <w:r w:rsidRPr="00EC1AB2">
        <w:rPr>
          <w:rFonts w:ascii="Times New Roman" w:hAnsi="Times New Roman" w:cs="Times New Roman"/>
          <w:spacing w:val="37"/>
          <w:sz w:val="24"/>
          <w:szCs w:val="24"/>
        </w:rPr>
        <w:t xml:space="preserve"> </w:t>
      </w:r>
      <w:r w:rsidRPr="00EC1AB2">
        <w:rPr>
          <w:rFonts w:ascii="Times New Roman" w:hAnsi="Times New Roman" w:cs="Times New Roman"/>
          <w:spacing w:val="1"/>
          <w:sz w:val="24"/>
          <w:szCs w:val="24"/>
        </w:rPr>
        <w:t>m</w:t>
      </w:r>
      <w:r w:rsidRPr="00EC1AB2">
        <w:rPr>
          <w:rFonts w:ascii="Times New Roman" w:hAnsi="Times New Roman" w:cs="Times New Roman"/>
          <w:sz w:val="24"/>
          <w:szCs w:val="24"/>
        </w:rPr>
        <w:t>.</w:t>
      </w:r>
      <w:r w:rsidRPr="00EC1AB2">
        <w:rPr>
          <w:rFonts w:ascii="Times New Roman" w:hAnsi="Times New Roman" w:cs="Times New Roman"/>
          <w:spacing w:val="40"/>
          <w:sz w:val="24"/>
          <w:szCs w:val="24"/>
        </w:rPr>
        <w:t xml:space="preserve"> </w:t>
      </w:r>
      <w:r w:rsidRPr="00EC1AB2">
        <w:rPr>
          <w:rFonts w:ascii="Times New Roman" w:hAnsi="Times New Roman" w:cs="Times New Roman"/>
          <w:spacing w:val="-1"/>
          <w:sz w:val="24"/>
          <w:szCs w:val="24"/>
        </w:rPr>
        <w:t>š</w:t>
      </w:r>
      <w:r w:rsidRPr="00EC1AB2">
        <w:rPr>
          <w:rFonts w:ascii="Times New Roman" w:hAnsi="Times New Roman" w:cs="Times New Roman"/>
          <w:spacing w:val="1"/>
          <w:sz w:val="24"/>
          <w:szCs w:val="24"/>
        </w:rPr>
        <w:t>i</w:t>
      </w:r>
      <w:r w:rsidRPr="00EC1AB2">
        <w:rPr>
          <w:rFonts w:ascii="Times New Roman" w:hAnsi="Times New Roman" w:cs="Times New Roman"/>
          <w:spacing w:val="-2"/>
          <w:sz w:val="24"/>
          <w:szCs w:val="24"/>
        </w:rPr>
        <w:t>o</w:t>
      </w:r>
      <w:r w:rsidRPr="00EC1AB2">
        <w:rPr>
          <w:rFonts w:ascii="Times New Roman" w:hAnsi="Times New Roman" w:cs="Times New Roman"/>
          <w:spacing w:val="1"/>
          <w:sz w:val="24"/>
          <w:szCs w:val="24"/>
        </w:rPr>
        <w:t>mi</w:t>
      </w:r>
      <w:r w:rsidRPr="00EC1AB2">
        <w:rPr>
          <w:rFonts w:ascii="Times New Roman" w:hAnsi="Times New Roman" w:cs="Times New Roman"/>
          <w:sz w:val="24"/>
          <w:szCs w:val="24"/>
        </w:rPr>
        <w:t>s</w:t>
      </w:r>
      <w:r w:rsidRPr="00EC1AB2">
        <w:rPr>
          <w:rFonts w:ascii="Times New Roman" w:hAnsi="Times New Roman" w:cs="Times New Roman"/>
          <w:spacing w:val="38"/>
          <w:sz w:val="24"/>
          <w:szCs w:val="24"/>
        </w:rPr>
        <w:t xml:space="preserve"> </w:t>
      </w:r>
      <w:r w:rsidRPr="00EC1AB2">
        <w:rPr>
          <w:rFonts w:ascii="Times New Roman" w:hAnsi="Times New Roman" w:cs="Times New Roman"/>
          <w:spacing w:val="2"/>
          <w:sz w:val="24"/>
          <w:szCs w:val="24"/>
        </w:rPr>
        <w:t>l</w:t>
      </w:r>
      <w:r w:rsidRPr="00EC1AB2">
        <w:rPr>
          <w:rFonts w:ascii="Times New Roman" w:hAnsi="Times New Roman" w:cs="Times New Roman"/>
          <w:spacing w:val="-2"/>
          <w:sz w:val="24"/>
          <w:szCs w:val="24"/>
        </w:rPr>
        <w:t>ė</w:t>
      </w:r>
      <w:r w:rsidRPr="00EC1AB2">
        <w:rPr>
          <w:rFonts w:ascii="Times New Roman" w:hAnsi="Times New Roman" w:cs="Times New Roman"/>
          <w:spacing w:val="1"/>
          <w:sz w:val="24"/>
          <w:szCs w:val="24"/>
        </w:rPr>
        <w:t>šo</w:t>
      </w:r>
      <w:r w:rsidRPr="00EC1AB2">
        <w:rPr>
          <w:rFonts w:ascii="Times New Roman" w:hAnsi="Times New Roman" w:cs="Times New Roman"/>
          <w:spacing w:val="-1"/>
          <w:sz w:val="24"/>
          <w:szCs w:val="24"/>
        </w:rPr>
        <w:t>m</w:t>
      </w:r>
      <w:r w:rsidRPr="00EC1AB2">
        <w:rPr>
          <w:rFonts w:ascii="Times New Roman" w:hAnsi="Times New Roman" w:cs="Times New Roman"/>
          <w:spacing w:val="-2"/>
          <w:sz w:val="24"/>
          <w:szCs w:val="24"/>
        </w:rPr>
        <w:t>i</w:t>
      </w:r>
      <w:r w:rsidRPr="00EC1AB2">
        <w:rPr>
          <w:rFonts w:ascii="Times New Roman" w:hAnsi="Times New Roman" w:cs="Times New Roman"/>
          <w:sz w:val="24"/>
          <w:szCs w:val="24"/>
        </w:rPr>
        <w:t xml:space="preserve">s </w:t>
      </w:r>
      <w:r w:rsidRPr="00EC1AB2">
        <w:rPr>
          <w:rFonts w:ascii="Times New Roman" w:hAnsi="Times New Roman" w:cs="Times New Roman"/>
          <w:spacing w:val="1"/>
          <w:sz w:val="24"/>
          <w:szCs w:val="24"/>
        </w:rPr>
        <w:t>pas</w:t>
      </w:r>
      <w:r w:rsidRPr="00EC1AB2">
        <w:rPr>
          <w:rFonts w:ascii="Times New Roman" w:hAnsi="Times New Roman" w:cs="Times New Roman"/>
          <w:spacing w:val="-2"/>
          <w:sz w:val="24"/>
          <w:szCs w:val="24"/>
        </w:rPr>
        <w:t>i</w:t>
      </w:r>
      <w:r w:rsidRPr="00EC1AB2">
        <w:rPr>
          <w:rFonts w:ascii="Times New Roman" w:hAnsi="Times New Roman" w:cs="Times New Roman"/>
          <w:spacing w:val="1"/>
          <w:sz w:val="24"/>
          <w:szCs w:val="24"/>
        </w:rPr>
        <w:t>na</w:t>
      </w:r>
      <w:r w:rsidRPr="00EC1AB2">
        <w:rPr>
          <w:rFonts w:ascii="Times New Roman" w:hAnsi="Times New Roman" w:cs="Times New Roman"/>
          <w:spacing w:val="-2"/>
          <w:sz w:val="24"/>
          <w:szCs w:val="24"/>
        </w:rPr>
        <w:t>u</w:t>
      </w:r>
      <w:r w:rsidRPr="00EC1AB2">
        <w:rPr>
          <w:rFonts w:ascii="Times New Roman" w:hAnsi="Times New Roman" w:cs="Times New Roman"/>
          <w:spacing w:val="1"/>
          <w:sz w:val="24"/>
          <w:szCs w:val="24"/>
        </w:rPr>
        <w:t>doj</w:t>
      </w:r>
      <w:r w:rsidRPr="00EC1AB2">
        <w:rPr>
          <w:rFonts w:ascii="Times New Roman" w:hAnsi="Times New Roman" w:cs="Times New Roman"/>
          <w:spacing w:val="-2"/>
          <w:sz w:val="24"/>
          <w:szCs w:val="24"/>
        </w:rPr>
        <w:t>u</w:t>
      </w:r>
      <w:r w:rsidRPr="00EC1AB2">
        <w:rPr>
          <w:rFonts w:ascii="Times New Roman" w:hAnsi="Times New Roman" w:cs="Times New Roman"/>
          <w:spacing w:val="1"/>
          <w:sz w:val="24"/>
          <w:szCs w:val="24"/>
        </w:rPr>
        <w:t>s</w:t>
      </w:r>
      <w:r w:rsidRPr="00EC1AB2">
        <w:rPr>
          <w:rFonts w:ascii="Times New Roman" w:hAnsi="Times New Roman" w:cs="Times New Roman"/>
          <w:spacing w:val="-1"/>
          <w:sz w:val="24"/>
          <w:szCs w:val="24"/>
        </w:rPr>
        <w:t>i</w:t>
      </w:r>
      <w:r w:rsidRPr="00EC1AB2">
        <w:rPr>
          <w:rFonts w:ascii="Times New Roman" w:hAnsi="Times New Roman" w:cs="Times New Roman"/>
          <w:sz w:val="24"/>
          <w:szCs w:val="24"/>
        </w:rPr>
        <w:t>ų</w:t>
      </w:r>
      <w:r w:rsidRPr="00EC1AB2">
        <w:rPr>
          <w:rFonts w:ascii="Times New Roman" w:hAnsi="Times New Roman" w:cs="Times New Roman"/>
          <w:spacing w:val="1"/>
          <w:sz w:val="24"/>
          <w:szCs w:val="24"/>
        </w:rPr>
        <w:t xml:space="preserve"> </w:t>
      </w:r>
      <w:r w:rsidRPr="00EC1AB2">
        <w:rPr>
          <w:rFonts w:ascii="Times New Roman" w:hAnsi="Times New Roman" w:cs="Times New Roman"/>
          <w:spacing w:val="-2"/>
          <w:sz w:val="24"/>
          <w:szCs w:val="24"/>
        </w:rPr>
        <w:t>į</w:t>
      </w:r>
      <w:r w:rsidRPr="00EC1AB2">
        <w:rPr>
          <w:rFonts w:ascii="Times New Roman" w:hAnsi="Times New Roman" w:cs="Times New Roman"/>
          <w:spacing w:val="1"/>
          <w:sz w:val="24"/>
          <w:szCs w:val="24"/>
        </w:rPr>
        <w:t>mon</w:t>
      </w:r>
      <w:r w:rsidRPr="00EC1AB2">
        <w:rPr>
          <w:rFonts w:ascii="Times New Roman" w:hAnsi="Times New Roman" w:cs="Times New Roman"/>
          <w:spacing w:val="-1"/>
          <w:sz w:val="24"/>
          <w:szCs w:val="24"/>
        </w:rPr>
        <w:t>i</w:t>
      </w:r>
      <w:r w:rsidRPr="00EC1AB2">
        <w:rPr>
          <w:rFonts w:ascii="Times New Roman" w:hAnsi="Times New Roman" w:cs="Times New Roman"/>
          <w:sz w:val="24"/>
          <w:szCs w:val="24"/>
        </w:rPr>
        <w:t>ų</w:t>
      </w:r>
      <w:r w:rsidRPr="00EC1AB2">
        <w:rPr>
          <w:rFonts w:ascii="Times New Roman" w:hAnsi="Times New Roman" w:cs="Times New Roman"/>
          <w:spacing w:val="1"/>
          <w:sz w:val="24"/>
          <w:szCs w:val="24"/>
        </w:rPr>
        <w:t xml:space="preserve"> </w:t>
      </w:r>
      <w:r w:rsidRPr="00EC1AB2">
        <w:rPr>
          <w:rFonts w:ascii="Times New Roman" w:hAnsi="Times New Roman" w:cs="Times New Roman"/>
          <w:spacing w:val="-2"/>
          <w:sz w:val="24"/>
          <w:szCs w:val="24"/>
        </w:rPr>
        <w:t>n</w:t>
      </w:r>
      <w:r w:rsidRPr="00EC1AB2">
        <w:rPr>
          <w:rFonts w:ascii="Times New Roman" w:hAnsi="Times New Roman" w:cs="Times New Roman"/>
          <w:spacing w:val="1"/>
          <w:sz w:val="24"/>
          <w:szCs w:val="24"/>
        </w:rPr>
        <w:t>ebu</w:t>
      </w:r>
      <w:r w:rsidRPr="00EC1AB2">
        <w:rPr>
          <w:rFonts w:ascii="Times New Roman" w:hAnsi="Times New Roman" w:cs="Times New Roman"/>
          <w:spacing w:val="-1"/>
          <w:sz w:val="24"/>
          <w:szCs w:val="24"/>
        </w:rPr>
        <w:t>v</w:t>
      </w:r>
      <w:r w:rsidRPr="00EC1AB2">
        <w:rPr>
          <w:rFonts w:ascii="Times New Roman" w:hAnsi="Times New Roman" w:cs="Times New Roman"/>
          <w:spacing w:val="-2"/>
          <w:sz w:val="24"/>
          <w:szCs w:val="24"/>
        </w:rPr>
        <w:t>o</w:t>
      </w:r>
      <w:r w:rsidRPr="00EC1AB2">
        <w:rPr>
          <w:rFonts w:ascii="Times New Roman" w:hAnsi="Times New Roman" w:cs="Times New Roman"/>
          <w:sz w:val="24"/>
          <w:szCs w:val="24"/>
        </w:rPr>
        <w:t>).</w:t>
      </w:r>
    </w:p>
    <w:p w:rsidR="00657440" w:rsidRPr="00EC1AB2" w:rsidRDefault="007961A5" w:rsidP="007A02A8">
      <w:pPr>
        <w:spacing w:after="0" w:line="360" w:lineRule="auto"/>
        <w:ind w:firstLine="567"/>
        <w:jc w:val="both"/>
        <w:rPr>
          <w:rFonts w:ascii="Times New Roman" w:eastAsia="Times New Roman" w:hAnsi="Times New Roman" w:cs="Times New Roman"/>
          <w:sz w:val="24"/>
          <w:szCs w:val="24"/>
          <w:lang w:eastAsia="lt-LT"/>
        </w:rPr>
      </w:pPr>
      <w:r w:rsidRPr="00EC1AB2">
        <w:rPr>
          <w:rFonts w:ascii="Times New Roman" w:hAnsi="Times New Roman" w:cs="Times New Roman"/>
          <w:sz w:val="24"/>
          <w:szCs w:val="24"/>
        </w:rPr>
        <w:t xml:space="preserve">Da Rin M., Nicodano G., Sembenelli A. (2005) teigė, kad RKF investicijų į  ankstyvos plėtros stadijos įmones santykis su visomis rizikos kapitalo fondų investicijomis parodo rizikos kapitalo rinkos aktyvumo lygį. Baltijos valstybėse ir ES vyrauja rizikos kapitalo investicijos verslo pradžiai (žr. </w:t>
      </w:r>
      <w:r w:rsidR="0049040A" w:rsidRPr="00EC1AB2">
        <w:rPr>
          <w:rFonts w:ascii="Times New Roman" w:hAnsi="Times New Roman" w:cs="Times New Roman"/>
          <w:sz w:val="24"/>
          <w:szCs w:val="24"/>
        </w:rPr>
        <w:t>7</w:t>
      </w:r>
      <w:r w:rsidRPr="00EC1AB2">
        <w:rPr>
          <w:rFonts w:ascii="Times New Roman" w:hAnsi="Times New Roman" w:cs="Times New Roman"/>
          <w:sz w:val="24"/>
          <w:szCs w:val="24"/>
        </w:rPr>
        <w:t xml:space="preserve"> pav.).</w:t>
      </w:r>
    </w:p>
    <w:p w:rsidR="007E362E" w:rsidRPr="00EC1AB2" w:rsidRDefault="008A5F2D" w:rsidP="007A02A8">
      <w:pPr>
        <w:autoSpaceDE w:val="0"/>
        <w:autoSpaceDN w:val="0"/>
        <w:adjustRightInd w:val="0"/>
        <w:spacing w:after="0" w:line="360" w:lineRule="auto"/>
        <w:rPr>
          <w:rFonts w:ascii="Times New Roman" w:hAnsi="Times New Roman" w:cs="Times New Roman"/>
          <w:b/>
          <w:sz w:val="28"/>
          <w:szCs w:val="28"/>
        </w:rPr>
      </w:pPr>
      <w:r w:rsidRPr="00EC1AB2">
        <w:rPr>
          <w:rFonts w:ascii="Times New Roman" w:hAnsi="Times New Roman" w:cs="Times New Roman"/>
          <w:noProof/>
          <w:lang w:eastAsia="lt-LT"/>
        </w:rPr>
        <w:drawing>
          <wp:anchor distT="0" distB="0" distL="114300" distR="114300" simplePos="0" relativeHeight="251761664" behindDoc="1" locked="0" layoutInCell="1" allowOverlap="1" wp14:anchorId="090E697B" wp14:editId="08F13ABA">
            <wp:simplePos x="0" y="0"/>
            <wp:positionH relativeFrom="column">
              <wp:posOffset>2358390</wp:posOffset>
            </wp:positionH>
            <wp:positionV relativeFrom="paragraph">
              <wp:posOffset>311150</wp:posOffset>
            </wp:positionV>
            <wp:extent cx="3848100" cy="1847850"/>
            <wp:effectExtent l="0" t="0" r="0" b="0"/>
            <wp:wrapTight wrapText="bothSides">
              <wp:wrapPolygon edited="0">
                <wp:start x="8234" y="668"/>
                <wp:lineTo x="4063" y="4676"/>
                <wp:lineTo x="3743" y="6235"/>
                <wp:lineTo x="3850" y="7126"/>
                <wp:lineTo x="4384" y="8239"/>
                <wp:lineTo x="10693" y="11802"/>
                <wp:lineTo x="10800" y="15365"/>
                <wp:lineTo x="14008" y="18928"/>
                <wp:lineTo x="14008" y="19151"/>
                <wp:lineTo x="14543" y="20709"/>
                <wp:lineTo x="14650" y="21155"/>
                <wp:lineTo x="16147" y="21155"/>
                <wp:lineTo x="16253" y="20709"/>
                <wp:lineTo x="16788" y="19151"/>
                <wp:lineTo x="17109" y="17592"/>
                <wp:lineTo x="16467" y="17146"/>
                <wp:lineTo x="10693" y="15365"/>
                <wp:lineTo x="10693" y="11802"/>
                <wp:lineTo x="5881" y="8239"/>
                <wp:lineTo x="11549" y="8239"/>
                <wp:lineTo x="19675" y="6235"/>
                <wp:lineTo x="19568" y="4676"/>
                <wp:lineTo x="13901" y="668"/>
                <wp:lineTo x="8234" y="668"/>
              </wp:wrapPolygon>
            </wp:wrapTight>
            <wp:docPr id="73" name="Chart 7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page">
              <wp14:pctWidth>0</wp14:pctWidth>
            </wp14:sizeRelH>
            <wp14:sizeRelV relativeFrom="page">
              <wp14:pctHeight>0</wp14:pctHeight>
            </wp14:sizeRelV>
          </wp:anchor>
        </w:drawing>
      </w:r>
    </w:p>
    <w:p w:rsidR="007E362E" w:rsidRPr="00EC1AB2" w:rsidRDefault="008A5F2D" w:rsidP="007A02A8">
      <w:pPr>
        <w:autoSpaceDE w:val="0"/>
        <w:autoSpaceDN w:val="0"/>
        <w:adjustRightInd w:val="0"/>
        <w:spacing w:after="0" w:line="360" w:lineRule="auto"/>
        <w:ind w:left="1296"/>
        <w:jc w:val="center"/>
        <w:rPr>
          <w:rFonts w:ascii="Times New Roman" w:hAnsi="Times New Roman" w:cs="Times New Roman"/>
          <w:b/>
          <w:sz w:val="28"/>
          <w:szCs w:val="28"/>
        </w:rPr>
      </w:pPr>
      <w:r w:rsidRPr="00EC1AB2">
        <w:rPr>
          <w:rFonts w:ascii="Times New Roman" w:hAnsi="Times New Roman" w:cs="Times New Roman"/>
          <w:noProof/>
          <w:lang w:eastAsia="lt-LT"/>
        </w:rPr>
        <w:drawing>
          <wp:anchor distT="0" distB="0" distL="114300" distR="114300" simplePos="0" relativeHeight="251760640" behindDoc="1" locked="0" layoutInCell="1" allowOverlap="1" wp14:anchorId="29669709" wp14:editId="5FBD0737">
            <wp:simplePos x="0" y="0"/>
            <wp:positionH relativeFrom="column">
              <wp:posOffset>-441960</wp:posOffset>
            </wp:positionH>
            <wp:positionV relativeFrom="paragraph">
              <wp:posOffset>4445</wp:posOffset>
            </wp:positionV>
            <wp:extent cx="3914775" cy="1924050"/>
            <wp:effectExtent l="0" t="0" r="0" b="0"/>
            <wp:wrapTight wrapText="bothSides">
              <wp:wrapPolygon edited="0">
                <wp:start x="10091" y="855"/>
                <wp:lineTo x="10091" y="2139"/>
                <wp:lineTo x="12193" y="4705"/>
                <wp:lineTo x="12823" y="4705"/>
                <wp:lineTo x="10826" y="8127"/>
                <wp:lineTo x="5676" y="10265"/>
                <wp:lineTo x="3994" y="11121"/>
                <wp:lineTo x="3574" y="12618"/>
                <wp:lineTo x="4309" y="14756"/>
                <wp:lineTo x="10721" y="14970"/>
                <wp:lineTo x="15346" y="17964"/>
                <wp:lineTo x="16818" y="17964"/>
                <wp:lineTo x="17658" y="15612"/>
                <wp:lineTo x="17343" y="14115"/>
                <wp:lineTo x="6096" y="11549"/>
                <wp:lineTo x="10721" y="8127"/>
                <wp:lineTo x="11352" y="8127"/>
                <wp:lineTo x="17133" y="5133"/>
                <wp:lineTo x="17343" y="4277"/>
                <wp:lineTo x="15872" y="3636"/>
                <wp:lineTo x="11352" y="855"/>
                <wp:lineTo x="10091" y="855"/>
              </wp:wrapPolygon>
            </wp:wrapTight>
            <wp:docPr id="72" name="Chart 7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page">
              <wp14:pctWidth>0</wp14:pctWidth>
            </wp14:sizeRelH>
            <wp14:sizeRelV relativeFrom="page">
              <wp14:pctHeight>0</wp14:pctHeight>
            </wp14:sizeRelV>
          </wp:anchor>
        </w:drawing>
      </w:r>
    </w:p>
    <w:p w:rsidR="00BD4533" w:rsidRPr="00EC1AB2" w:rsidRDefault="00BD4533" w:rsidP="007A02A8">
      <w:pPr>
        <w:autoSpaceDE w:val="0"/>
        <w:autoSpaceDN w:val="0"/>
        <w:adjustRightInd w:val="0"/>
        <w:spacing w:after="0" w:line="360" w:lineRule="auto"/>
        <w:ind w:left="1296"/>
        <w:jc w:val="center"/>
        <w:rPr>
          <w:rFonts w:ascii="Times New Roman" w:hAnsi="Times New Roman" w:cs="Times New Roman"/>
          <w:b/>
          <w:sz w:val="28"/>
          <w:szCs w:val="28"/>
        </w:rPr>
      </w:pPr>
    </w:p>
    <w:p w:rsidR="00BD4533" w:rsidRPr="00EC1AB2" w:rsidRDefault="00BD4533" w:rsidP="007A02A8">
      <w:pPr>
        <w:autoSpaceDE w:val="0"/>
        <w:autoSpaceDN w:val="0"/>
        <w:adjustRightInd w:val="0"/>
        <w:spacing w:after="0" w:line="360" w:lineRule="auto"/>
        <w:ind w:left="1296"/>
        <w:jc w:val="center"/>
        <w:rPr>
          <w:rFonts w:ascii="Times New Roman" w:hAnsi="Times New Roman" w:cs="Times New Roman"/>
          <w:b/>
          <w:sz w:val="28"/>
          <w:szCs w:val="28"/>
        </w:rPr>
      </w:pPr>
    </w:p>
    <w:p w:rsidR="00BD4533" w:rsidRPr="00EC1AB2" w:rsidRDefault="00BD4533" w:rsidP="007A02A8">
      <w:pPr>
        <w:autoSpaceDE w:val="0"/>
        <w:autoSpaceDN w:val="0"/>
        <w:adjustRightInd w:val="0"/>
        <w:spacing w:after="0" w:line="360" w:lineRule="auto"/>
        <w:ind w:left="1296"/>
        <w:jc w:val="center"/>
        <w:rPr>
          <w:rFonts w:ascii="Times New Roman" w:hAnsi="Times New Roman" w:cs="Times New Roman"/>
          <w:b/>
          <w:sz w:val="28"/>
          <w:szCs w:val="28"/>
        </w:rPr>
      </w:pPr>
    </w:p>
    <w:p w:rsidR="00BD4533" w:rsidRPr="00EC1AB2" w:rsidRDefault="00BD4533" w:rsidP="007A02A8">
      <w:pPr>
        <w:autoSpaceDE w:val="0"/>
        <w:autoSpaceDN w:val="0"/>
        <w:adjustRightInd w:val="0"/>
        <w:spacing w:after="0" w:line="360" w:lineRule="auto"/>
        <w:ind w:left="1296"/>
        <w:jc w:val="center"/>
        <w:rPr>
          <w:rFonts w:ascii="Times New Roman" w:hAnsi="Times New Roman" w:cs="Times New Roman"/>
          <w:b/>
          <w:sz w:val="28"/>
          <w:szCs w:val="28"/>
        </w:rPr>
      </w:pPr>
    </w:p>
    <w:p w:rsidR="00BD4533" w:rsidRPr="00EC1AB2" w:rsidRDefault="00BD4533" w:rsidP="007A02A8">
      <w:pPr>
        <w:autoSpaceDE w:val="0"/>
        <w:autoSpaceDN w:val="0"/>
        <w:adjustRightInd w:val="0"/>
        <w:spacing w:after="0" w:line="360" w:lineRule="auto"/>
        <w:ind w:left="1296"/>
        <w:jc w:val="center"/>
        <w:rPr>
          <w:rFonts w:ascii="Times New Roman" w:hAnsi="Times New Roman" w:cs="Times New Roman"/>
          <w:b/>
          <w:sz w:val="28"/>
          <w:szCs w:val="28"/>
        </w:rPr>
      </w:pPr>
    </w:p>
    <w:p w:rsidR="00BD4533" w:rsidRPr="00EC1AB2" w:rsidRDefault="00BD4533" w:rsidP="007A02A8">
      <w:pPr>
        <w:autoSpaceDE w:val="0"/>
        <w:autoSpaceDN w:val="0"/>
        <w:adjustRightInd w:val="0"/>
        <w:spacing w:after="0" w:line="360" w:lineRule="auto"/>
        <w:ind w:left="1296"/>
        <w:jc w:val="center"/>
        <w:rPr>
          <w:rFonts w:ascii="Times New Roman" w:hAnsi="Times New Roman" w:cs="Times New Roman"/>
          <w:b/>
          <w:sz w:val="28"/>
          <w:szCs w:val="28"/>
        </w:rPr>
      </w:pPr>
    </w:p>
    <w:p w:rsidR="002D5208" w:rsidRPr="00EC1AB2" w:rsidRDefault="002D5208" w:rsidP="007A02A8">
      <w:pPr>
        <w:tabs>
          <w:tab w:val="left" w:pos="4395"/>
        </w:tabs>
        <w:autoSpaceDE w:val="0"/>
        <w:autoSpaceDN w:val="0"/>
        <w:adjustRightInd w:val="0"/>
        <w:spacing w:after="0" w:line="360" w:lineRule="auto"/>
        <w:ind w:firstLine="1296"/>
        <w:jc w:val="both"/>
        <w:rPr>
          <w:rFonts w:ascii="Times New Roman" w:hAnsi="Times New Roman" w:cs="Times New Roman"/>
          <w:sz w:val="20"/>
          <w:szCs w:val="20"/>
        </w:rPr>
      </w:pPr>
      <w:r w:rsidRPr="00EC1AB2">
        <w:rPr>
          <w:rFonts w:ascii="Times New Roman" w:hAnsi="Times New Roman" w:cs="Times New Roman"/>
          <w:b/>
          <w:sz w:val="20"/>
          <w:szCs w:val="20"/>
        </w:rPr>
        <w:t>Šaltinis:</w:t>
      </w:r>
      <w:r w:rsidRPr="00EC1AB2">
        <w:rPr>
          <w:rFonts w:ascii="Times New Roman" w:hAnsi="Times New Roman" w:cs="Times New Roman"/>
          <w:sz w:val="20"/>
          <w:szCs w:val="20"/>
        </w:rPr>
        <w:t xml:space="preserve"> </w:t>
      </w:r>
      <w:r w:rsidR="00EC599C" w:rsidRPr="00EC1AB2">
        <w:rPr>
          <w:rFonts w:ascii="Times New Roman" w:hAnsi="Times New Roman" w:cs="Times New Roman"/>
          <w:sz w:val="20"/>
          <w:szCs w:val="20"/>
        </w:rPr>
        <w:t xml:space="preserve">sudaryta pagal </w:t>
      </w:r>
      <w:r w:rsidRPr="00EC1AB2">
        <w:rPr>
          <w:rFonts w:ascii="Times New Roman" w:hAnsi="Times New Roman" w:cs="Times New Roman"/>
          <w:sz w:val="20"/>
          <w:szCs w:val="20"/>
        </w:rPr>
        <w:t>EVCA kasmet</w:t>
      </w:r>
      <w:r w:rsidR="00EC599C" w:rsidRPr="00EC1AB2">
        <w:rPr>
          <w:rFonts w:ascii="Times New Roman" w:hAnsi="Times New Roman" w:cs="Times New Roman"/>
          <w:sz w:val="20"/>
          <w:szCs w:val="20"/>
        </w:rPr>
        <w:t>inį</w:t>
      </w:r>
      <w:r w:rsidRPr="00EC1AB2">
        <w:rPr>
          <w:rFonts w:ascii="Times New Roman" w:hAnsi="Times New Roman" w:cs="Times New Roman"/>
          <w:sz w:val="20"/>
          <w:szCs w:val="20"/>
        </w:rPr>
        <w:t xml:space="preserve"> </w:t>
      </w:r>
      <w:r w:rsidR="00EC599C" w:rsidRPr="00EC1AB2">
        <w:rPr>
          <w:rFonts w:ascii="Times New Roman" w:hAnsi="Times New Roman" w:cs="Times New Roman"/>
          <w:sz w:val="20"/>
          <w:szCs w:val="20"/>
        </w:rPr>
        <w:t>statistikos leidinį</w:t>
      </w:r>
      <w:r w:rsidRPr="00EC1AB2">
        <w:rPr>
          <w:rFonts w:ascii="Times New Roman" w:hAnsi="Times New Roman" w:cs="Times New Roman"/>
          <w:sz w:val="20"/>
          <w:szCs w:val="20"/>
        </w:rPr>
        <w:t>, 2011</w:t>
      </w:r>
      <w:r w:rsidRPr="00EC1AB2">
        <w:rPr>
          <w:rFonts w:ascii="Times New Roman" w:hAnsi="Times New Roman" w:cs="Times New Roman"/>
          <w:sz w:val="20"/>
          <w:szCs w:val="20"/>
        </w:rPr>
        <w:tab/>
      </w:r>
    </w:p>
    <w:p w:rsidR="00DD5A5D" w:rsidRPr="00EC1AB2" w:rsidRDefault="0049040A" w:rsidP="007A02A8">
      <w:pPr>
        <w:pStyle w:val="Heading5"/>
        <w:spacing w:before="0" w:line="360" w:lineRule="auto"/>
        <w:jc w:val="center"/>
        <w:rPr>
          <w:rFonts w:ascii="Times New Roman" w:eastAsia="Batang" w:hAnsi="Times New Roman" w:cs="Times New Roman"/>
          <w:b/>
          <w:color w:val="auto"/>
          <w:sz w:val="24"/>
          <w:szCs w:val="24"/>
        </w:rPr>
      </w:pPr>
      <w:bookmarkStart w:id="104" w:name="_Toc320761920"/>
      <w:bookmarkStart w:id="105" w:name="_Toc320762155"/>
      <w:bookmarkStart w:id="106" w:name="_Toc320762557"/>
      <w:r w:rsidRPr="00EC1AB2">
        <w:rPr>
          <w:rFonts w:ascii="Times New Roman" w:eastAsia="Batang" w:hAnsi="Times New Roman" w:cs="Times New Roman"/>
          <w:color w:val="auto"/>
          <w:sz w:val="24"/>
          <w:szCs w:val="24"/>
        </w:rPr>
        <w:t>7</w:t>
      </w:r>
      <w:r w:rsidR="002D5208" w:rsidRPr="00EC1AB2">
        <w:rPr>
          <w:rFonts w:ascii="Times New Roman" w:eastAsia="Batang" w:hAnsi="Times New Roman" w:cs="Times New Roman"/>
          <w:color w:val="auto"/>
          <w:sz w:val="24"/>
          <w:szCs w:val="24"/>
        </w:rPr>
        <w:t xml:space="preserve"> pav.</w:t>
      </w:r>
      <w:r w:rsidR="002D5208" w:rsidRPr="00EC1AB2">
        <w:rPr>
          <w:rFonts w:ascii="Times New Roman" w:eastAsia="Batang" w:hAnsi="Times New Roman" w:cs="Times New Roman"/>
          <w:b/>
          <w:color w:val="auto"/>
          <w:sz w:val="24"/>
          <w:szCs w:val="24"/>
        </w:rPr>
        <w:t xml:space="preserve"> </w:t>
      </w:r>
      <w:r w:rsidR="0053145C" w:rsidRPr="00EC1AB2">
        <w:rPr>
          <w:rFonts w:ascii="Times New Roman" w:eastAsia="Batang" w:hAnsi="Times New Roman" w:cs="Times New Roman"/>
          <w:b/>
          <w:color w:val="auto"/>
          <w:sz w:val="24"/>
          <w:szCs w:val="24"/>
        </w:rPr>
        <w:t>Rizikos kapitalo</w:t>
      </w:r>
      <w:r w:rsidR="002D5208" w:rsidRPr="00EC1AB2">
        <w:rPr>
          <w:rFonts w:ascii="Times New Roman" w:eastAsia="Batang" w:hAnsi="Times New Roman" w:cs="Times New Roman"/>
          <w:b/>
          <w:color w:val="auto"/>
          <w:sz w:val="24"/>
          <w:szCs w:val="24"/>
        </w:rPr>
        <w:t xml:space="preserve"> </w:t>
      </w:r>
      <w:r w:rsidR="008A1800" w:rsidRPr="00EC1AB2">
        <w:rPr>
          <w:rFonts w:ascii="Times New Roman" w:eastAsia="Batang" w:hAnsi="Times New Roman" w:cs="Times New Roman"/>
          <w:b/>
          <w:color w:val="auto"/>
          <w:sz w:val="24"/>
          <w:szCs w:val="24"/>
        </w:rPr>
        <w:t xml:space="preserve">fondų </w:t>
      </w:r>
      <w:r w:rsidR="002D5208" w:rsidRPr="00EC1AB2">
        <w:rPr>
          <w:rFonts w:ascii="Times New Roman" w:eastAsia="Batang" w:hAnsi="Times New Roman" w:cs="Times New Roman"/>
          <w:b/>
          <w:color w:val="auto"/>
          <w:sz w:val="24"/>
          <w:szCs w:val="24"/>
        </w:rPr>
        <w:t>investicijos ES ir Baltijos valstybėse pagal investicijų tipą 2010 m., proc.</w:t>
      </w:r>
      <w:bookmarkEnd w:id="104"/>
      <w:bookmarkEnd w:id="105"/>
      <w:bookmarkEnd w:id="106"/>
    </w:p>
    <w:p w:rsidR="001E1A95" w:rsidRPr="00EC1AB2" w:rsidRDefault="001E1A95" w:rsidP="007A02A8">
      <w:pPr>
        <w:autoSpaceDE w:val="0"/>
        <w:autoSpaceDN w:val="0"/>
        <w:adjustRightInd w:val="0"/>
        <w:spacing w:after="0" w:line="360" w:lineRule="auto"/>
        <w:jc w:val="both"/>
        <w:rPr>
          <w:rFonts w:ascii="Times New Roman" w:hAnsi="Times New Roman" w:cs="Times New Roman"/>
          <w:sz w:val="24"/>
          <w:szCs w:val="24"/>
        </w:rPr>
      </w:pPr>
    </w:p>
    <w:p w:rsidR="00DD5A5D" w:rsidRPr="00EC1AB2" w:rsidRDefault="007E317F"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Kaip matyti iš </w:t>
      </w:r>
      <w:r w:rsidR="0049040A" w:rsidRPr="00EC1AB2">
        <w:rPr>
          <w:rFonts w:ascii="Times New Roman" w:hAnsi="Times New Roman" w:cs="Times New Roman"/>
          <w:sz w:val="24"/>
          <w:szCs w:val="24"/>
        </w:rPr>
        <w:t>7</w:t>
      </w:r>
      <w:r w:rsidRPr="00EC1AB2">
        <w:rPr>
          <w:rFonts w:ascii="Times New Roman" w:hAnsi="Times New Roman" w:cs="Times New Roman"/>
          <w:sz w:val="24"/>
          <w:szCs w:val="24"/>
        </w:rPr>
        <w:t xml:space="preserve"> pav. Baltijos valstybėse rizi</w:t>
      </w:r>
      <w:r w:rsidR="001E7A58" w:rsidRPr="00EC1AB2">
        <w:rPr>
          <w:rFonts w:ascii="Times New Roman" w:hAnsi="Times New Roman" w:cs="Times New Roman"/>
          <w:sz w:val="24"/>
          <w:szCs w:val="24"/>
        </w:rPr>
        <w:t xml:space="preserve">kos kapitalo investicijos </w:t>
      </w:r>
      <w:r w:rsidR="006029F5" w:rsidRPr="00EC1AB2">
        <w:rPr>
          <w:rFonts w:ascii="Times New Roman" w:hAnsi="Times New Roman" w:cs="Times New Roman"/>
          <w:sz w:val="24"/>
          <w:szCs w:val="24"/>
        </w:rPr>
        <w:t xml:space="preserve">į </w:t>
      </w:r>
      <w:r w:rsidR="001E7A58" w:rsidRPr="00EC1AB2">
        <w:rPr>
          <w:rFonts w:ascii="Times New Roman" w:hAnsi="Times New Roman" w:cs="Times New Roman"/>
          <w:sz w:val="24"/>
          <w:szCs w:val="24"/>
        </w:rPr>
        <w:t>įmonių sėjos bei</w:t>
      </w:r>
      <w:r w:rsidRPr="00EC1AB2">
        <w:rPr>
          <w:rFonts w:ascii="Times New Roman" w:hAnsi="Times New Roman" w:cs="Times New Roman"/>
          <w:sz w:val="24"/>
          <w:szCs w:val="24"/>
        </w:rPr>
        <w:t xml:space="preserve"> vers</w:t>
      </w:r>
      <w:r w:rsidR="006029F5" w:rsidRPr="00EC1AB2">
        <w:rPr>
          <w:rFonts w:ascii="Times New Roman" w:hAnsi="Times New Roman" w:cs="Times New Roman"/>
          <w:sz w:val="24"/>
          <w:szCs w:val="24"/>
        </w:rPr>
        <w:t>lo pradžios etapus sudarė</w:t>
      </w:r>
      <w:r w:rsidR="001E7A58" w:rsidRPr="00EC1AB2">
        <w:rPr>
          <w:rFonts w:ascii="Times New Roman" w:hAnsi="Times New Roman" w:cs="Times New Roman"/>
          <w:sz w:val="24"/>
          <w:szCs w:val="24"/>
        </w:rPr>
        <w:t xml:space="preserve"> didesnę dalį nei ES, atitinkamai ES daugiau rizikos kapitalo buvo investuota į įmonių plėtros stadiją. Verta paminėti, kad Latvijoje ir Lietuvoje 2010 m., kaip ir 2009 m. visos rizikos kapita</w:t>
      </w:r>
      <w:r w:rsidR="00B66D8B" w:rsidRPr="00EC1AB2">
        <w:rPr>
          <w:rFonts w:ascii="Times New Roman" w:hAnsi="Times New Roman" w:cs="Times New Roman"/>
          <w:sz w:val="24"/>
          <w:szCs w:val="24"/>
        </w:rPr>
        <w:t>lo investicijos buvo į įmonių veiklos pradžios etapą. Tik Estijos įmonės sul</w:t>
      </w:r>
      <w:r w:rsidR="00450E4B" w:rsidRPr="00EC1AB2">
        <w:rPr>
          <w:rFonts w:ascii="Times New Roman" w:hAnsi="Times New Roman" w:cs="Times New Roman"/>
          <w:sz w:val="24"/>
          <w:szCs w:val="24"/>
        </w:rPr>
        <w:t>aukė</w:t>
      </w:r>
      <w:r w:rsidR="00393B91" w:rsidRPr="00EC1AB2">
        <w:rPr>
          <w:rFonts w:ascii="Times New Roman" w:hAnsi="Times New Roman" w:cs="Times New Roman"/>
          <w:sz w:val="24"/>
          <w:szCs w:val="24"/>
        </w:rPr>
        <w:t xml:space="preserve"> sėjos bei plėtros kapitalo.</w:t>
      </w:r>
    </w:p>
    <w:p w:rsidR="00B61CA4" w:rsidRPr="00EC1AB2" w:rsidRDefault="0049040A"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lastRenderedPageBreak/>
        <w:t>8</w:t>
      </w:r>
      <w:r w:rsidR="004B0195" w:rsidRPr="00EC1AB2">
        <w:rPr>
          <w:rFonts w:ascii="Times New Roman" w:hAnsi="Times New Roman" w:cs="Times New Roman"/>
          <w:sz w:val="24"/>
          <w:szCs w:val="24"/>
        </w:rPr>
        <w:t xml:space="preserve"> pav. pavaizduotas</w:t>
      </w:r>
      <w:r w:rsidR="00031AAA" w:rsidRPr="00EC1AB2">
        <w:rPr>
          <w:rFonts w:ascii="Times New Roman" w:hAnsi="Times New Roman" w:cs="Times New Roman"/>
          <w:sz w:val="24"/>
          <w:szCs w:val="24"/>
        </w:rPr>
        <w:t xml:space="preserve"> RKF</w:t>
      </w:r>
      <w:r w:rsidR="004B0195" w:rsidRPr="00EC1AB2">
        <w:rPr>
          <w:rFonts w:ascii="Times New Roman" w:hAnsi="Times New Roman" w:cs="Times New Roman"/>
          <w:sz w:val="24"/>
          <w:szCs w:val="24"/>
        </w:rPr>
        <w:t xml:space="preserve"> investici</w:t>
      </w:r>
      <w:r w:rsidR="00606C31" w:rsidRPr="00EC1AB2">
        <w:rPr>
          <w:rFonts w:ascii="Times New Roman" w:hAnsi="Times New Roman" w:cs="Times New Roman"/>
          <w:sz w:val="24"/>
          <w:szCs w:val="24"/>
        </w:rPr>
        <w:t>jų pasiskirstymas pagal sektorių</w:t>
      </w:r>
      <w:r w:rsidR="004B0195" w:rsidRPr="00EC1AB2">
        <w:rPr>
          <w:rFonts w:ascii="Times New Roman" w:hAnsi="Times New Roman" w:cs="Times New Roman"/>
          <w:sz w:val="24"/>
          <w:szCs w:val="24"/>
        </w:rPr>
        <w:t xml:space="preserve"> Baltijos valstybėse</w:t>
      </w:r>
      <w:r w:rsidR="00157D87" w:rsidRPr="00EC1AB2">
        <w:rPr>
          <w:rFonts w:ascii="Times New Roman" w:hAnsi="Times New Roman" w:cs="Times New Roman"/>
          <w:sz w:val="24"/>
          <w:szCs w:val="24"/>
        </w:rPr>
        <w:t>, C</w:t>
      </w:r>
      <w:r w:rsidR="00932640" w:rsidRPr="00EC1AB2">
        <w:rPr>
          <w:rFonts w:ascii="Times New Roman" w:hAnsi="Times New Roman" w:cs="Times New Roman"/>
          <w:sz w:val="24"/>
          <w:szCs w:val="24"/>
        </w:rPr>
        <w:t>E</w:t>
      </w:r>
      <w:r w:rsidR="004B0195" w:rsidRPr="00EC1AB2">
        <w:rPr>
          <w:rFonts w:ascii="Times New Roman" w:hAnsi="Times New Roman" w:cs="Times New Roman"/>
          <w:sz w:val="24"/>
          <w:szCs w:val="24"/>
        </w:rPr>
        <w:t>E bei ES.</w:t>
      </w:r>
    </w:p>
    <w:p w:rsidR="00797BBC" w:rsidRPr="00EC1AB2" w:rsidRDefault="004C7B0A" w:rsidP="007A02A8">
      <w:pPr>
        <w:autoSpaceDE w:val="0"/>
        <w:autoSpaceDN w:val="0"/>
        <w:adjustRightInd w:val="0"/>
        <w:spacing w:after="0" w:line="360" w:lineRule="auto"/>
        <w:ind w:firstLine="1296"/>
        <w:jc w:val="both"/>
        <w:rPr>
          <w:rFonts w:ascii="Times New Roman" w:hAnsi="Times New Roman" w:cs="Times New Roman"/>
          <w:sz w:val="24"/>
          <w:szCs w:val="24"/>
        </w:rPr>
      </w:pPr>
      <w:r w:rsidRPr="00EC1AB2">
        <w:rPr>
          <w:rFonts w:ascii="Times New Roman" w:hAnsi="Times New Roman" w:cs="Times New Roman"/>
          <w:noProof/>
          <w:lang w:eastAsia="lt-LT"/>
        </w:rPr>
        <w:drawing>
          <wp:anchor distT="0" distB="0" distL="114300" distR="114300" simplePos="0" relativeHeight="251845632" behindDoc="1" locked="0" layoutInCell="1" allowOverlap="1" wp14:anchorId="71CAA5BD" wp14:editId="06453EEC">
            <wp:simplePos x="0" y="0"/>
            <wp:positionH relativeFrom="column">
              <wp:posOffset>110490</wp:posOffset>
            </wp:positionH>
            <wp:positionV relativeFrom="paragraph">
              <wp:posOffset>171450</wp:posOffset>
            </wp:positionV>
            <wp:extent cx="6096000" cy="3238500"/>
            <wp:effectExtent l="0" t="0" r="0" b="0"/>
            <wp:wrapTight wrapText="bothSides">
              <wp:wrapPolygon edited="0">
                <wp:start x="5738" y="1271"/>
                <wp:lineTo x="4793" y="3049"/>
                <wp:lineTo x="3308" y="3812"/>
                <wp:lineTo x="3240" y="5591"/>
                <wp:lineTo x="5130" y="5591"/>
                <wp:lineTo x="3510" y="6226"/>
                <wp:lineTo x="2768" y="6861"/>
                <wp:lineTo x="2768" y="9021"/>
                <wp:lineTo x="5468" y="9656"/>
                <wp:lineTo x="608" y="9911"/>
                <wp:lineTo x="608" y="11562"/>
                <wp:lineTo x="10800" y="11689"/>
                <wp:lineTo x="2498" y="12325"/>
                <wp:lineTo x="2363" y="12706"/>
                <wp:lineTo x="3780" y="13722"/>
                <wp:lineTo x="1823" y="14866"/>
                <wp:lineTo x="1958" y="15247"/>
                <wp:lineTo x="10800" y="15755"/>
                <wp:lineTo x="2160" y="15882"/>
                <wp:lineTo x="2160" y="17788"/>
                <wp:lineTo x="4860" y="18169"/>
                <wp:lineTo x="4793" y="18678"/>
                <wp:lineTo x="6615" y="19821"/>
                <wp:lineTo x="1485" y="20584"/>
                <wp:lineTo x="1418" y="21346"/>
                <wp:lineTo x="2228" y="21473"/>
                <wp:lineTo x="21465" y="21473"/>
                <wp:lineTo x="21533" y="20329"/>
                <wp:lineTo x="21330" y="19821"/>
                <wp:lineTo x="10733" y="17788"/>
                <wp:lineTo x="10733" y="15755"/>
                <wp:lineTo x="6683" y="13722"/>
                <wp:lineTo x="10733" y="11689"/>
                <wp:lineTo x="10733" y="9656"/>
                <wp:lineTo x="6413" y="7624"/>
                <wp:lineTo x="6750" y="6988"/>
                <wp:lineTo x="6548" y="6480"/>
                <wp:lineTo x="5603" y="5591"/>
                <wp:lineTo x="6413" y="5591"/>
                <wp:lineTo x="10800" y="3558"/>
                <wp:lineTo x="9788" y="3176"/>
                <wp:lineTo x="6480" y="1271"/>
                <wp:lineTo x="5738" y="1271"/>
              </wp:wrapPolygon>
            </wp:wrapTight>
            <wp:docPr id="68" name="Chart 6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page">
              <wp14:pctWidth>0</wp14:pctWidth>
            </wp14:sizeRelH>
            <wp14:sizeRelV relativeFrom="page">
              <wp14:pctHeight>0</wp14:pctHeight>
            </wp14:sizeRelV>
          </wp:anchor>
        </w:drawing>
      </w:r>
    </w:p>
    <w:p w:rsidR="00DD5A5D" w:rsidRPr="00EC1AB2" w:rsidRDefault="00DD5A5D" w:rsidP="007A02A8">
      <w:pPr>
        <w:autoSpaceDE w:val="0"/>
        <w:autoSpaceDN w:val="0"/>
        <w:adjustRightInd w:val="0"/>
        <w:spacing w:after="0" w:line="360" w:lineRule="auto"/>
        <w:ind w:left="1296"/>
        <w:jc w:val="center"/>
        <w:rPr>
          <w:rFonts w:ascii="Times New Roman" w:hAnsi="Times New Roman" w:cs="Times New Roman"/>
          <w:b/>
          <w:sz w:val="28"/>
          <w:szCs w:val="28"/>
        </w:rPr>
      </w:pPr>
    </w:p>
    <w:p w:rsidR="00DD5A5D" w:rsidRPr="00EC1AB2" w:rsidRDefault="00DD5A5D" w:rsidP="007A02A8">
      <w:pPr>
        <w:autoSpaceDE w:val="0"/>
        <w:autoSpaceDN w:val="0"/>
        <w:adjustRightInd w:val="0"/>
        <w:spacing w:after="0" w:line="360" w:lineRule="auto"/>
        <w:rPr>
          <w:rFonts w:ascii="Times New Roman" w:hAnsi="Times New Roman" w:cs="Times New Roman"/>
          <w:b/>
          <w:sz w:val="28"/>
          <w:szCs w:val="28"/>
        </w:rPr>
      </w:pPr>
    </w:p>
    <w:p w:rsidR="00EC599C" w:rsidRPr="00EC1AB2" w:rsidRDefault="00EC599C" w:rsidP="007A02A8">
      <w:pPr>
        <w:autoSpaceDE w:val="0"/>
        <w:autoSpaceDN w:val="0"/>
        <w:adjustRightInd w:val="0"/>
        <w:spacing w:after="0" w:line="360" w:lineRule="auto"/>
        <w:ind w:left="1296"/>
        <w:jc w:val="center"/>
        <w:rPr>
          <w:rFonts w:ascii="Times New Roman" w:hAnsi="Times New Roman" w:cs="Times New Roman"/>
          <w:b/>
          <w:sz w:val="28"/>
          <w:szCs w:val="28"/>
        </w:rPr>
      </w:pPr>
    </w:p>
    <w:p w:rsidR="00EC599C" w:rsidRPr="00EC1AB2" w:rsidRDefault="00EC599C" w:rsidP="007A02A8">
      <w:pPr>
        <w:autoSpaceDE w:val="0"/>
        <w:autoSpaceDN w:val="0"/>
        <w:adjustRightInd w:val="0"/>
        <w:spacing w:after="0" w:line="360" w:lineRule="auto"/>
        <w:ind w:left="1296"/>
        <w:jc w:val="center"/>
        <w:rPr>
          <w:rFonts w:ascii="Times New Roman" w:hAnsi="Times New Roman" w:cs="Times New Roman"/>
          <w:b/>
          <w:sz w:val="28"/>
          <w:szCs w:val="28"/>
        </w:rPr>
      </w:pPr>
    </w:p>
    <w:p w:rsidR="00EC599C" w:rsidRPr="00EC1AB2" w:rsidRDefault="00EC599C" w:rsidP="007A02A8">
      <w:pPr>
        <w:autoSpaceDE w:val="0"/>
        <w:autoSpaceDN w:val="0"/>
        <w:adjustRightInd w:val="0"/>
        <w:spacing w:after="0" w:line="360" w:lineRule="auto"/>
        <w:ind w:left="1296"/>
        <w:jc w:val="center"/>
        <w:rPr>
          <w:rFonts w:ascii="Times New Roman" w:hAnsi="Times New Roman" w:cs="Times New Roman"/>
          <w:b/>
          <w:sz w:val="28"/>
          <w:szCs w:val="28"/>
        </w:rPr>
      </w:pPr>
    </w:p>
    <w:p w:rsidR="00EC599C" w:rsidRPr="00EC1AB2" w:rsidRDefault="00EC599C" w:rsidP="007A02A8">
      <w:pPr>
        <w:autoSpaceDE w:val="0"/>
        <w:autoSpaceDN w:val="0"/>
        <w:adjustRightInd w:val="0"/>
        <w:spacing w:after="0" w:line="360" w:lineRule="auto"/>
        <w:ind w:left="1296"/>
        <w:jc w:val="center"/>
        <w:rPr>
          <w:rFonts w:ascii="Times New Roman" w:hAnsi="Times New Roman" w:cs="Times New Roman"/>
          <w:b/>
          <w:sz w:val="28"/>
          <w:szCs w:val="28"/>
        </w:rPr>
      </w:pPr>
    </w:p>
    <w:p w:rsidR="00EC599C" w:rsidRPr="00EC1AB2" w:rsidRDefault="00EC599C" w:rsidP="007A02A8">
      <w:pPr>
        <w:autoSpaceDE w:val="0"/>
        <w:autoSpaceDN w:val="0"/>
        <w:adjustRightInd w:val="0"/>
        <w:spacing w:after="0" w:line="360" w:lineRule="auto"/>
        <w:ind w:left="1296"/>
        <w:jc w:val="center"/>
        <w:rPr>
          <w:rFonts w:ascii="Times New Roman" w:hAnsi="Times New Roman" w:cs="Times New Roman"/>
          <w:b/>
          <w:sz w:val="28"/>
          <w:szCs w:val="28"/>
        </w:rPr>
      </w:pPr>
    </w:p>
    <w:p w:rsidR="00EC599C" w:rsidRPr="00EC1AB2" w:rsidRDefault="00EC599C" w:rsidP="007A02A8">
      <w:pPr>
        <w:autoSpaceDE w:val="0"/>
        <w:autoSpaceDN w:val="0"/>
        <w:adjustRightInd w:val="0"/>
        <w:spacing w:after="0" w:line="360" w:lineRule="auto"/>
        <w:ind w:left="1296"/>
        <w:jc w:val="center"/>
        <w:rPr>
          <w:rFonts w:ascii="Times New Roman" w:hAnsi="Times New Roman" w:cs="Times New Roman"/>
          <w:b/>
          <w:sz w:val="28"/>
          <w:szCs w:val="28"/>
        </w:rPr>
      </w:pPr>
    </w:p>
    <w:p w:rsidR="004C0BC3" w:rsidRPr="00EC1AB2" w:rsidRDefault="004C0BC3" w:rsidP="007A02A8">
      <w:pPr>
        <w:autoSpaceDE w:val="0"/>
        <w:autoSpaceDN w:val="0"/>
        <w:adjustRightInd w:val="0"/>
        <w:spacing w:after="0" w:line="360" w:lineRule="auto"/>
        <w:ind w:left="1296"/>
        <w:jc w:val="center"/>
        <w:rPr>
          <w:rFonts w:ascii="Times New Roman" w:hAnsi="Times New Roman" w:cs="Times New Roman"/>
          <w:b/>
          <w:sz w:val="28"/>
          <w:szCs w:val="28"/>
        </w:rPr>
      </w:pPr>
    </w:p>
    <w:p w:rsidR="004C0BC3" w:rsidRPr="00EC1AB2" w:rsidRDefault="004C0BC3" w:rsidP="007A02A8">
      <w:pPr>
        <w:autoSpaceDE w:val="0"/>
        <w:autoSpaceDN w:val="0"/>
        <w:adjustRightInd w:val="0"/>
        <w:spacing w:after="0" w:line="360" w:lineRule="auto"/>
        <w:ind w:left="1296"/>
        <w:jc w:val="center"/>
        <w:rPr>
          <w:rFonts w:ascii="Times New Roman" w:hAnsi="Times New Roman" w:cs="Times New Roman"/>
          <w:b/>
          <w:sz w:val="28"/>
          <w:szCs w:val="28"/>
        </w:rPr>
      </w:pPr>
    </w:p>
    <w:p w:rsidR="00EC599C" w:rsidRPr="00EC1AB2" w:rsidRDefault="00EC599C" w:rsidP="007A02A8">
      <w:pPr>
        <w:autoSpaceDE w:val="0"/>
        <w:autoSpaceDN w:val="0"/>
        <w:adjustRightInd w:val="0"/>
        <w:spacing w:after="0" w:line="360" w:lineRule="auto"/>
        <w:rPr>
          <w:rFonts w:ascii="Times New Roman" w:hAnsi="Times New Roman" w:cs="Times New Roman"/>
          <w:b/>
          <w:sz w:val="28"/>
          <w:szCs w:val="28"/>
        </w:rPr>
      </w:pPr>
    </w:p>
    <w:p w:rsidR="004C7B0A" w:rsidRPr="00EC1AB2" w:rsidRDefault="004C7B0A" w:rsidP="007A02A8">
      <w:pPr>
        <w:autoSpaceDE w:val="0"/>
        <w:autoSpaceDN w:val="0"/>
        <w:adjustRightInd w:val="0"/>
        <w:spacing w:after="0" w:line="360" w:lineRule="auto"/>
        <w:rPr>
          <w:rFonts w:ascii="Times New Roman" w:hAnsi="Times New Roman" w:cs="Times New Roman"/>
          <w:b/>
          <w:sz w:val="28"/>
          <w:szCs w:val="28"/>
        </w:rPr>
      </w:pPr>
    </w:p>
    <w:p w:rsidR="00EC599C" w:rsidRPr="00EC1AB2" w:rsidRDefault="00EC599C" w:rsidP="007A02A8">
      <w:pPr>
        <w:tabs>
          <w:tab w:val="left" w:pos="4395"/>
        </w:tabs>
        <w:autoSpaceDE w:val="0"/>
        <w:autoSpaceDN w:val="0"/>
        <w:adjustRightInd w:val="0"/>
        <w:spacing w:after="0" w:line="360" w:lineRule="auto"/>
        <w:ind w:firstLine="1296"/>
        <w:jc w:val="both"/>
        <w:rPr>
          <w:rFonts w:ascii="Times New Roman" w:hAnsi="Times New Roman" w:cs="Times New Roman"/>
          <w:sz w:val="20"/>
          <w:szCs w:val="20"/>
        </w:rPr>
      </w:pPr>
      <w:r w:rsidRPr="00EC1AB2">
        <w:rPr>
          <w:rFonts w:ascii="Times New Roman" w:hAnsi="Times New Roman" w:cs="Times New Roman"/>
          <w:b/>
          <w:sz w:val="20"/>
          <w:szCs w:val="20"/>
        </w:rPr>
        <w:t>Šaltinis:</w:t>
      </w:r>
      <w:r w:rsidRPr="00EC1AB2">
        <w:rPr>
          <w:rFonts w:ascii="Times New Roman" w:hAnsi="Times New Roman" w:cs="Times New Roman"/>
          <w:sz w:val="20"/>
          <w:szCs w:val="20"/>
        </w:rPr>
        <w:t xml:space="preserve"> sudaryta pagal EVCA Yearbook ir kasmetinį statistikos leidinį, 2011</w:t>
      </w:r>
      <w:r w:rsidRPr="00EC1AB2">
        <w:rPr>
          <w:rFonts w:ascii="Times New Roman" w:hAnsi="Times New Roman" w:cs="Times New Roman"/>
          <w:sz w:val="20"/>
          <w:szCs w:val="20"/>
        </w:rPr>
        <w:tab/>
      </w:r>
    </w:p>
    <w:p w:rsidR="00C7759C" w:rsidRPr="00EC1AB2" w:rsidRDefault="0049040A" w:rsidP="007A02A8">
      <w:pPr>
        <w:pStyle w:val="Heading5"/>
        <w:spacing w:before="0" w:line="360" w:lineRule="auto"/>
        <w:jc w:val="center"/>
        <w:rPr>
          <w:rFonts w:ascii="Times New Roman" w:hAnsi="Times New Roman" w:cs="Times New Roman"/>
          <w:b/>
          <w:color w:val="auto"/>
          <w:sz w:val="24"/>
          <w:szCs w:val="24"/>
        </w:rPr>
      </w:pPr>
      <w:bookmarkStart w:id="107" w:name="_Toc320761921"/>
      <w:bookmarkStart w:id="108" w:name="_Toc320762156"/>
      <w:bookmarkStart w:id="109" w:name="_Toc320762558"/>
      <w:r w:rsidRPr="00EC1AB2">
        <w:rPr>
          <w:rFonts w:ascii="Times New Roman" w:hAnsi="Times New Roman" w:cs="Times New Roman"/>
          <w:color w:val="auto"/>
          <w:sz w:val="24"/>
          <w:szCs w:val="24"/>
        </w:rPr>
        <w:t>8</w:t>
      </w:r>
      <w:r w:rsidR="00C7759C" w:rsidRPr="00EC1AB2">
        <w:rPr>
          <w:rFonts w:ascii="Times New Roman" w:hAnsi="Times New Roman" w:cs="Times New Roman"/>
          <w:color w:val="auto"/>
          <w:sz w:val="24"/>
          <w:szCs w:val="24"/>
        </w:rPr>
        <w:t xml:space="preserve"> pav.</w:t>
      </w:r>
      <w:r w:rsidR="00922EC7" w:rsidRPr="00EC1AB2">
        <w:rPr>
          <w:rFonts w:ascii="Times New Roman" w:hAnsi="Times New Roman" w:cs="Times New Roman"/>
          <w:b/>
          <w:color w:val="auto"/>
          <w:sz w:val="24"/>
          <w:szCs w:val="24"/>
        </w:rPr>
        <w:t xml:space="preserve"> Rizikos kapitalo fondų</w:t>
      </w:r>
      <w:r w:rsidR="00C7759C" w:rsidRPr="00EC1AB2">
        <w:rPr>
          <w:rFonts w:ascii="Times New Roman" w:hAnsi="Times New Roman" w:cs="Times New Roman"/>
          <w:b/>
          <w:color w:val="auto"/>
          <w:sz w:val="24"/>
          <w:szCs w:val="24"/>
        </w:rPr>
        <w:t xml:space="preserve"> investicijos pa</w:t>
      </w:r>
      <w:r w:rsidR="00A43BB8" w:rsidRPr="00EC1AB2">
        <w:rPr>
          <w:rFonts w:ascii="Times New Roman" w:hAnsi="Times New Roman" w:cs="Times New Roman"/>
          <w:b/>
          <w:color w:val="auto"/>
          <w:sz w:val="24"/>
          <w:szCs w:val="24"/>
        </w:rPr>
        <w:t>gal sek</w:t>
      </w:r>
      <w:r w:rsidR="00C7759C" w:rsidRPr="00EC1AB2">
        <w:rPr>
          <w:rFonts w:ascii="Times New Roman" w:hAnsi="Times New Roman" w:cs="Times New Roman"/>
          <w:b/>
          <w:color w:val="auto"/>
          <w:sz w:val="24"/>
          <w:szCs w:val="24"/>
        </w:rPr>
        <w:t>torių, 2010 m., proc.</w:t>
      </w:r>
      <w:bookmarkEnd w:id="107"/>
      <w:bookmarkEnd w:id="108"/>
      <w:bookmarkEnd w:id="109"/>
    </w:p>
    <w:p w:rsidR="00031AAA" w:rsidRPr="00EC1AB2" w:rsidRDefault="00031AAA" w:rsidP="007A02A8">
      <w:pPr>
        <w:pStyle w:val="Heading5"/>
        <w:spacing w:before="0" w:line="360" w:lineRule="auto"/>
        <w:jc w:val="center"/>
        <w:rPr>
          <w:rFonts w:ascii="Times New Roman" w:hAnsi="Times New Roman" w:cs="Times New Roman"/>
          <w:b/>
          <w:sz w:val="24"/>
          <w:szCs w:val="24"/>
        </w:rPr>
      </w:pPr>
    </w:p>
    <w:p w:rsidR="00031AAA" w:rsidRPr="00EC1AB2" w:rsidRDefault="00031AAA"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Kaip matyti iš </w:t>
      </w:r>
      <w:r w:rsidR="0049040A" w:rsidRPr="00EC1AB2">
        <w:rPr>
          <w:rFonts w:ascii="Times New Roman" w:hAnsi="Times New Roman" w:cs="Times New Roman"/>
          <w:sz w:val="24"/>
          <w:szCs w:val="24"/>
        </w:rPr>
        <w:t>8</w:t>
      </w:r>
      <w:r w:rsidRPr="00EC1AB2">
        <w:rPr>
          <w:rFonts w:ascii="Times New Roman" w:hAnsi="Times New Roman" w:cs="Times New Roman"/>
          <w:sz w:val="24"/>
          <w:szCs w:val="24"/>
        </w:rPr>
        <w:t xml:space="preserve"> pav. </w:t>
      </w:r>
      <w:r w:rsidR="00BA3616" w:rsidRPr="00EC1AB2">
        <w:rPr>
          <w:rFonts w:ascii="Times New Roman" w:hAnsi="Times New Roman" w:cs="Times New Roman"/>
          <w:sz w:val="24"/>
          <w:szCs w:val="24"/>
        </w:rPr>
        <w:t>med</w:t>
      </w:r>
      <w:r w:rsidR="00D65685" w:rsidRPr="00EC1AB2">
        <w:rPr>
          <w:rFonts w:ascii="Times New Roman" w:hAnsi="Times New Roman" w:cs="Times New Roman"/>
          <w:sz w:val="24"/>
          <w:szCs w:val="24"/>
        </w:rPr>
        <w:t>icinos pramonė</w:t>
      </w:r>
      <w:r w:rsidR="00762250" w:rsidRPr="00EC1AB2">
        <w:rPr>
          <w:rFonts w:ascii="Times New Roman" w:hAnsi="Times New Roman" w:cs="Times New Roman"/>
          <w:sz w:val="24"/>
          <w:szCs w:val="24"/>
        </w:rPr>
        <w:t xml:space="preserve"> ir telekomunikacijos 2010 m. sulaukė daugiausiai investicijų t</w:t>
      </w:r>
      <w:r w:rsidR="00157D87" w:rsidRPr="00EC1AB2">
        <w:rPr>
          <w:rFonts w:ascii="Times New Roman" w:hAnsi="Times New Roman" w:cs="Times New Roman"/>
          <w:sz w:val="24"/>
          <w:szCs w:val="24"/>
        </w:rPr>
        <w:t>iek Baltijos valstybėse, tiek C</w:t>
      </w:r>
      <w:r w:rsidR="00932640" w:rsidRPr="00EC1AB2">
        <w:rPr>
          <w:rFonts w:ascii="Times New Roman" w:hAnsi="Times New Roman" w:cs="Times New Roman"/>
          <w:sz w:val="24"/>
          <w:szCs w:val="24"/>
        </w:rPr>
        <w:t>E</w:t>
      </w:r>
      <w:r w:rsidR="00762250" w:rsidRPr="00EC1AB2">
        <w:rPr>
          <w:rFonts w:ascii="Times New Roman" w:hAnsi="Times New Roman" w:cs="Times New Roman"/>
          <w:sz w:val="24"/>
          <w:szCs w:val="24"/>
        </w:rPr>
        <w:t>E, tiek ES. V</w:t>
      </w:r>
      <w:r w:rsidR="004554C2" w:rsidRPr="00EC1AB2">
        <w:rPr>
          <w:rFonts w:ascii="Times New Roman" w:hAnsi="Times New Roman" w:cs="Times New Roman"/>
          <w:sz w:val="24"/>
          <w:szCs w:val="24"/>
        </w:rPr>
        <w:t>artojimo prekės ir mažmeninė pre</w:t>
      </w:r>
      <w:r w:rsidR="00762250" w:rsidRPr="00EC1AB2">
        <w:rPr>
          <w:rFonts w:ascii="Times New Roman" w:hAnsi="Times New Roman" w:cs="Times New Roman"/>
          <w:sz w:val="24"/>
          <w:szCs w:val="24"/>
        </w:rPr>
        <w:t>kyba</w:t>
      </w:r>
      <w:r w:rsidR="00157D87" w:rsidRPr="00EC1AB2">
        <w:rPr>
          <w:rFonts w:ascii="Times New Roman" w:hAnsi="Times New Roman" w:cs="Times New Roman"/>
          <w:sz w:val="24"/>
          <w:szCs w:val="24"/>
        </w:rPr>
        <w:t xml:space="preserve"> buvo patraukliausias C</w:t>
      </w:r>
      <w:r w:rsidR="00932640" w:rsidRPr="00EC1AB2">
        <w:rPr>
          <w:rFonts w:ascii="Times New Roman" w:hAnsi="Times New Roman" w:cs="Times New Roman"/>
          <w:sz w:val="24"/>
          <w:szCs w:val="24"/>
        </w:rPr>
        <w:t>E</w:t>
      </w:r>
      <w:r w:rsidR="004554C2" w:rsidRPr="00EC1AB2">
        <w:rPr>
          <w:rFonts w:ascii="Times New Roman" w:hAnsi="Times New Roman" w:cs="Times New Roman"/>
          <w:sz w:val="24"/>
          <w:szCs w:val="24"/>
        </w:rPr>
        <w:t>E sektorius RKF investuotojams šiose šalyse.</w:t>
      </w:r>
      <w:r w:rsidR="00D65685" w:rsidRPr="00EC1AB2">
        <w:rPr>
          <w:rFonts w:ascii="Times New Roman" w:hAnsi="Times New Roman" w:cs="Times New Roman"/>
          <w:sz w:val="24"/>
          <w:szCs w:val="24"/>
        </w:rPr>
        <w:t xml:space="preserve"> Baltijos valstybėse moderniųjų technologijų sektorius sulaukė daugiausiai investicijų. Šis sektorius buvo patrauklus ir ES mastu,</w:t>
      </w:r>
      <w:r w:rsidR="00762250" w:rsidRPr="00EC1AB2">
        <w:rPr>
          <w:rFonts w:ascii="Times New Roman" w:hAnsi="Times New Roman" w:cs="Times New Roman"/>
          <w:sz w:val="24"/>
          <w:szCs w:val="24"/>
        </w:rPr>
        <w:t xml:space="preserve"> </w:t>
      </w:r>
      <w:r w:rsidR="00D65685" w:rsidRPr="00EC1AB2">
        <w:rPr>
          <w:rFonts w:ascii="Times New Roman" w:hAnsi="Times New Roman" w:cs="Times New Roman"/>
          <w:sz w:val="24"/>
          <w:szCs w:val="24"/>
        </w:rPr>
        <w:t>t</w:t>
      </w:r>
      <w:r w:rsidR="00E8737A" w:rsidRPr="00EC1AB2">
        <w:rPr>
          <w:rFonts w:ascii="Times New Roman" w:hAnsi="Times New Roman" w:cs="Times New Roman"/>
          <w:sz w:val="24"/>
          <w:szCs w:val="24"/>
        </w:rPr>
        <w:t>odėl galima teigti, kad investicijų pasiskirstymas pagal sektorius Baltijos valstybė</w:t>
      </w:r>
      <w:r w:rsidR="00157D87" w:rsidRPr="00EC1AB2">
        <w:rPr>
          <w:rFonts w:ascii="Times New Roman" w:hAnsi="Times New Roman" w:cs="Times New Roman"/>
          <w:sz w:val="24"/>
          <w:szCs w:val="24"/>
        </w:rPr>
        <w:t>se yra panašesnis į ES, nei į C</w:t>
      </w:r>
      <w:r w:rsidR="00932640" w:rsidRPr="00EC1AB2">
        <w:rPr>
          <w:rFonts w:ascii="Times New Roman" w:hAnsi="Times New Roman" w:cs="Times New Roman"/>
          <w:sz w:val="24"/>
          <w:szCs w:val="24"/>
        </w:rPr>
        <w:t>E</w:t>
      </w:r>
      <w:r w:rsidR="00E8737A" w:rsidRPr="00EC1AB2">
        <w:rPr>
          <w:rFonts w:ascii="Times New Roman" w:hAnsi="Times New Roman" w:cs="Times New Roman"/>
          <w:sz w:val="24"/>
          <w:szCs w:val="24"/>
        </w:rPr>
        <w:t xml:space="preserve">E. </w:t>
      </w:r>
    </w:p>
    <w:p w:rsidR="005536BA" w:rsidRPr="00EC1AB2" w:rsidRDefault="00D53741"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Kaip jau minėta, </w:t>
      </w:r>
      <w:r w:rsidR="000C2B8E" w:rsidRPr="00EC1AB2">
        <w:rPr>
          <w:rFonts w:ascii="Times New Roman" w:hAnsi="Times New Roman" w:cs="Times New Roman"/>
          <w:sz w:val="24"/>
          <w:szCs w:val="24"/>
        </w:rPr>
        <w:t>RKF</w:t>
      </w:r>
      <w:r w:rsidR="00AE7CA5" w:rsidRPr="00EC1AB2">
        <w:rPr>
          <w:rFonts w:ascii="Times New Roman" w:hAnsi="Times New Roman" w:cs="Times New Roman"/>
          <w:sz w:val="24"/>
          <w:szCs w:val="24"/>
        </w:rPr>
        <w:t xml:space="preserve"> investicijų pobūdis</w:t>
      </w:r>
      <w:r w:rsidR="00482B45" w:rsidRPr="00EC1AB2">
        <w:rPr>
          <w:rFonts w:ascii="Times New Roman" w:hAnsi="Times New Roman" w:cs="Times New Roman"/>
          <w:sz w:val="24"/>
          <w:szCs w:val="24"/>
        </w:rPr>
        <w:t xml:space="preserve"> didžia </w:t>
      </w:r>
      <w:r w:rsidR="00AE7CA5" w:rsidRPr="00EC1AB2">
        <w:rPr>
          <w:rFonts w:ascii="Times New Roman" w:hAnsi="Times New Roman" w:cs="Times New Roman"/>
          <w:sz w:val="24"/>
          <w:szCs w:val="24"/>
        </w:rPr>
        <w:t xml:space="preserve"> priklauso nuo vyraujančio investuotojų tipo</w:t>
      </w:r>
      <w:r w:rsidR="000C2B8E" w:rsidRPr="00EC1AB2">
        <w:rPr>
          <w:rFonts w:ascii="Times New Roman" w:hAnsi="Times New Roman" w:cs="Times New Roman"/>
          <w:sz w:val="24"/>
          <w:szCs w:val="24"/>
        </w:rPr>
        <w:t>.</w:t>
      </w:r>
      <w:r w:rsidRPr="00EC1AB2">
        <w:rPr>
          <w:rFonts w:ascii="Times New Roman" w:hAnsi="Times New Roman" w:cs="Times New Roman"/>
          <w:sz w:val="24"/>
          <w:szCs w:val="24"/>
        </w:rPr>
        <w:t xml:space="preserve"> </w:t>
      </w:r>
    </w:p>
    <w:p w:rsidR="00F9230B" w:rsidRPr="00EC1AB2" w:rsidRDefault="00C542A6" w:rsidP="007A02A8">
      <w:p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sz w:val="24"/>
          <w:szCs w:val="24"/>
        </w:rPr>
        <w:t>Pasiskirstymas p</w:t>
      </w:r>
      <w:r w:rsidR="00840C1E" w:rsidRPr="00EC1AB2">
        <w:rPr>
          <w:rFonts w:ascii="Times New Roman" w:hAnsi="Times New Roman" w:cs="Times New Roman"/>
          <w:sz w:val="24"/>
          <w:szCs w:val="24"/>
        </w:rPr>
        <w:t xml:space="preserve">agal investuotojų tipus </w:t>
      </w:r>
      <w:r w:rsidR="00AE7CA5" w:rsidRPr="00EC1AB2">
        <w:rPr>
          <w:rFonts w:ascii="Times New Roman" w:hAnsi="Times New Roman" w:cs="Times New Roman"/>
          <w:sz w:val="24"/>
          <w:szCs w:val="24"/>
        </w:rPr>
        <w:t xml:space="preserve">Baltijos valstybėse ir ES </w:t>
      </w:r>
      <w:r w:rsidR="00840C1E" w:rsidRPr="00EC1AB2">
        <w:rPr>
          <w:rFonts w:ascii="Times New Roman" w:hAnsi="Times New Roman" w:cs="Times New Roman"/>
          <w:sz w:val="24"/>
          <w:szCs w:val="24"/>
        </w:rPr>
        <w:t xml:space="preserve">pateiktas </w:t>
      </w:r>
      <w:r w:rsidR="0049040A" w:rsidRPr="00EC1AB2">
        <w:rPr>
          <w:rFonts w:ascii="Times New Roman" w:hAnsi="Times New Roman" w:cs="Times New Roman"/>
          <w:sz w:val="24"/>
          <w:szCs w:val="24"/>
        </w:rPr>
        <w:t>9</w:t>
      </w:r>
      <w:r w:rsidR="00840C1E" w:rsidRPr="00EC1AB2">
        <w:rPr>
          <w:rFonts w:ascii="Times New Roman" w:hAnsi="Times New Roman" w:cs="Times New Roman"/>
          <w:sz w:val="24"/>
          <w:szCs w:val="24"/>
        </w:rPr>
        <w:t xml:space="preserve"> pav.</w:t>
      </w:r>
    </w:p>
    <w:p w:rsidR="005536BA" w:rsidRPr="00EC1AB2" w:rsidRDefault="005536BA" w:rsidP="007A02A8">
      <w:pPr>
        <w:autoSpaceDE w:val="0"/>
        <w:autoSpaceDN w:val="0"/>
        <w:adjustRightInd w:val="0"/>
        <w:spacing w:after="0" w:line="360" w:lineRule="auto"/>
        <w:ind w:firstLine="567"/>
        <w:jc w:val="both"/>
        <w:rPr>
          <w:rFonts w:ascii="Times New Roman" w:hAnsi="Times New Roman" w:cs="Times New Roman"/>
          <w:sz w:val="24"/>
          <w:szCs w:val="24"/>
        </w:rPr>
      </w:pPr>
    </w:p>
    <w:p w:rsidR="005536BA" w:rsidRPr="00EC1AB2" w:rsidRDefault="005536BA" w:rsidP="007A02A8">
      <w:pPr>
        <w:autoSpaceDE w:val="0"/>
        <w:autoSpaceDN w:val="0"/>
        <w:adjustRightInd w:val="0"/>
        <w:spacing w:after="0" w:line="360" w:lineRule="auto"/>
        <w:ind w:firstLine="567"/>
        <w:jc w:val="both"/>
        <w:rPr>
          <w:rFonts w:ascii="Times New Roman" w:hAnsi="Times New Roman" w:cs="Times New Roman"/>
          <w:sz w:val="24"/>
          <w:szCs w:val="24"/>
        </w:rPr>
      </w:pPr>
    </w:p>
    <w:p w:rsidR="005536BA" w:rsidRPr="00EC1AB2" w:rsidRDefault="005536BA" w:rsidP="007A02A8">
      <w:pPr>
        <w:autoSpaceDE w:val="0"/>
        <w:autoSpaceDN w:val="0"/>
        <w:adjustRightInd w:val="0"/>
        <w:spacing w:after="0" w:line="360" w:lineRule="auto"/>
        <w:ind w:firstLine="567"/>
        <w:jc w:val="both"/>
        <w:rPr>
          <w:rFonts w:ascii="Times New Roman" w:hAnsi="Times New Roman" w:cs="Times New Roman"/>
          <w:sz w:val="24"/>
          <w:szCs w:val="24"/>
        </w:rPr>
      </w:pPr>
    </w:p>
    <w:p w:rsidR="005536BA" w:rsidRPr="00EC1AB2" w:rsidRDefault="005536BA" w:rsidP="007A02A8">
      <w:pPr>
        <w:autoSpaceDE w:val="0"/>
        <w:autoSpaceDN w:val="0"/>
        <w:adjustRightInd w:val="0"/>
        <w:spacing w:after="0" w:line="360" w:lineRule="auto"/>
        <w:ind w:firstLine="567"/>
        <w:jc w:val="both"/>
        <w:rPr>
          <w:rFonts w:ascii="Times New Roman" w:hAnsi="Times New Roman" w:cs="Times New Roman"/>
          <w:sz w:val="24"/>
          <w:szCs w:val="24"/>
        </w:rPr>
      </w:pPr>
    </w:p>
    <w:p w:rsidR="005536BA" w:rsidRPr="00EC1AB2" w:rsidRDefault="005536BA" w:rsidP="007A02A8">
      <w:pPr>
        <w:autoSpaceDE w:val="0"/>
        <w:autoSpaceDN w:val="0"/>
        <w:adjustRightInd w:val="0"/>
        <w:spacing w:after="0" w:line="360" w:lineRule="auto"/>
        <w:ind w:firstLine="567"/>
        <w:jc w:val="both"/>
        <w:rPr>
          <w:rFonts w:ascii="Times New Roman" w:hAnsi="Times New Roman" w:cs="Times New Roman"/>
          <w:sz w:val="24"/>
          <w:szCs w:val="24"/>
        </w:rPr>
      </w:pPr>
    </w:p>
    <w:p w:rsidR="005536BA" w:rsidRPr="00EC1AB2" w:rsidRDefault="005536BA" w:rsidP="007A02A8">
      <w:pPr>
        <w:autoSpaceDE w:val="0"/>
        <w:autoSpaceDN w:val="0"/>
        <w:adjustRightInd w:val="0"/>
        <w:spacing w:after="0" w:line="360" w:lineRule="auto"/>
        <w:ind w:firstLine="567"/>
        <w:jc w:val="both"/>
        <w:rPr>
          <w:rFonts w:ascii="Times New Roman" w:hAnsi="Times New Roman" w:cs="Times New Roman"/>
          <w:sz w:val="24"/>
          <w:szCs w:val="24"/>
        </w:rPr>
      </w:pPr>
    </w:p>
    <w:p w:rsidR="005536BA" w:rsidRPr="00EC1AB2" w:rsidRDefault="005536BA" w:rsidP="007A02A8">
      <w:pPr>
        <w:autoSpaceDE w:val="0"/>
        <w:autoSpaceDN w:val="0"/>
        <w:adjustRightInd w:val="0"/>
        <w:spacing w:after="0" w:line="360" w:lineRule="auto"/>
        <w:ind w:firstLine="567"/>
        <w:jc w:val="both"/>
        <w:rPr>
          <w:rFonts w:ascii="Times New Roman" w:hAnsi="Times New Roman" w:cs="Times New Roman"/>
          <w:sz w:val="24"/>
          <w:szCs w:val="24"/>
        </w:rPr>
      </w:pPr>
    </w:p>
    <w:p w:rsidR="00126BBD" w:rsidRPr="00EC1AB2" w:rsidRDefault="00126BBD" w:rsidP="007A02A8">
      <w:pPr>
        <w:autoSpaceDE w:val="0"/>
        <w:autoSpaceDN w:val="0"/>
        <w:adjustRightInd w:val="0"/>
        <w:spacing w:after="0" w:line="360" w:lineRule="auto"/>
        <w:ind w:left="1296"/>
        <w:jc w:val="center"/>
        <w:rPr>
          <w:rFonts w:ascii="Times New Roman" w:hAnsi="Times New Roman" w:cs="Times New Roman"/>
          <w:b/>
          <w:sz w:val="28"/>
          <w:szCs w:val="28"/>
        </w:rPr>
      </w:pPr>
    </w:p>
    <w:p w:rsidR="00126BBD" w:rsidRPr="00EC1AB2" w:rsidRDefault="00126BBD" w:rsidP="007A02A8">
      <w:pPr>
        <w:autoSpaceDE w:val="0"/>
        <w:autoSpaceDN w:val="0"/>
        <w:adjustRightInd w:val="0"/>
        <w:spacing w:after="0" w:line="360" w:lineRule="auto"/>
        <w:ind w:left="1296"/>
        <w:jc w:val="center"/>
        <w:rPr>
          <w:rFonts w:ascii="Times New Roman" w:hAnsi="Times New Roman" w:cs="Times New Roman"/>
          <w:b/>
          <w:sz w:val="28"/>
          <w:szCs w:val="28"/>
        </w:rPr>
      </w:pPr>
    </w:p>
    <w:p w:rsidR="00126BBD" w:rsidRPr="00EC1AB2" w:rsidRDefault="005536BA" w:rsidP="007A02A8">
      <w:pPr>
        <w:autoSpaceDE w:val="0"/>
        <w:autoSpaceDN w:val="0"/>
        <w:adjustRightInd w:val="0"/>
        <w:spacing w:after="0" w:line="360" w:lineRule="auto"/>
        <w:ind w:left="1296"/>
        <w:jc w:val="center"/>
        <w:rPr>
          <w:rFonts w:ascii="Times New Roman" w:hAnsi="Times New Roman" w:cs="Times New Roman"/>
          <w:b/>
          <w:sz w:val="28"/>
          <w:szCs w:val="28"/>
        </w:rPr>
      </w:pPr>
      <w:r w:rsidRPr="00EC1AB2">
        <w:rPr>
          <w:rFonts w:ascii="Times New Roman" w:hAnsi="Times New Roman" w:cs="Times New Roman"/>
          <w:noProof/>
          <w:lang w:eastAsia="lt-LT"/>
        </w:rPr>
        <w:drawing>
          <wp:anchor distT="0" distB="0" distL="114300" distR="114300" simplePos="0" relativeHeight="251763712" behindDoc="1" locked="0" layoutInCell="1" allowOverlap="1" wp14:anchorId="298B8F92" wp14:editId="6A0F917A">
            <wp:simplePos x="0" y="0"/>
            <wp:positionH relativeFrom="column">
              <wp:posOffset>-5080</wp:posOffset>
            </wp:positionH>
            <wp:positionV relativeFrom="paragraph">
              <wp:posOffset>-276860</wp:posOffset>
            </wp:positionV>
            <wp:extent cx="6267450" cy="3133725"/>
            <wp:effectExtent l="0" t="0" r="0" b="0"/>
            <wp:wrapTight wrapText="bothSides">
              <wp:wrapPolygon edited="0">
                <wp:start x="788" y="1182"/>
                <wp:lineTo x="788" y="2889"/>
                <wp:lineTo x="4202" y="3545"/>
                <wp:lineTo x="2692" y="3939"/>
                <wp:lineTo x="2560" y="5646"/>
                <wp:lineTo x="4530" y="5646"/>
                <wp:lineTo x="2167" y="6434"/>
                <wp:lineTo x="2232" y="6959"/>
                <wp:lineTo x="8601" y="7747"/>
                <wp:lineTo x="2364" y="7747"/>
                <wp:lineTo x="2364" y="9454"/>
                <wp:lineTo x="788" y="10242"/>
                <wp:lineTo x="657" y="10636"/>
                <wp:lineTo x="2232" y="11949"/>
                <wp:lineTo x="2232" y="12999"/>
                <wp:lineTo x="5646" y="14050"/>
                <wp:lineTo x="3217" y="14050"/>
                <wp:lineTo x="3217" y="15757"/>
                <wp:lineTo x="8732" y="16151"/>
                <wp:lineTo x="2429" y="16676"/>
                <wp:lineTo x="1904" y="16807"/>
                <wp:lineTo x="1904" y="18908"/>
                <wp:lineTo x="6762" y="20353"/>
                <wp:lineTo x="1050" y="20484"/>
                <wp:lineTo x="985" y="21272"/>
                <wp:lineTo x="1773" y="21403"/>
                <wp:lineTo x="21337" y="21403"/>
                <wp:lineTo x="21469" y="3939"/>
                <wp:lineTo x="20943" y="3808"/>
                <wp:lineTo x="10702" y="3545"/>
                <wp:lineTo x="5581" y="1182"/>
                <wp:lineTo x="788" y="1182"/>
              </wp:wrapPolygon>
            </wp:wrapTight>
            <wp:docPr id="63" name="Chart 6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page">
              <wp14:pctWidth>0</wp14:pctWidth>
            </wp14:sizeRelH>
            <wp14:sizeRelV relativeFrom="page">
              <wp14:pctHeight>0</wp14:pctHeight>
            </wp14:sizeRelV>
          </wp:anchor>
        </w:drawing>
      </w:r>
    </w:p>
    <w:p w:rsidR="00EC599C" w:rsidRPr="00EC1AB2" w:rsidRDefault="00EC599C" w:rsidP="007A02A8">
      <w:pPr>
        <w:autoSpaceDE w:val="0"/>
        <w:autoSpaceDN w:val="0"/>
        <w:adjustRightInd w:val="0"/>
        <w:spacing w:after="0" w:line="360" w:lineRule="auto"/>
        <w:ind w:left="1296"/>
        <w:jc w:val="center"/>
        <w:rPr>
          <w:rFonts w:ascii="Times New Roman" w:hAnsi="Times New Roman" w:cs="Times New Roman"/>
          <w:b/>
          <w:sz w:val="28"/>
          <w:szCs w:val="28"/>
        </w:rPr>
      </w:pPr>
    </w:p>
    <w:p w:rsidR="00EC599C" w:rsidRPr="00EC1AB2" w:rsidRDefault="00EC599C" w:rsidP="007A02A8">
      <w:pPr>
        <w:autoSpaceDE w:val="0"/>
        <w:autoSpaceDN w:val="0"/>
        <w:adjustRightInd w:val="0"/>
        <w:spacing w:after="0" w:line="360" w:lineRule="auto"/>
        <w:ind w:left="1296"/>
        <w:jc w:val="center"/>
        <w:rPr>
          <w:rFonts w:ascii="Times New Roman" w:hAnsi="Times New Roman" w:cs="Times New Roman"/>
          <w:b/>
          <w:sz w:val="28"/>
          <w:szCs w:val="28"/>
        </w:rPr>
      </w:pPr>
    </w:p>
    <w:p w:rsidR="00126BBD" w:rsidRPr="00EC1AB2" w:rsidRDefault="00126BBD" w:rsidP="007A02A8">
      <w:pPr>
        <w:autoSpaceDE w:val="0"/>
        <w:autoSpaceDN w:val="0"/>
        <w:adjustRightInd w:val="0"/>
        <w:spacing w:after="0" w:line="360" w:lineRule="auto"/>
        <w:ind w:left="1296"/>
        <w:jc w:val="center"/>
        <w:rPr>
          <w:rFonts w:ascii="Times New Roman" w:hAnsi="Times New Roman" w:cs="Times New Roman"/>
          <w:b/>
          <w:sz w:val="28"/>
          <w:szCs w:val="28"/>
        </w:rPr>
      </w:pPr>
    </w:p>
    <w:p w:rsidR="00126BBD" w:rsidRPr="00EC1AB2" w:rsidRDefault="00126BBD" w:rsidP="007A02A8">
      <w:pPr>
        <w:autoSpaceDE w:val="0"/>
        <w:autoSpaceDN w:val="0"/>
        <w:adjustRightInd w:val="0"/>
        <w:spacing w:after="0" w:line="360" w:lineRule="auto"/>
        <w:ind w:left="1296"/>
        <w:jc w:val="center"/>
        <w:rPr>
          <w:rFonts w:ascii="Times New Roman" w:hAnsi="Times New Roman" w:cs="Times New Roman"/>
          <w:b/>
          <w:sz w:val="28"/>
          <w:szCs w:val="28"/>
        </w:rPr>
      </w:pPr>
    </w:p>
    <w:p w:rsidR="00126BBD" w:rsidRPr="00EC1AB2" w:rsidRDefault="00126BBD" w:rsidP="007A02A8">
      <w:pPr>
        <w:autoSpaceDE w:val="0"/>
        <w:autoSpaceDN w:val="0"/>
        <w:adjustRightInd w:val="0"/>
        <w:spacing w:after="0" w:line="360" w:lineRule="auto"/>
        <w:ind w:left="1296"/>
        <w:jc w:val="center"/>
        <w:rPr>
          <w:rFonts w:ascii="Times New Roman" w:hAnsi="Times New Roman" w:cs="Times New Roman"/>
          <w:b/>
          <w:sz w:val="28"/>
          <w:szCs w:val="28"/>
        </w:rPr>
      </w:pPr>
    </w:p>
    <w:p w:rsidR="00126BBD" w:rsidRPr="00EC1AB2" w:rsidRDefault="00126BBD" w:rsidP="007A02A8">
      <w:pPr>
        <w:autoSpaceDE w:val="0"/>
        <w:autoSpaceDN w:val="0"/>
        <w:adjustRightInd w:val="0"/>
        <w:spacing w:after="0" w:line="360" w:lineRule="auto"/>
        <w:ind w:left="1296"/>
        <w:jc w:val="center"/>
        <w:rPr>
          <w:rFonts w:ascii="Times New Roman" w:hAnsi="Times New Roman" w:cs="Times New Roman"/>
          <w:b/>
          <w:sz w:val="28"/>
          <w:szCs w:val="28"/>
        </w:rPr>
      </w:pPr>
    </w:p>
    <w:p w:rsidR="00126BBD" w:rsidRPr="00EC1AB2" w:rsidRDefault="00126BBD" w:rsidP="007A02A8">
      <w:pPr>
        <w:autoSpaceDE w:val="0"/>
        <w:autoSpaceDN w:val="0"/>
        <w:adjustRightInd w:val="0"/>
        <w:spacing w:after="0" w:line="360" w:lineRule="auto"/>
        <w:ind w:left="1296"/>
        <w:jc w:val="center"/>
        <w:rPr>
          <w:rFonts w:ascii="Times New Roman" w:hAnsi="Times New Roman" w:cs="Times New Roman"/>
          <w:b/>
          <w:sz w:val="28"/>
          <w:szCs w:val="28"/>
        </w:rPr>
      </w:pPr>
    </w:p>
    <w:p w:rsidR="005536BA" w:rsidRPr="00EC1AB2" w:rsidRDefault="005536BA" w:rsidP="007A02A8">
      <w:pPr>
        <w:tabs>
          <w:tab w:val="left" w:pos="4395"/>
        </w:tabs>
        <w:autoSpaceDE w:val="0"/>
        <w:autoSpaceDN w:val="0"/>
        <w:adjustRightInd w:val="0"/>
        <w:spacing w:after="0" w:line="360" w:lineRule="auto"/>
        <w:jc w:val="both"/>
        <w:rPr>
          <w:rFonts w:ascii="Times New Roman" w:hAnsi="Times New Roman" w:cs="Times New Roman"/>
          <w:b/>
          <w:sz w:val="20"/>
          <w:szCs w:val="20"/>
        </w:rPr>
      </w:pPr>
    </w:p>
    <w:p w:rsidR="005536BA" w:rsidRPr="00EC1AB2" w:rsidRDefault="005536BA" w:rsidP="007A02A8">
      <w:pPr>
        <w:tabs>
          <w:tab w:val="left" w:pos="4395"/>
        </w:tabs>
        <w:autoSpaceDE w:val="0"/>
        <w:autoSpaceDN w:val="0"/>
        <w:adjustRightInd w:val="0"/>
        <w:spacing w:after="0" w:line="360" w:lineRule="auto"/>
        <w:ind w:firstLine="1296"/>
        <w:jc w:val="both"/>
        <w:rPr>
          <w:rFonts w:ascii="Times New Roman" w:hAnsi="Times New Roman" w:cs="Times New Roman"/>
          <w:b/>
          <w:sz w:val="20"/>
          <w:szCs w:val="20"/>
        </w:rPr>
      </w:pPr>
    </w:p>
    <w:p w:rsidR="00AB56C0" w:rsidRPr="00EC1AB2" w:rsidRDefault="00AB56C0" w:rsidP="007A02A8">
      <w:pPr>
        <w:tabs>
          <w:tab w:val="left" w:pos="4395"/>
        </w:tabs>
        <w:autoSpaceDE w:val="0"/>
        <w:autoSpaceDN w:val="0"/>
        <w:adjustRightInd w:val="0"/>
        <w:spacing w:after="0" w:line="360" w:lineRule="auto"/>
        <w:ind w:firstLine="1296"/>
        <w:jc w:val="both"/>
        <w:rPr>
          <w:rFonts w:ascii="Times New Roman" w:hAnsi="Times New Roman" w:cs="Times New Roman"/>
          <w:sz w:val="20"/>
          <w:szCs w:val="20"/>
        </w:rPr>
      </w:pPr>
      <w:r w:rsidRPr="00EC1AB2">
        <w:rPr>
          <w:rFonts w:ascii="Times New Roman" w:hAnsi="Times New Roman" w:cs="Times New Roman"/>
          <w:b/>
          <w:sz w:val="20"/>
          <w:szCs w:val="20"/>
        </w:rPr>
        <w:t>Šaltinis:</w:t>
      </w:r>
      <w:r w:rsidRPr="00EC1AB2">
        <w:rPr>
          <w:rFonts w:ascii="Times New Roman" w:hAnsi="Times New Roman" w:cs="Times New Roman"/>
          <w:sz w:val="20"/>
          <w:szCs w:val="20"/>
        </w:rPr>
        <w:t xml:space="preserve"> sudaryta pagal EVCA Yearbook ir kasmetinį statistikos leidinį, 2011</w:t>
      </w:r>
      <w:r w:rsidRPr="00EC1AB2">
        <w:rPr>
          <w:rFonts w:ascii="Times New Roman" w:hAnsi="Times New Roman" w:cs="Times New Roman"/>
          <w:sz w:val="20"/>
          <w:szCs w:val="20"/>
        </w:rPr>
        <w:tab/>
      </w:r>
    </w:p>
    <w:p w:rsidR="00AB56C0" w:rsidRPr="00EC1AB2" w:rsidRDefault="0049040A" w:rsidP="007A02A8">
      <w:pPr>
        <w:pStyle w:val="Heading5"/>
        <w:spacing w:before="0" w:line="360" w:lineRule="auto"/>
        <w:jc w:val="center"/>
        <w:rPr>
          <w:rFonts w:ascii="Times New Roman" w:hAnsi="Times New Roman" w:cs="Times New Roman"/>
          <w:b/>
          <w:color w:val="auto"/>
          <w:sz w:val="24"/>
          <w:szCs w:val="24"/>
        </w:rPr>
      </w:pPr>
      <w:bookmarkStart w:id="110" w:name="_Toc320761922"/>
      <w:bookmarkStart w:id="111" w:name="_Toc320762157"/>
      <w:bookmarkStart w:id="112" w:name="_Toc320762559"/>
      <w:r w:rsidRPr="00EC1AB2">
        <w:rPr>
          <w:rFonts w:ascii="Times New Roman" w:hAnsi="Times New Roman" w:cs="Times New Roman"/>
          <w:color w:val="auto"/>
          <w:sz w:val="24"/>
          <w:szCs w:val="24"/>
        </w:rPr>
        <w:t>9</w:t>
      </w:r>
      <w:r w:rsidR="00AB56C0" w:rsidRPr="00EC1AB2">
        <w:rPr>
          <w:rFonts w:ascii="Times New Roman" w:hAnsi="Times New Roman" w:cs="Times New Roman"/>
          <w:color w:val="auto"/>
          <w:sz w:val="24"/>
          <w:szCs w:val="24"/>
        </w:rPr>
        <w:t xml:space="preserve"> pav.</w:t>
      </w:r>
      <w:r w:rsidR="00922EC7" w:rsidRPr="00EC1AB2">
        <w:rPr>
          <w:rFonts w:ascii="Times New Roman" w:hAnsi="Times New Roman" w:cs="Times New Roman"/>
          <w:b/>
          <w:color w:val="auto"/>
          <w:sz w:val="24"/>
          <w:szCs w:val="24"/>
        </w:rPr>
        <w:t xml:space="preserve"> Rizikos kapitalo fondų </w:t>
      </w:r>
      <w:r w:rsidR="00AB56C0" w:rsidRPr="00EC1AB2">
        <w:rPr>
          <w:rFonts w:ascii="Times New Roman" w:hAnsi="Times New Roman" w:cs="Times New Roman"/>
          <w:b/>
          <w:color w:val="auto"/>
          <w:sz w:val="24"/>
          <w:szCs w:val="24"/>
        </w:rPr>
        <w:t>investuotojai ES ir Baltijos valstybėse, 2010 m., proc.</w:t>
      </w:r>
      <w:bookmarkEnd w:id="110"/>
      <w:bookmarkEnd w:id="111"/>
      <w:bookmarkEnd w:id="112"/>
    </w:p>
    <w:p w:rsidR="00AB56C0" w:rsidRPr="00EC1AB2" w:rsidRDefault="00AB56C0" w:rsidP="007A02A8">
      <w:pPr>
        <w:pStyle w:val="Heading5"/>
        <w:spacing w:before="0" w:line="360" w:lineRule="auto"/>
        <w:jc w:val="center"/>
        <w:rPr>
          <w:rFonts w:ascii="Times New Roman" w:hAnsi="Times New Roman" w:cs="Times New Roman"/>
          <w:b/>
          <w:color w:val="auto"/>
          <w:sz w:val="24"/>
          <w:szCs w:val="24"/>
        </w:rPr>
      </w:pPr>
    </w:p>
    <w:p w:rsidR="00B33F7D" w:rsidRPr="00EC1AB2" w:rsidRDefault="00436EBF"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Kaip matyti ES RKF daugiausiai lėšų pritraukė iš nežino</w:t>
      </w:r>
      <w:r w:rsidR="00482B45" w:rsidRPr="00EC1AB2">
        <w:rPr>
          <w:rFonts w:ascii="Times New Roman" w:hAnsi="Times New Roman" w:cs="Times New Roman"/>
          <w:sz w:val="24"/>
          <w:szCs w:val="24"/>
        </w:rPr>
        <w:t xml:space="preserve">mų investuotojų, pensijų fondų bei </w:t>
      </w:r>
      <w:r w:rsidRPr="00EC1AB2">
        <w:rPr>
          <w:rFonts w:ascii="Times New Roman" w:hAnsi="Times New Roman" w:cs="Times New Roman"/>
          <w:sz w:val="24"/>
          <w:szCs w:val="24"/>
        </w:rPr>
        <w:t>fondų fondų.</w:t>
      </w:r>
      <w:r w:rsidR="005E3742" w:rsidRPr="00EC1AB2">
        <w:rPr>
          <w:rFonts w:ascii="Times New Roman" w:hAnsi="Times New Roman" w:cs="Times New Roman"/>
          <w:sz w:val="24"/>
          <w:szCs w:val="24"/>
        </w:rPr>
        <w:t xml:space="preserve"> Baltijos valstybėse net 72,2 proc. </w:t>
      </w:r>
      <w:r w:rsidR="00E556B7" w:rsidRPr="00EC1AB2">
        <w:rPr>
          <w:rFonts w:ascii="Times New Roman" w:hAnsi="Times New Roman" w:cs="Times New Roman"/>
          <w:sz w:val="24"/>
          <w:szCs w:val="24"/>
        </w:rPr>
        <w:t xml:space="preserve">2010 m. </w:t>
      </w:r>
      <w:r w:rsidR="005E3742" w:rsidRPr="00EC1AB2">
        <w:rPr>
          <w:rFonts w:ascii="Times New Roman" w:hAnsi="Times New Roman" w:cs="Times New Roman"/>
          <w:sz w:val="24"/>
          <w:szCs w:val="24"/>
        </w:rPr>
        <w:t xml:space="preserve">RKF pritrauktų lėšų sudarė valstybės lėšos. </w:t>
      </w:r>
      <w:r w:rsidR="001761AC" w:rsidRPr="00EC1AB2">
        <w:rPr>
          <w:rFonts w:ascii="Times New Roman" w:hAnsi="Times New Roman" w:cs="Times New Roman"/>
          <w:sz w:val="24"/>
          <w:szCs w:val="24"/>
        </w:rPr>
        <w:t>Tai lėmė šiuo metu įgyvendin</w:t>
      </w:r>
      <w:r w:rsidR="00A244F6" w:rsidRPr="00EC1AB2">
        <w:rPr>
          <w:rFonts w:ascii="Times New Roman" w:hAnsi="Times New Roman" w:cs="Times New Roman"/>
          <w:sz w:val="24"/>
          <w:szCs w:val="24"/>
        </w:rPr>
        <w:t>ama</w:t>
      </w:r>
      <w:r w:rsidR="001761AC" w:rsidRPr="00EC1AB2">
        <w:rPr>
          <w:rFonts w:ascii="Times New Roman" w:hAnsi="Times New Roman" w:cs="Times New Roman"/>
          <w:sz w:val="24"/>
          <w:szCs w:val="24"/>
        </w:rPr>
        <w:t xml:space="preserve"> </w:t>
      </w:r>
      <w:r w:rsidR="001761AC" w:rsidRPr="00EC1AB2">
        <w:rPr>
          <w:rFonts w:ascii="Times New Roman" w:eastAsia="Times New Roman" w:hAnsi="Times New Roman" w:cs="Times New Roman"/>
          <w:sz w:val="24"/>
          <w:szCs w:val="24"/>
          <w:lang w:eastAsia="lt-LT"/>
        </w:rPr>
        <w:t>Europos Komisijos, Europos investicijų banko ir Europos investicijų fondo iniciatyva, kurios tikslas – padėti šalims narėms pasirengti dalį joms numatytų ES struktūrinės paramos lėšų panaudoti MVĮ skirtų finansinių priemonių (mikrokreditavimas, rizikos kapitalo investicijos ir pan.) įgyvendini</w:t>
      </w:r>
      <w:r w:rsidR="004B0B0F" w:rsidRPr="00EC1AB2">
        <w:rPr>
          <w:rFonts w:ascii="Times New Roman" w:eastAsia="Times New Roman" w:hAnsi="Times New Roman" w:cs="Times New Roman"/>
          <w:sz w:val="24"/>
          <w:szCs w:val="24"/>
          <w:lang w:eastAsia="lt-LT"/>
        </w:rPr>
        <w:t>mui. Lietuvoje</w:t>
      </w:r>
      <w:r w:rsidR="001761AC" w:rsidRPr="00EC1AB2">
        <w:rPr>
          <w:rFonts w:ascii="Times New Roman" w:eastAsia="Times New Roman" w:hAnsi="Times New Roman" w:cs="Times New Roman"/>
          <w:sz w:val="24"/>
          <w:szCs w:val="24"/>
          <w:lang w:eastAsia="lt-LT"/>
        </w:rPr>
        <w:t xml:space="preserve"> ši iniciatyva finansuojama 2007-2013 m. Ekonomikos augimo veiksmų programos 2 prioriteto „Verslo produktyvumo didinimas ir aplinkos verslui gerinimas” lėšomis, jai skiriama 275 mln. Lt (apie 80 mln. EUR) Europos Sąjungos struktūrinių lėšų.</w:t>
      </w:r>
    </w:p>
    <w:p w:rsidR="00D04D5F" w:rsidRPr="00EC1AB2" w:rsidRDefault="00B12DAE"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eastAsia="Times New Roman" w:hAnsi="Times New Roman" w:cs="Times New Roman"/>
          <w:sz w:val="24"/>
          <w:szCs w:val="24"/>
          <w:lang w:eastAsia="lt-LT"/>
        </w:rPr>
        <w:t>„</w:t>
      </w:r>
      <w:r w:rsidR="00D04D5F" w:rsidRPr="00EC1AB2">
        <w:rPr>
          <w:rFonts w:ascii="Times New Roman" w:eastAsia="Times New Roman" w:hAnsi="Times New Roman" w:cs="Times New Roman"/>
          <w:sz w:val="24"/>
          <w:szCs w:val="24"/>
          <w:lang w:eastAsia="lt-LT"/>
        </w:rPr>
        <w:t>BaltCap</w:t>
      </w:r>
      <w:r w:rsidRPr="00EC1AB2">
        <w:rPr>
          <w:rFonts w:ascii="Times New Roman" w:eastAsia="Times New Roman" w:hAnsi="Times New Roman" w:cs="Times New Roman"/>
          <w:sz w:val="24"/>
          <w:szCs w:val="24"/>
          <w:lang w:eastAsia="lt-LT"/>
        </w:rPr>
        <w:t>“</w:t>
      </w:r>
      <w:r w:rsidR="00D04D5F" w:rsidRPr="00EC1AB2">
        <w:rPr>
          <w:rFonts w:ascii="Times New Roman" w:eastAsia="Times New Roman" w:hAnsi="Times New Roman" w:cs="Times New Roman"/>
          <w:sz w:val="24"/>
          <w:szCs w:val="24"/>
          <w:lang w:eastAsia="lt-LT"/>
        </w:rPr>
        <w:t xml:space="preserve"> viena iš EIF valdomo JEREMIE kontroliuojančiojo fondo iniciatyvų Lietuv</w:t>
      </w:r>
      <w:r w:rsidR="00B33F7D" w:rsidRPr="00EC1AB2">
        <w:rPr>
          <w:rFonts w:ascii="Times New Roman" w:eastAsia="Times New Roman" w:hAnsi="Times New Roman" w:cs="Times New Roman"/>
          <w:sz w:val="24"/>
          <w:szCs w:val="24"/>
          <w:lang w:eastAsia="lt-LT"/>
        </w:rPr>
        <w:t>oje. Šis RKF</w:t>
      </w:r>
      <w:r w:rsidR="00D04D5F" w:rsidRPr="00EC1AB2">
        <w:rPr>
          <w:rFonts w:ascii="Times New Roman" w:eastAsia="Times New Roman" w:hAnsi="Times New Roman" w:cs="Times New Roman"/>
          <w:sz w:val="24"/>
          <w:szCs w:val="24"/>
          <w:lang w:eastAsia="lt-LT"/>
        </w:rPr>
        <w:t xml:space="preserve"> yra viena iš svarbių JEREMIE kontroliuojančiojo fondo veiklų, ko pasėkoje 20 milijonų eurų bus investuota į Liet</w:t>
      </w:r>
      <w:r w:rsidR="00B33F7D" w:rsidRPr="00EC1AB2">
        <w:rPr>
          <w:rFonts w:ascii="Times New Roman" w:eastAsia="Times New Roman" w:hAnsi="Times New Roman" w:cs="Times New Roman"/>
          <w:sz w:val="24"/>
          <w:szCs w:val="24"/>
          <w:lang w:eastAsia="lt-LT"/>
        </w:rPr>
        <w:t>uvos MVĮ</w:t>
      </w:r>
      <w:r w:rsidR="00D04D5F" w:rsidRPr="00EC1AB2">
        <w:rPr>
          <w:rFonts w:ascii="Times New Roman" w:eastAsia="Times New Roman" w:hAnsi="Times New Roman" w:cs="Times New Roman"/>
          <w:sz w:val="24"/>
          <w:szCs w:val="24"/>
          <w:lang w:eastAsia="lt-LT"/>
        </w:rPr>
        <w:t xml:space="preserve">. Fondas investuos iki 10,05 mln. Lt (3 mln. eurų) į veikiančias įmones, pasižyminčias dideliu augimo potencialu. Planuojama, jog iš viso bus investuota į 7-15 MVĮ, kurias atrinks fondą valdanti profesionali </w:t>
      </w:r>
      <w:r w:rsidR="00620C07" w:rsidRPr="00EC1AB2">
        <w:rPr>
          <w:rFonts w:ascii="Times New Roman" w:eastAsia="Times New Roman" w:hAnsi="Times New Roman" w:cs="Times New Roman"/>
          <w:sz w:val="24"/>
          <w:szCs w:val="24"/>
          <w:lang w:eastAsia="lt-LT"/>
        </w:rPr>
        <w:t>„</w:t>
      </w:r>
      <w:r w:rsidR="00D04D5F" w:rsidRPr="00EC1AB2">
        <w:rPr>
          <w:rFonts w:ascii="Times New Roman" w:eastAsia="Times New Roman" w:hAnsi="Times New Roman" w:cs="Times New Roman"/>
          <w:sz w:val="24"/>
          <w:szCs w:val="24"/>
          <w:lang w:eastAsia="lt-LT"/>
        </w:rPr>
        <w:t>BaltCap</w:t>
      </w:r>
      <w:r w:rsidR="00620C07" w:rsidRPr="00EC1AB2">
        <w:rPr>
          <w:rFonts w:ascii="Times New Roman" w:eastAsia="Times New Roman" w:hAnsi="Times New Roman" w:cs="Times New Roman"/>
          <w:sz w:val="24"/>
          <w:szCs w:val="24"/>
          <w:lang w:eastAsia="lt-LT"/>
        </w:rPr>
        <w:t>“</w:t>
      </w:r>
      <w:r w:rsidR="00D04D5F" w:rsidRPr="00EC1AB2">
        <w:rPr>
          <w:rFonts w:ascii="Times New Roman" w:eastAsia="Times New Roman" w:hAnsi="Times New Roman" w:cs="Times New Roman"/>
          <w:sz w:val="24"/>
          <w:szCs w:val="24"/>
          <w:lang w:eastAsia="lt-LT"/>
        </w:rPr>
        <w:t xml:space="preserve"> komanda.</w:t>
      </w:r>
      <w:r w:rsidR="0013557E" w:rsidRPr="00EC1AB2">
        <w:rPr>
          <w:rFonts w:ascii="Times New Roman" w:eastAsia="Times New Roman" w:hAnsi="Times New Roman" w:cs="Times New Roman"/>
          <w:sz w:val="24"/>
          <w:szCs w:val="24"/>
          <w:lang w:eastAsia="lt-LT"/>
        </w:rPr>
        <w:t xml:space="preserve"> Fondą sudaro</w:t>
      </w:r>
      <w:r w:rsidR="00BD7D16" w:rsidRPr="00EC1AB2">
        <w:rPr>
          <w:rFonts w:ascii="Times New Roman" w:hAnsi="Times New Roman" w:cs="Times New Roman"/>
          <w:sz w:val="24"/>
          <w:szCs w:val="24"/>
        </w:rPr>
        <w:t xml:space="preserve"> </w:t>
      </w:r>
      <w:r w:rsidR="00D04D5F" w:rsidRPr="00EC1AB2">
        <w:rPr>
          <w:rFonts w:ascii="Times New Roman" w:eastAsia="Times New Roman" w:hAnsi="Times New Roman" w:cs="Times New Roman"/>
          <w:sz w:val="24"/>
          <w:szCs w:val="24"/>
          <w:lang w:eastAsia="lt-LT"/>
        </w:rPr>
        <w:t>69 mln. litų (20 mln</w:t>
      </w:r>
      <w:r w:rsidR="0013557E" w:rsidRPr="00EC1AB2">
        <w:rPr>
          <w:rFonts w:ascii="Times New Roman" w:eastAsia="Times New Roman" w:hAnsi="Times New Roman" w:cs="Times New Roman"/>
          <w:sz w:val="24"/>
          <w:szCs w:val="24"/>
          <w:lang w:eastAsia="lt-LT"/>
        </w:rPr>
        <w:t>. eurų). V</w:t>
      </w:r>
      <w:r w:rsidR="00D04D5F" w:rsidRPr="00EC1AB2">
        <w:rPr>
          <w:rFonts w:ascii="Times New Roman" w:eastAsia="Times New Roman" w:hAnsi="Times New Roman" w:cs="Times New Roman"/>
          <w:sz w:val="24"/>
          <w:szCs w:val="24"/>
          <w:lang w:eastAsia="lt-LT"/>
        </w:rPr>
        <w:t xml:space="preserve">irš 48 mln. litų (14 mln. eurų) </w:t>
      </w:r>
      <w:r w:rsidR="0013557E" w:rsidRPr="00EC1AB2">
        <w:rPr>
          <w:rFonts w:ascii="Times New Roman" w:eastAsia="Times New Roman" w:hAnsi="Times New Roman" w:cs="Times New Roman"/>
          <w:sz w:val="24"/>
          <w:szCs w:val="24"/>
          <w:lang w:eastAsia="lt-LT"/>
        </w:rPr>
        <w:t xml:space="preserve">skirta </w:t>
      </w:r>
      <w:r w:rsidR="00D04D5F" w:rsidRPr="00EC1AB2">
        <w:rPr>
          <w:rFonts w:ascii="Times New Roman" w:eastAsia="Times New Roman" w:hAnsi="Times New Roman" w:cs="Times New Roman"/>
          <w:sz w:val="24"/>
          <w:szCs w:val="24"/>
          <w:lang w:eastAsia="lt-LT"/>
        </w:rPr>
        <w:t>iš EIF valdomo JEREMIE k</w:t>
      </w:r>
      <w:r w:rsidR="00BD7D16" w:rsidRPr="00EC1AB2">
        <w:rPr>
          <w:rFonts w:ascii="Times New Roman" w:eastAsia="Times New Roman" w:hAnsi="Times New Roman" w:cs="Times New Roman"/>
          <w:sz w:val="24"/>
          <w:szCs w:val="24"/>
          <w:lang w:eastAsia="lt-LT"/>
        </w:rPr>
        <w:t xml:space="preserve">ontroliuojančiojo fondo ir </w:t>
      </w:r>
      <w:r w:rsidR="00D04D5F" w:rsidRPr="00EC1AB2">
        <w:rPr>
          <w:rFonts w:ascii="Times New Roman" w:eastAsia="Times New Roman" w:hAnsi="Times New Roman" w:cs="Times New Roman"/>
          <w:sz w:val="24"/>
          <w:szCs w:val="24"/>
          <w:lang w:eastAsia="lt-LT"/>
        </w:rPr>
        <w:t>beveik 21 mln. litų (6 mln. eurų) investuoja žinomi instituciniai investuotojai, tame tarpe SEB Venture Capital, LHV Asset Management, Swedbank Investicijų Valdymas bei DnB NORD Investicijų Valdymas.</w:t>
      </w:r>
    </w:p>
    <w:p w:rsidR="00DD5A5D" w:rsidRPr="00EC1AB2" w:rsidRDefault="009E0324"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lastRenderedPageBreak/>
        <w:t>Vienas iš veiksnių, įtakojantis laukiamą projekto pelningumą</w:t>
      </w:r>
      <w:r w:rsidR="00A7010E" w:rsidRPr="00EC1AB2">
        <w:rPr>
          <w:rFonts w:ascii="Times New Roman" w:hAnsi="Times New Roman" w:cs="Times New Roman"/>
          <w:sz w:val="24"/>
          <w:szCs w:val="24"/>
        </w:rPr>
        <w:t xml:space="preserve">, </w:t>
      </w:r>
      <w:r w:rsidRPr="00EC1AB2">
        <w:rPr>
          <w:rFonts w:ascii="Times New Roman" w:hAnsi="Times New Roman" w:cs="Times New Roman"/>
          <w:sz w:val="24"/>
          <w:szCs w:val="24"/>
        </w:rPr>
        <w:t xml:space="preserve">yra investicijų realizavimo rinka. </w:t>
      </w:r>
      <w:r w:rsidR="004238FD" w:rsidRPr="00EC1AB2">
        <w:rPr>
          <w:rFonts w:ascii="Times New Roman" w:hAnsi="Times New Roman" w:cs="Times New Roman"/>
          <w:sz w:val="24"/>
          <w:szCs w:val="24"/>
        </w:rPr>
        <w:t xml:space="preserve">Da Rin M., Nicodano G., Sembenelli A. (2005) atliktas tyrimas </w:t>
      </w:r>
      <w:r w:rsidR="00A7010E" w:rsidRPr="00EC1AB2">
        <w:rPr>
          <w:rFonts w:ascii="Times New Roman" w:hAnsi="Times New Roman" w:cs="Times New Roman"/>
          <w:sz w:val="24"/>
          <w:szCs w:val="24"/>
        </w:rPr>
        <w:t>patvirtino rizikos kapitalo investicijų realizavimo akcijų rinkoje galimybės svarbą, kurią</w:t>
      </w:r>
      <w:r w:rsidR="004238FD" w:rsidRPr="00EC1AB2">
        <w:rPr>
          <w:rFonts w:ascii="Times New Roman" w:hAnsi="Times New Roman" w:cs="Times New Roman"/>
          <w:sz w:val="24"/>
          <w:szCs w:val="24"/>
        </w:rPr>
        <w:t xml:space="preserve"> taip pat</w:t>
      </w:r>
      <w:r w:rsidR="00A7010E" w:rsidRPr="00EC1AB2">
        <w:rPr>
          <w:rFonts w:ascii="Times New Roman" w:hAnsi="Times New Roman" w:cs="Times New Roman"/>
          <w:sz w:val="24"/>
          <w:szCs w:val="24"/>
        </w:rPr>
        <w:t xml:space="preserve"> tyrė Black, Gilson (1998) bei </w:t>
      </w:r>
      <w:r w:rsidR="006070FC" w:rsidRPr="00EC1AB2">
        <w:rPr>
          <w:rFonts w:ascii="Times New Roman" w:hAnsi="Times New Roman" w:cs="Times New Roman"/>
          <w:sz w:val="24"/>
          <w:szCs w:val="24"/>
        </w:rPr>
        <w:t>Miche</w:t>
      </w:r>
      <w:r w:rsidR="00A7010E" w:rsidRPr="00EC1AB2">
        <w:rPr>
          <w:rFonts w:ascii="Times New Roman" w:hAnsi="Times New Roman" w:cs="Times New Roman"/>
          <w:sz w:val="24"/>
          <w:szCs w:val="24"/>
        </w:rPr>
        <w:t>lacci, Suarez (2004).</w:t>
      </w:r>
      <w:r w:rsidR="00406C68" w:rsidRPr="00EC1AB2">
        <w:rPr>
          <w:rFonts w:ascii="Times New Roman" w:hAnsi="Times New Roman" w:cs="Times New Roman"/>
          <w:sz w:val="24"/>
          <w:szCs w:val="24"/>
        </w:rPr>
        <w:t xml:space="preserve"> RKF</w:t>
      </w:r>
      <w:r w:rsidR="00EF6EDB" w:rsidRPr="00EC1AB2">
        <w:rPr>
          <w:rFonts w:ascii="Times New Roman" w:hAnsi="Times New Roman" w:cs="Times New Roman"/>
          <w:sz w:val="24"/>
          <w:szCs w:val="24"/>
        </w:rPr>
        <w:t xml:space="preserve"> investicijų Baltijos valstybėse realizavimo dinamika</w:t>
      </w:r>
      <w:r w:rsidR="00406C68" w:rsidRPr="00EC1AB2">
        <w:rPr>
          <w:rFonts w:ascii="Times New Roman" w:hAnsi="Times New Roman" w:cs="Times New Roman"/>
          <w:sz w:val="24"/>
          <w:szCs w:val="24"/>
        </w:rPr>
        <w:t xml:space="preserve"> 2007-2010 m. </w:t>
      </w:r>
      <w:r w:rsidR="00EF6EDB" w:rsidRPr="00EC1AB2">
        <w:rPr>
          <w:rFonts w:ascii="Times New Roman" w:hAnsi="Times New Roman" w:cs="Times New Roman"/>
          <w:sz w:val="24"/>
          <w:szCs w:val="24"/>
        </w:rPr>
        <w:t>pateikta</w:t>
      </w:r>
      <w:r w:rsidR="00406C68" w:rsidRPr="00EC1AB2">
        <w:rPr>
          <w:rFonts w:ascii="Times New Roman" w:hAnsi="Times New Roman" w:cs="Times New Roman"/>
          <w:sz w:val="24"/>
          <w:szCs w:val="24"/>
        </w:rPr>
        <w:t xml:space="preserve"> </w:t>
      </w:r>
      <w:r w:rsidR="0049040A" w:rsidRPr="00EC1AB2">
        <w:rPr>
          <w:rFonts w:ascii="Times New Roman" w:hAnsi="Times New Roman" w:cs="Times New Roman"/>
          <w:sz w:val="24"/>
          <w:szCs w:val="24"/>
        </w:rPr>
        <w:t>10</w:t>
      </w:r>
      <w:r w:rsidR="00406C68" w:rsidRPr="00EC1AB2">
        <w:rPr>
          <w:rFonts w:ascii="Times New Roman" w:hAnsi="Times New Roman" w:cs="Times New Roman"/>
          <w:sz w:val="24"/>
          <w:szCs w:val="24"/>
        </w:rPr>
        <w:t xml:space="preserve"> pav.</w:t>
      </w:r>
    </w:p>
    <w:p w:rsidR="009E662B" w:rsidRPr="00EC1AB2" w:rsidRDefault="009E662B" w:rsidP="007A02A8">
      <w:pPr>
        <w:autoSpaceDE w:val="0"/>
        <w:autoSpaceDN w:val="0"/>
        <w:adjustRightInd w:val="0"/>
        <w:spacing w:after="0" w:line="360" w:lineRule="auto"/>
        <w:jc w:val="both"/>
        <w:rPr>
          <w:rFonts w:ascii="Times New Roman" w:hAnsi="Times New Roman" w:cs="Times New Roman"/>
          <w:sz w:val="24"/>
          <w:szCs w:val="24"/>
        </w:rPr>
      </w:pPr>
    </w:p>
    <w:p w:rsidR="00D32C47" w:rsidRPr="00EC1AB2" w:rsidRDefault="00E20791" w:rsidP="007A02A8">
      <w:pPr>
        <w:autoSpaceDE w:val="0"/>
        <w:autoSpaceDN w:val="0"/>
        <w:adjustRightInd w:val="0"/>
        <w:spacing w:after="0" w:line="360" w:lineRule="auto"/>
        <w:rPr>
          <w:rFonts w:ascii="Times New Roman" w:hAnsi="Times New Roman" w:cs="Times New Roman"/>
          <w:sz w:val="28"/>
          <w:szCs w:val="28"/>
        </w:rPr>
      </w:pPr>
      <w:r w:rsidRPr="00EC1AB2">
        <w:rPr>
          <w:rFonts w:ascii="Times New Roman" w:hAnsi="Times New Roman" w:cs="Times New Roman"/>
          <w:noProof/>
          <w:lang w:eastAsia="lt-LT"/>
        </w:rPr>
        <w:drawing>
          <wp:anchor distT="0" distB="0" distL="114300" distR="114300" simplePos="0" relativeHeight="251846656" behindDoc="1" locked="0" layoutInCell="1" allowOverlap="1" wp14:anchorId="724CF36C" wp14:editId="0D236AFA">
            <wp:simplePos x="0" y="0"/>
            <wp:positionH relativeFrom="column">
              <wp:posOffset>396240</wp:posOffset>
            </wp:positionH>
            <wp:positionV relativeFrom="paragraph">
              <wp:posOffset>40005</wp:posOffset>
            </wp:positionV>
            <wp:extent cx="5229225" cy="3147695"/>
            <wp:effectExtent l="0" t="0" r="0" b="0"/>
            <wp:wrapTight wrapText="bothSides">
              <wp:wrapPolygon edited="0">
                <wp:start x="1023" y="523"/>
                <wp:lineTo x="1023" y="1438"/>
                <wp:lineTo x="6059" y="2876"/>
                <wp:lineTo x="1023" y="3007"/>
                <wp:lineTo x="1023" y="3791"/>
                <wp:lineTo x="10780" y="4968"/>
                <wp:lineTo x="1023" y="5229"/>
                <wp:lineTo x="1023" y="6013"/>
                <wp:lineTo x="10780" y="7059"/>
                <wp:lineTo x="1338" y="7321"/>
                <wp:lineTo x="1338" y="8366"/>
                <wp:lineTo x="16603" y="9151"/>
                <wp:lineTo x="1338" y="9935"/>
                <wp:lineTo x="1338" y="10719"/>
                <wp:lineTo x="10780" y="11242"/>
                <wp:lineTo x="1259" y="12288"/>
                <wp:lineTo x="1259" y="13072"/>
                <wp:lineTo x="10780" y="13334"/>
                <wp:lineTo x="1338" y="14641"/>
                <wp:lineTo x="1338" y="15425"/>
                <wp:lineTo x="10780" y="15425"/>
                <wp:lineTo x="1259" y="16994"/>
                <wp:lineTo x="1259" y="18301"/>
                <wp:lineTo x="7475" y="19609"/>
                <wp:lineTo x="2203" y="19870"/>
                <wp:lineTo x="2125" y="20654"/>
                <wp:lineTo x="6216" y="21047"/>
                <wp:lineTo x="14400" y="21047"/>
                <wp:lineTo x="16603" y="20654"/>
                <wp:lineTo x="16446" y="19870"/>
                <wp:lineTo x="13692" y="19609"/>
                <wp:lineTo x="19987" y="18171"/>
                <wp:lineTo x="20066" y="15556"/>
                <wp:lineTo x="19279" y="15425"/>
                <wp:lineTo x="10780" y="15425"/>
                <wp:lineTo x="19830" y="14510"/>
                <wp:lineTo x="19830" y="13726"/>
                <wp:lineTo x="10780" y="13334"/>
                <wp:lineTo x="19830" y="12811"/>
                <wp:lineTo x="19830" y="12027"/>
                <wp:lineTo x="10780" y="11242"/>
                <wp:lineTo x="19357" y="11242"/>
                <wp:lineTo x="20066" y="11112"/>
                <wp:lineTo x="20066" y="7321"/>
                <wp:lineTo x="19436" y="7190"/>
                <wp:lineTo x="10780" y="7059"/>
                <wp:lineTo x="19830" y="6275"/>
                <wp:lineTo x="19830" y="5490"/>
                <wp:lineTo x="10780" y="4968"/>
                <wp:lineTo x="18570" y="4968"/>
                <wp:lineTo x="20066" y="4575"/>
                <wp:lineTo x="20066" y="523"/>
                <wp:lineTo x="1023" y="523"/>
              </wp:wrapPolygon>
            </wp:wrapTight>
            <wp:docPr id="70" name="Chart 7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page">
              <wp14:pctWidth>0</wp14:pctWidth>
            </wp14:sizeRelH>
            <wp14:sizeRelV relativeFrom="page">
              <wp14:pctHeight>0</wp14:pctHeight>
            </wp14:sizeRelV>
          </wp:anchor>
        </w:drawing>
      </w:r>
    </w:p>
    <w:p w:rsidR="00DD5A5D" w:rsidRPr="00EC1AB2" w:rsidRDefault="00DD5A5D" w:rsidP="007A02A8">
      <w:pPr>
        <w:autoSpaceDE w:val="0"/>
        <w:autoSpaceDN w:val="0"/>
        <w:adjustRightInd w:val="0"/>
        <w:spacing w:after="0" w:line="360" w:lineRule="auto"/>
        <w:ind w:left="1296"/>
        <w:jc w:val="center"/>
        <w:rPr>
          <w:rFonts w:ascii="Times New Roman" w:hAnsi="Times New Roman" w:cs="Times New Roman"/>
          <w:b/>
          <w:sz w:val="28"/>
          <w:szCs w:val="28"/>
        </w:rPr>
      </w:pPr>
    </w:p>
    <w:p w:rsidR="00126BBD" w:rsidRPr="00EC1AB2" w:rsidRDefault="00126BBD" w:rsidP="007A02A8">
      <w:pPr>
        <w:autoSpaceDE w:val="0"/>
        <w:autoSpaceDN w:val="0"/>
        <w:adjustRightInd w:val="0"/>
        <w:spacing w:after="0" w:line="360" w:lineRule="auto"/>
        <w:ind w:left="1296"/>
        <w:jc w:val="center"/>
        <w:rPr>
          <w:rFonts w:ascii="Times New Roman" w:hAnsi="Times New Roman" w:cs="Times New Roman"/>
          <w:b/>
          <w:sz w:val="28"/>
          <w:szCs w:val="28"/>
        </w:rPr>
      </w:pPr>
    </w:p>
    <w:p w:rsidR="00126BBD" w:rsidRPr="00EC1AB2" w:rsidRDefault="00126BBD" w:rsidP="007A02A8">
      <w:pPr>
        <w:autoSpaceDE w:val="0"/>
        <w:autoSpaceDN w:val="0"/>
        <w:adjustRightInd w:val="0"/>
        <w:spacing w:after="0" w:line="360" w:lineRule="auto"/>
        <w:ind w:left="1296"/>
        <w:jc w:val="center"/>
        <w:rPr>
          <w:rFonts w:ascii="Times New Roman" w:hAnsi="Times New Roman" w:cs="Times New Roman"/>
          <w:b/>
          <w:sz w:val="28"/>
          <w:szCs w:val="28"/>
        </w:rPr>
      </w:pPr>
    </w:p>
    <w:p w:rsidR="00126BBD" w:rsidRPr="00EC1AB2" w:rsidRDefault="00126BBD" w:rsidP="007A02A8">
      <w:pPr>
        <w:autoSpaceDE w:val="0"/>
        <w:autoSpaceDN w:val="0"/>
        <w:adjustRightInd w:val="0"/>
        <w:spacing w:after="0" w:line="360" w:lineRule="auto"/>
        <w:ind w:left="1296"/>
        <w:jc w:val="center"/>
        <w:rPr>
          <w:rFonts w:ascii="Times New Roman" w:hAnsi="Times New Roman" w:cs="Times New Roman"/>
          <w:b/>
          <w:sz w:val="28"/>
          <w:szCs w:val="28"/>
        </w:rPr>
      </w:pPr>
    </w:p>
    <w:p w:rsidR="003C4E4D" w:rsidRPr="00EC1AB2" w:rsidRDefault="003C4E4D" w:rsidP="007A02A8">
      <w:pPr>
        <w:spacing w:after="0" w:line="360" w:lineRule="auto"/>
        <w:ind w:firstLine="1296"/>
        <w:jc w:val="both"/>
        <w:rPr>
          <w:rFonts w:ascii="Times New Roman" w:hAnsi="Times New Roman" w:cs="Times New Roman"/>
          <w:sz w:val="24"/>
          <w:szCs w:val="24"/>
        </w:rPr>
      </w:pPr>
    </w:p>
    <w:p w:rsidR="003C4E4D" w:rsidRPr="00EC1AB2" w:rsidRDefault="003C4E4D" w:rsidP="007A02A8">
      <w:pPr>
        <w:spacing w:after="0" w:line="360" w:lineRule="auto"/>
        <w:ind w:firstLine="1296"/>
        <w:jc w:val="both"/>
        <w:rPr>
          <w:rFonts w:ascii="Times New Roman" w:hAnsi="Times New Roman" w:cs="Times New Roman"/>
          <w:sz w:val="24"/>
          <w:szCs w:val="24"/>
        </w:rPr>
      </w:pPr>
    </w:p>
    <w:p w:rsidR="003C4E4D" w:rsidRPr="00EC1AB2" w:rsidRDefault="003C4E4D" w:rsidP="007A02A8">
      <w:pPr>
        <w:spacing w:after="0" w:line="360" w:lineRule="auto"/>
        <w:ind w:firstLine="1296"/>
        <w:jc w:val="both"/>
        <w:rPr>
          <w:rFonts w:ascii="Times New Roman" w:hAnsi="Times New Roman" w:cs="Times New Roman"/>
          <w:sz w:val="24"/>
          <w:szCs w:val="24"/>
        </w:rPr>
      </w:pPr>
    </w:p>
    <w:p w:rsidR="003C4E4D" w:rsidRPr="00EC1AB2" w:rsidRDefault="003C4E4D" w:rsidP="007A02A8">
      <w:pPr>
        <w:spacing w:after="0" w:line="360" w:lineRule="auto"/>
        <w:ind w:firstLine="1296"/>
        <w:jc w:val="both"/>
        <w:rPr>
          <w:rFonts w:ascii="Times New Roman" w:hAnsi="Times New Roman" w:cs="Times New Roman"/>
          <w:sz w:val="24"/>
          <w:szCs w:val="24"/>
        </w:rPr>
      </w:pPr>
    </w:p>
    <w:p w:rsidR="003C4E4D" w:rsidRPr="00EC1AB2" w:rsidRDefault="003C4E4D" w:rsidP="007A02A8">
      <w:pPr>
        <w:spacing w:after="0" w:line="360" w:lineRule="auto"/>
        <w:ind w:firstLine="1296"/>
        <w:jc w:val="both"/>
        <w:rPr>
          <w:rFonts w:ascii="Times New Roman" w:hAnsi="Times New Roman" w:cs="Times New Roman"/>
          <w:sz w:val="24"/>
          <w:szCs w:val="24"/>
        </w:rPr>
      </w:pPr>
    </w:p>
    <w:p w:rsidR="003C4E4D" w:rsidRPr="00EC1AB2" w:rsidRDefault="003C4E4D" w:rsidP="007A02A8">
      <w:pPr>
        <w:spacing w:after="0" w:line="360" w:lineRule="auto"/>
        <w:ind w:firstLine="1296"/>
        <w:jc w:val="both"/>
        <w:rPr>
          <w:rFonts w:ascii="Times New Roman" w:hAnsi="Times New Roman" w:cs="Times New Roman"/>
          <w:sz w:val="24"/>
          <w:szCs w:val="24"/>
        </w:rPr>
      </w:pPr>
    </w:p>
    <w:p w:rsidR="003C4E4D" w:rsidRPr="00EC1AB2" w:rsidRDefault="003C4E4D" w:rsidP="007A02A8">
      <w:pPr>
        <w:spacing w:after="0" w:line="360" w:lineRule="auto"/>
        <w:jc w:val="both"/>
        <w:rPr>
          <w:rFonts w:ascii="Times New Roman" w:hAnsi="Times New Roman" w:cs="Times New Roman"/>
          <w:sz w:val="24"/>
          <w:szCs w:val="24"/>
        </w:rPr>
      </w:pPr>
    </w:p>
    <w:p w:rsidR="00F80D5D" w:rsidRPr="00EC1AB2" w:rsidRDefault="00F80D5D" w:rsidP="007A02A8">
      <w:pPr>
        <w:spacing w:after="0" w:line="360" w:lineRule="auto"/>
        <w:jc w:val="both"/>
        <w:rPr>
          <w:rFonts w:ascii="Times New Roman" w:hAnsi="Times New Roman" w:cs="Times New Roman"/>
          <w:sz w:val="24"/>
          <w:szCs w:val="24"/>
        </w:rPr>
      </w:pPr>
    </w:p>
    <w:p w:rsidR="003C4E4D" w:rsidRPr="00EC1AB2" w:rsidRDefault="003C4E4D" w:rsidP="007A02A8">
      <w:pPr>
        <w:tabs>
          <w:tab w:val="left" w:pos="4395"/>
        </w:tabs>
        <w:autoSpaceDE w:val="0"/>
        <w:autoSpaceDN w:val="0"/>
        <w:adjustRightInd w:val="0"/>
        <w:spacing w:after="0" w:line="360" w:lineRule="auto"/>
        <w:ind w:firstLine="1296"/>
        <w:jc w:val="both"/>
        <w:rPr>
          <w:rFonts w:ascii="Times New Roman" w:hAnsi="Times New Roman" w:cs="Times New Roman"/>
          <w:sz w:val="20"/>
          <w:szCs w:val="20"/>
        </w:rPr>
      </w:pPr>
      <w:r w:rsidRPr="00EC1AB2">
        <w:rPr>
          <w:rFonts w:ascii="Times New Roman" w:hAnsi="Times New Roman" w:cs="Times New Roman"/>
          <w:b/>
          <w:sz w:val="20"/>
          <w:szCs w:val="20"/>
        </w:rPr>
        <w:t>Šaltinis:</w:t>
      </w:r>
      <w:r w:rsidRPr="00EC1AB2">
        <w:rPr>
          <w:rFonts w:ascii="Times New Roman" w:hAnsi="Times New Roman" w:cs="Times New Roman"/>
          <w:sz w:val="20"/>
          <w:szCs w:val="20"/>
        </w:rPr>
        <w:t xml:space="preserve"> sudaryta </w:t>
      </w:r>
      <w:r w:rsidR="006C73C5" w:rsidRPr="00EC1AB2">
        <w:rPr>
          <w:rFonts w:ascii="Times New Roman" w:hAnsi="Times New Roman" w:cs="Times New Roman"/>
          <w:sz w:val="20"/>
          <w:szCs w:val="20"/>
        </w:rPr>
        <w:t>pagal EVCA Yearbook ir kasmetinius statistikos leidinius</w:t>
      </w:r>
      <w:r w:rsidRPr="00EC1AB2">
        <w:rPr>
          <w:rFonts w:ascii="Times New Roman" w:hAnsi="Times New Roman" w:cs="Times New Roman"/>
          <w:sz w:val="20"/>
          <w:szCs w:val="20"/>
        </w:rPr>
        <w:t>, 2011</w:t>
      </w:r>
      <w:r w:rsidRPr="00EC1AB2">
        <w:rPr>
          <w:rFonts w:ascii="Times New Roman" w:hAnsi="Times New Roman" w:cs="Times New Roman"/>
          <w:sz w:val="20"/>
          <w:szCs w:val="20"/>
        </w:rPr>
        <w:tab/>
      </w:r>
    </w:p>
    <w:p w:rsidR="003C4E4D" w:rsidRPr="00EC1AB2" w:rsidRDefault="0049040A" w:rsidP="007A02A8">
      <w:pPr>
        <w:pStyle w:val="Heading5"/>
        <w:spacing w:before="0" w:line="360" w:lineRule="auto"/>
        <w:jc w:val="center"/>
        <w:rPr>
          <w:rFonts w:ascii="Times New Roman" w:hAnsi="Times New Roman" w:cs="Times New Roman"/>
          <w:b/>
          <w:color w:val="auto"/>
          <w:sz w:val="24"/>
          <w:szCs w:val="24"/>
        </w:rPr>
      </w:pPr>
      <w:bookmarkStart w:id="113" w:name="_Toc320761923"/>
      <w:bookmarkStart w:id="114" w:name="_Toc320762158"/>
      <w:bookmarkStart w:id="115" w:name="_Toc320762560"/>
      <w:r w:rsidRPr="00EC1AB2">
        <w:rPr>
          <w:rFonts w:ascii="Times New Roman" w:hAnsi="Times New Roman" w:cs="Times New Roman"/>
          <w:color w:val="auto"/>
          <w:sz w:val="24"/>
          <w:szCs w:val="24"/>
        </w:rPr>
        <w:t>10</w:t>
      </w:r>
      <w:r w:rsidR="003C4E4D" w:rsidRPr="00EC1AB2">
        <w:rPr>
          <w:rFonts w:ascii="Times New Roman" w:hAnsi="Times New Roman" w:cs="Times New Roman"/>
          <w:color w:val="auto"/>
          <w:sz w:val="24"/>
          <w:szCs w:val="24"/>
        </w:rPr>
        <w:t xml:space="preserve"> pav.</w:t>
      </w:r>
      <w:r w:rsidR="003C4E4D" w:rsidRPr="00EC1AB2">
        <w:rPr>
          <w:rFonts w:ascii="Times New Roman" w:hAnsi="Times New Roman" w:cs="Times New Roman"/>
          <w:b/>
          <w:color w:val="auto"/>
          <w:sz w:val="24"/>
          <w:szCs w:val="24"/>
        </w:rPr>
        <w:t xml:space="preserve"> </w:t>
      </w:r>
      <w:r w:rsidR="001B54BB" w:rsidRPr="00EC1AB2">
        <w:rPr>
          <w:rFonts w:ascii="Times New Roman" w:hAnsi="Times New Roman" w:cs="Times New Roman"/>
          <w:b/>
          <w:color w:val="auto"/>
          <w:sz w:val="24"/>
          <w:szCs w:val="24"/>
        </w:rPr>
        <w:t>Rizikos kapitalo fondų</w:t>
      </w:r>
      <w:r w:rsidR="00B90B50" w:rsidRPr="00EC1AB2">
        <w:rPr>
          <w:rFonts w:ascii="Times New Roman" w:hAnsi="Times New Roman" w:cs="Times New Roman"/>
          <w:b/>
          <w:color w:val="auto"/>
          <w:sz w:val="24"/>
          <w:szCs w:val="24"/>
        </w:rPr>
        <w:t xml:space="preserve"> invest</w:t>
      </w:r>
      <w:r w:rsidR="00E20791" w:rsidRPr="00EC1AB2">
        <w:rPr>
          <w:rFonts w:ascii="Times New Roman" w:hAnsi="Times New Roman" w:cs="Times New Roman"/>
          <w:b/>
          <w:color w:val="auto"/>
          <w:sz w:val="24"/>
          <w:szCs w:val="24"/>
        </w:rPr>
        <w:t>icijų realizavimas Baltijos valstybėse 2007-2010 m.</w:t>
      </w:r>
      <w:r w:rsidR="003C4E4D" w:rsidRPr="00EC1AB2">
        <w:rPr>
          <w:rFonts w:ascii="Times New Roman" w:hAnsi="Times New Roman" w:cs="Times New Roman"/>
          <w:b/>
          <w:color w:val="auto"/>
          <w:sz w:val="24"/>
          <w:szCs w:val="24"/>
        </w:rPr>
        <w:t>,</w:t>
      </w:r>
      <w:r w:rsidR="00B90B50" w:rsidRPr="00EC1AB2">
        <w:rPr>
          <w:rFonts w:ascii="Times New Roman" w:hAnsi="Times New Roman" w:cs="Times New Roman"/>
          <w:b/>
          <w:color w:val="auto"/>
          <w:sz w:val="24"/>
          <w:szCs w:val="24"/>
        </w:rPr>
        <w:t xml:space="preserve"> mln. EUR</w:t>
      </w:r>
      <w:bookmarkEnd w:id="113"/>
      <w:bookmarkEnd w:id="114"/>
      <w:bookmarkEnd w:id="115"/>
    </w:p>
    <w:p w:rsidR="003C4E4D" w:rsidRPr="00EC1AB2" w:rsidRDefault="003C4E4D" w:rsidP="007A02A8">
      <w:pPr>
        <w:pStyle w:val="Heading5"/>
        <w:spacing w:before="0" w:line="360" w:lineRule="auto"/>
        <w:jc w:val="center"/>
        <w:rPr>
          <w:rFonts w:ascii="Times New Roman" w:hAnsi="Times New Roman" w:cs="Times New Roman"/>
          <w:b/>
          <w:color w:val="auto"/>
          <w:sz w:val="24"/>
          <w:szCs w:val="24"/>
        </w:rPr>
      </w:pPr>
    </w:p>
    <w:p w:rsidR="0024405B" w:rsidRPr="00EC1AB2" w:rsidRDefault="0049040A"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Kaip matyti iš 10</w:t>
      </w:r>
      <w:r w:rsidR="0024405B" w:rsidRPr="00EC1AB2">
        <w:rPr>
          <w:rFonts w:ascii="Times New Roman" w:hAnsi="Times New Roman" w:cs="Times New Roman"/>
          <w:sz w:val="24"/>
          <w:szCs w:val="24"/>
        </w:rPr>
        <w:t xml:space="preserve"> pav. </w:t>
      </w:r>
      <w:r w:rsidR="00A63537" w:rsidRPr="00EC1AB2">
        <w:rPr>
          <w:rFonts w:ascii="Times New Roman" w:hAnsi="Times New Roman" w:cs="Times New Roman"/>
          <w:sz w:val="24"/>
          <w:szCs w:val="24"/>
        </w:rPr>
        <w:t>viduti</w:t>
      </w:r>
      <w:r w:rsidR="00472091" w:rsidRPr="00EC1AB2">
        <w:rPr>
          <w:rFonts w:ascii="Times New Roman" w:hAnsi="Times New Roman" w:cs="Times New Roman"/>
          <w:sz w:val="24"/>
          <w:szCs w:val="24"/>
        </w:rPr>
        <w:t>ni</w:t>
      </w:r>
      <w:r w:rsidR="00A63537" w:rsidRPr="00EC1AB2">
        <w:rPr>
          <w:rFonts w:ascii="Times New Roman" w:hAnsi="Times New Roman" w:cs="Times New Roman"/>
          <w:sz w:val="24"/>
          <w:szCs w:val="24"/>
        </w:rPr>
        <w:t>škai viena realizuota investicija beveik visu pate</w:t>
      </w:r>
      <w:r w:rsidR="00496928" w:rsidRPr="00EC1AB2">
        <w:rPr>
          <w:rFonts w:ascii="Times New Roman" w:hAnsi="Times New Roman" w:cs="Times New Roman"/>
          <w:sz w:val="24"/>
          <w:szCs w:val="24"/>
        </w:rPr>
        <w:t>i</w:t>
      </w:r>
      <w:r w:rsidR="00A63537" w:rsidRPr="00EC1AB2">
        <w:rPr>
          <w:rFonts w:ascii="Times New Roman" w:hAnsi="Times New Roman" w:cs="Times New Roman"/>
          <w:sz w:val="24"/>
          <w:szCs w:val="24"/>
        </w:rPr>
        <w:t xml:space="preserve">ktu laikotarpiu </w:t>
      </w:r>
      <w:r w:rsidR="00E548E8" w:rsidRPr="00EC1AB2">
        <w:rPr>
          <w:rFonts w:ascii="Times New Roman" w:hAnsi="Times New Roman" w:cs="Times New Roman"/>
          <w:sz w:val="24"/>
          <w:szCs w:val="24"/>
        </w:rPr>
        <w:t xml:space="preserve">viršijo </w:t>
      </w:r>
      <w:r w:rsidR="00743162" w:rsidRPr="00EC1AB2">
        <w:rPr>
          <w:rFonts w:ascii="Times New Roman" w:hAnsi="Times New Roman" w:cs="Times New Roman"/>
          <w:sz w:val="24"/>
          <w:szCs w:val="24"/>
        </w:rPr>
        <w:t xml:space="preserve">1 </w:t>
      </w:r>
      <w:r w:rsidR="00E548E8" w:rsidRPr="00EC1AB2">
        <w:rPr>
          <w:rFonts w:ascii="Times New Roman" w:hAnsi="Times New Roman" w:cs="Times New Roman"/>
          <w:sz w:val="24"/>
          <w:szCs w:val="24"/>
        </w:rPr>
        <w:t>mln.</w:t>
      </w:r>
      <w:r w:rsidR="0071459F" w:rsidRPr="00EC1AB2">
        <w:rPr>
          <w:rFonts w:ascii="Times New Roman" w:hAnsi="Times New Roman" w:cs="Times New Roman"/>
          <w:sz w:val="24"/>
          <w:szCs w:val="24"/>
        </w:rPr>
        <w:t xml:space="preserve"> eurų</w:t>
      </w:r>
      <w:r w:rsidR="00496928" w:rsidRPr="00EC1AB2">
        <w:rPr>
          <w:rFonts w:ascii="Times New Roman" w:hAnsi="Times New Roman" w:cs="Times New Roman"/>
          <w:sz w:val="24"/>
          <w:szCs w:val="24"/>
        </w:rPr>
        <w:t>.</w:t>
      </w:r>
      <w:r w:rsidR="005B1E56" w:rsidRPr="00EC1AB2">
        <w:rPr>
          <w:rFonts w:ascii="Times New Roman" w:hAnsi="Times New Roman" w:cs="Times New Roman"/>
          <w:sz w:val="24"/>
          <w:szCs w:val="24"/>
        </w:rPr>
        <w:t xml:space="preserve"> Reikia paminėti, kad analizuojamu</w:t>
      </w:r>
      <w:r w:rsidR="004A51A7" w:rsidRPr="00EC1AB2">
        <w:rPr>
          <w:rFonts w:ascii="Times New Roman" w:hAnsi="Times New Roman" w:cs="Times New Roman"/>
          <w:sz w:val="24"/>
          <w:szCs w:val="24"/>
        </w:rPr>
        <w:t xml:space="preserve"> laikotarpiu </w:t>
      </w:r>
      <w:r w:rsidR="00FA42B3" w:rsidRPr="00EC1AB2">
        <w:rPr>
          <w:rFonts w:ascii="Times New Roman" w:hAnsi="Times New Roman" w:cs="Times New Roman"/>
          <w:sz w:val="24"/>
          <w:szCs w:val="24"/>
        </w:rPr>
        <w:t>nei viena investicija Baltijos valsty</w:t>
      </w:r>
      <w:r w:rsidR="00AF199B" w:rsidRPr="00EC1AB2">
        <w:rPr>
          <w:rFonts w:ascii="Times New Roman" w:hAnsi="Times New Roman" w:cs="Times New Roman"/>
          <w:sz w:val="24"/>
          <w:szCs w:val="24"/>
        </w:rPr>
        <w:t>bėse n</w:t>
      </w:r>
      <w:r w:rsidR="00A10824" w:rsidRPr="00EC1AB2">
        <w:rPr>
          <w:rFonts w:ascii="Times New Roman" w:hAnsi="Times New Roman" w:cs="Times New Roman"/>
          <w:sz w:val="24"/>
          <w:szCs w:val="24"/>
        </w:rPr>
        <w:t>ebuvo realizuota per IPO.</w:t>
      </w:r>
      <w:r w:rsidR="00D9476A" w:rsidRPr="00EC1AB2">
        <w:rPr>
          <w:rFonts w:ascii="Times New Roman" w:hAnsi="Times New Roman" w:cs="Times New Roman"/>
          <w:sz w:val="24"/>
          <w:szCs w:val="24"/>
        </w:rPr>
        <w:t xml:space="preserve"> Didžiausia</w:t>
      </w:r>
      <w:r w:rsidR="005B1E56" w:rsidRPr="00EC1AB2">
        <w:rPr>
          <w:rFonts w:ascii="Times New Roman" w:hAnsi="Times New Roman" w:cs="Times New Roman"/>
          <w:sz w:val="24"/>
          <w:szCs w:val="24"/>
        </w:rPr>
        <w:t xml:space="preserve"> dalis visų</w:t>
      </w:r>
      <w:r w:rsidR="00D9476A" w:rsidRPr="00EC1AB2">
        <w:rPr>
          <w:rFonts w:ascii="Times New Roman" w:hAnsi="Times New Roman" w:cs="Times New Roman"/>
          <w:sz w:val="24"/>
          <w:szCs w:val="24"/>
        </w:rPr>
        <w:t xml:space="preserve"> investicijų </w:t>
      </w:r>
      <w:r w:rsidR="00DE33BA" w:rsidRPr="00EC1AB2">
        <w:rPr>
          <w:rFonts w:ascii="Times New Roman" w:hAnsi="Times New Roman" w:cs="Times New Roman"/>
          <w:sz w:val="24"/>
          <w:szCs w:val="24"/>
        </w:rPr>
        <w:t>realizuota parduodant</w:t>
      </w:r>
      <w:r w:rsidR="005B1E56" w:rsidRPr="00EC1AB2">
        <w:rPr>
          <w:rFonts w:ascii="Times New Roman" w:hAnsi="Times New Roman" w:cs="Times New Roman"/>
          <w:sz w:val="24"/>
          <w:szCs w:val="24"/>
        </w:rPr>
        <w:t xml:space="preserve"> portfelio įmones</w:t>
      </w:r>
      <w:r w:rsidR="00D9476A" w:rsidRPr="00EC1AB2">
        <w:rPr>
          <w:rFonts w:ascii="Times New Roman" w:hAnsi="Times New Roman" w:cs="Times New Roman"/>
          <w:sz w:val="24"/>
          <w:szCs w:val="24"/>
        </w:rPr>
        <w:t xml:space="preserve"> strateginiam investuotojui. </w:t>
      </w:r>
    </w:p>
    <w:p w:rsidR="00A7437C" w:rsidRPr="00EC1AB2" w:rsidRDefault="006D59A9"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Apibendrinant, </w:t>
      </w:r>
      <w:r w:rsidR="00783AB8" w:rsidRPr="00EC1AB2">
        <w:rPr>
          <w:rFonts w:ascii="Times New Roman" w:hAnsi="Times New Roman" w:cs="Times New Roman"/>
          <w:sz w:val="24"/>
          <w:szCs w:val="24"/>
        </w:rPr>
        <w:t xml:space="preserve">Lietuva </w:t>
      </w:r>
      <w:r w:rsidR="00A2766C" w:rsidRPr="00EC1AB2">
        <w:rPr>
          <w:rFonts w:ascii="Times New Roman" w:hAnsi="Times New Roman" w:cs="Times New Roman"/>
          <w:sz w:val="24"/>
          <w:szCs w:val="24"/>
        </w:rPr>
        <w:t>pagal RKF investicijas ES 2010 m.</w:t>
      </w:r>
      <w:r w:rsidR="00362984" w:rsidRPr="00EC1AB2">
        <w:rPr>
          <w:rFonts w:ascii="Times New Roman" w:hAnsi="Times New Roman" w:cs="Times New Roman"/>
          <w:sz w:val="24"/>
          <w:szCs w:val="24"/>
        </w:rPr>
        <w:t xml:space="preserve"> buvo paskutinėje vietoje, taip pat stipriai atsiliko </w:t>
      </w:r>
      <w:r w:rsidR="00157D87" w:rsidRPr="00EC1AB2">
        <w:rPr>
          <w:rFonts w:ascii="Times New Roman" w:hAnsi="Times New Roman" w:cs="Times New Roman"/>
          <w:sz w:val="24"/>
          <w:szCs w:val="24"/>
        </w:rPr>
        <w:t>nuo C</w:t>
      </w:r>
      <w:r w:rsidR="00932640" w:rsidRPr="00EC1AB2">
        <w:rPr>
          <w:rFonts w:ascii="Times New Roman" w:hAnsi="Times New Roman" w:cs="Times New Roman"/>
          <w:sz w:val="24"/>
          <w:szCs w:val="24"/>
        </w:rPr>
        <w:t>E</w:t>
      </w:r>
      <w:r w:rsidR="00362984" w:rsidRPr="00EC1AB2">
        <w:rPr>
          <w:rFonts w:ascii="Times New Roman" w:hAnsi="Times New Roman" w:cs="Times New Roman"/>
          <w:sz w:val="24"/>
          <w:szCs w:val="24"/>
        </w:rPr>
        <w:t>E vidurkio.</w:t>
      </w:r>
      <w:r w:rsidR="00E36217" w:rsidRPr="00EC1AB2">
        <w:rPr>
          <w:rFonts w:ascii="Times New Roman" w:hAnsi="Times New Roman" w:cs="Times New Roman"/>
          <w:sz w:val="24"/>
          <w:szCs w:val="24"/>
        </w:rPr>
        <w:t xml:space="preserve"> Be to, </w:t>
      </w:r>
      <w:r w:rsidR="00A2766C" w:rsidRPr="00EC1AB2">
        <w:rPr>
          <w:rFonts w:ascii="Times New Roman" w:hAnsi="Times New Roman" w:cs="Times New Roman"/>
          <w:sz w:val="24"/>
          <w:szCs w:val="24"/>
        </w:rPr>
        <w:t xml:space="preserve">Lietuvoje esančios RKF investicijos </w:t>
      </w:r>
      <w:r w:rsidR="00176ADE" w:rsidRPr="00EC1AB2">
        <w:rPr>
          <w:rFonts w:ascii="Times New Roman" w:hAnsi="Times New Roman" w:cs="Times New Roman"/>
          <w:sz w:val="24"/>
          <w:szCs w:val="24"/>
        </w:rPr>
        <w:t>didžia dalimi finansuotos iš ES struktūrinės param</w:t>
      </w:r>
      <w:r w:rsidR="00712446" w:rsidRPr="00EC1AB2">
        <w:rPr>
          <w:rFonts w:ascii="Times New Roman" w:hAnsi="Times New Roman" w:cs="Times New Roman"/>
          <w:sz w:val="24"/>
          <w:szCs w:val="24"/>
        </w:rPr>
        <w:t>o</w:t>
      </w:r>
      <w:r w:rsidR="00057832" w:rsidRPr="00EC1AB2">
        <w:rPr>
          <w:rFonts w:ascii="Times New Roman" w:hAnsi="Times New Roman" w:cs="Times New Roman"/>
          <w:sz w:val="24"/>
          <w:szCs w:val="24"/>
        </w:rPr>
        <w:t>s, o ne privačių lėšų šaltinų, todėl galima teigti</w:t>
      </w:r>
      <w:r w:rsidR="00C44625" w:rsidRPr="00EC1AB2">
        <w:rPr>
          <w:rFonts w:ascii="Times New Roman" w:hAnsi="Times New Roman" w:cs="Times New Roman"/>
          <w:sz w:val="24"/>
          <w:szCs w:val="24"/>
        </w:rPr>
        <w:t xml:space="preserve">, kad jeigu nebūtų </w:t>
      </w:r>
      <w:r w:rsidR="0090689A" w:rsidRPr="00EC1AB2">
        <w:rPr>
          <w:rFonts w:ascii="Times New Roman" w:hAnsi="Times New Roman" w:cs="Times New Roman"/>
          <w:sz w:val="24"/>
          <w:szCs w:val="24"/>
        </w:rPr>
        <w:t>tiesioginio valstybės įsikišimo</w:t>
      </w:r>
      <w:r w:rsidR="00057832" w:rsidRPr="00EC1AB2">
        <w:rPr>
          <w:rFonts w:ascii="Times New Roman" w:hAnsi="Times New Roman" w:cs="Times New Roman"/>
          <w:sz w:val="24"/>
          <w:szCs w:val="24"/>
        </w:rPr>
        <w:t>,</w:t>
      </w:r>
      <w:r w:rsidR="00D75355" w:rsidRPr="00EC1AB2">
        <w:rPr>
          <w:rFonts w:ascii="Times New Roman" w:hAnsi="Times New Roman" w:cs="Times New Roman"/>
          <w:sz w:val="24"/>
          <w:szCs w:val="24"/>
        </w:rPr>
        <w:t xml:space="preserve"> siekiant skatinti</w:t>
      </w:r>
      <w:r w:rsidR="0090689A" w:rsidRPr="00EC1AB2">
        <w:rPr>
          <w:rFonts w:ascii="Times New Roman" w:hAnsi="Times New Roman" w:cs="Times New Roman"/>
          <w:sz w:val="24"/>
          <w:szCs w:val="24"/>
        </w:rPr>
        <w:t xml:space="preserve"> rizikos kap</w:t>
      </w:r>
      <w:r w:rsidR="00D75355" w:rsidRPr="00EC1AB2">
        <w:rPr>
          <w:rFonts w:ascii="Times New Roman" w:hAnsi="Times New Roman" w:cs="Times New Roman"/>
          <w:sz w:val="24"/>
          <w:szCs w:val="24"/>
        </w:rPr>
        <w:t>italo sektorių, jis</w:t>
      </w:r>
      <w:r w:rsidR="0090689A" w:rsidRPr="00EC1AB2">
        <w:rPr>
          <w:rFonts w:ascii="Times New Roman" w:hAnsi="Times New Roman" w:cs="Times New Roman"/>
          <w:sz w:val="24"/>
          <w:szCs w:val="24"/>
        </w:rPr>
        <w:t xml:space="preserve"> </w:t>
      </w:r>
      <w:r w:rsidR="00057832" w:rsidRPr="00EC1AB2">
        <w:rPr>
          <w:rFonts w:ascii="Times New Roman" w:hAnsi="Times New Roman" w:cs="Times New Roman"/>
          <w:sz w:val="24"/>
          <w:szCs w:val="24"/>
        </w:rPr>
        <w:t xml:space="preserve">Lietuvoje </w:t>
      </w:r>
      <w:r w:rsidR="00FD3B48" w:rsidRPr="00EC1AB2">
        <w:rPr>
          <w:rFonts w:ascii="Times New Roman" w:hAnsi="Times New Roman" w:cs="Times New Roman"/>
          <w:sz w:val="24"/>
          <w:szCs w:val="24"/>
        </w:rPr>
        <w:t>praktiškai neegzistuotų.</w:t>
      </w:r>
    </w:p>
    <w:p w:rsidR="006A1F7F" w:rsidRPr="00EC1AB2" w:rsidRDefault="006A1F7F" w:rsidP="007A02A8">
      <w:pPr>
        <w:spacing w:after="0" w:line="360" w:lineRule="auto"/>
        <w:ind w:firstLine="1296"/>
        <w:jc w:val="both"/>
        <w:rPr>
          <w:rFonts w:ascii="Times New Roman" w:hAnsi="Times New Roman" w:cs="Times New Roman"/>
          <w:sz w:val="24"/>
          <w:szCs w:val="24"/>
        </w:rPr>
      </w:pPr>
    </w:p>
    <w:p w:rsidR="009C321E" w:rsidRPr="00EC1AB2" w:rsidRDefault="009C321E" w:rsidP="00812D85">
      <w:pPr>
        <w:pStyle w:val="Heading2"/>
        <w:numPr>
          <w:ilvl w:val="1"/>
          <w:numId w:val="32"/>
        </w:numPr>
        <w:spacing w:before="0" w:after="0" w:line="360" w:lineRule="auto"/>
        <w:rPr>
          <w:i w:val="0"/>
          <w:sz w:val="24"/>
          <w:szCs w:val="24"/>
        </w:rPr>
      </w:pPr>
      <w:bookmarkStart w:id="116" w:name="_Toc320566998"/>
      <w:bookmarkStart w:id="117" w:name="_Toc320567038"/>
      <w:bookmarkStart w:id="118" w:name="_Toc320567185"/>
      <w:bookmarkStart w:id="119" w:name="_Toc320761768"/>
      <w:bookmarkStart w:id="120" w:name="_Toc320761924"/>
      <w:bookmarkStart w:id="121" w:name="_Toc320762159"/>
      <w:bookmarkStart w:id="122" w:name="_Toc320762561"/>
      <w:bookmarkStart w:id="123" w:name="_Toc321092701"/>
      <w:r w:rsidRPr="00EC1AB2">
        <w:rPr>
          <w:i w:val="0"/>
          <w:sz w:val="24"/>
          <w:szCs w:val="24"/>
        </w:rPr>
        <w:lastRenderedPageBreak/>
        <w:t>Tyrimo metodik</w:t>
      </w:r>
      <w:bookmarkEnd w:id="116"/>
      <w:bookmarkEnd w:id="117"/>
      <w:bookmarkEnd w:id="118"/>
      <w:bookmarkEnd w:id="119"/>
      <w:bookmarkEnd w:id="120"/>
      <w:bookmarkEnd w:id="121"/>
      <w:bookmarkEnd w:id="122"/>
      <w:r w:rsidR="00495905" w:rsidRPr="00EC1AB2">
        <w:rPr>
          <w:i w:val="0"/>
          <w:sz w:val="24"/>
          <w:szCs w:val="24"/>
        </w:rPr>
        <w:t>a</w:t>
      </w:r>
      <w:bookmarkEnd w:id="123"/>
    </w:p>
    <w:p w:rsidR="00FE09B3" w:rsidRPr="00EC1AB2" w:rsidRDefault="00FE09B3" w:rsidP="007A02A8">
      <w:pPr>
        <w:pStyle w:val="Heading2"/>
        <w:spacing w:before="0" w:after="0" w:line="360" w:lineRule="auto"/>
        <w:rPr>
          <w:i w:val="0"/>
          <w:sz w:val="24"/>
          <w:szCs w:val="24"/>
        </w:rPr>
      </w:pPr>
    </w:p>
    <w:p w:rsidR="00C515EE" w:rsidRPr="00EC1AB2" w:rsidRDefault="00FE09B3"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Palyginus RKF investicijas Lietuvoje su ES vidurkiu ir pastebėjus stiprų Lietuvos atsilik</w:t>
      </w:r>
      <w:r w:rsidR="0044691E" w:rsidRPr="00EC1AB2">
        <w:rPr>
          <w:rFonts w:ascii="Times New Roman" w:hAnsi="Times New Roman" w:cs="Times New Roman"/>
          <w:sz w:val="24"/>
          <w:szCs w:val="24"/>
        </w:rPr>
        <w:t>im</w:t>
      </w:r>
      <w:r w:rsidRPr="00EC1AB2">
        <w:rPr>
          <w:rFonts w:ascii="Times New Roman" w:hAnsi="Times New Roman" w:cs="Times New Roman"/>
          <w:sz w:val="24"/>
          <w:szCs w:val="24"/>
        </w:rPr>
        <w:t>ą šioje srityje</w:t>
      </w:r>
      <w:r w:rsidR="0044691E" w:rsidRPr="00EC1AB2">
        <w:rPr>
          <w:rFonts w:ascii="Times New Roman" w:hAnsi="Times New Roman" w:cs="Times New Roman"/>
          <w:sz w:val="24"/>
          <w:szCs w:val="24"/>
        </w:rPr>
        <w:t xml:space="preserve"> tampa būtina išanalizuoti, kokias neigiamas pasekmes Lietuva patiria</w:t>
      </w:r>
      <w:r w:rsidR="00402BC1" w:rsidRPr="00EC1AB2">
        <w:rPr>
          <w:rFonts w:ascii="Times New Roman" w:hAnsi="Times New Roman" w:cs="Times New Roman"/>
          <w:sz w:val="24"/>
          <w:szCs w:val="24"/>
        </w:rPr>
        <w:t xml:space="preserve"> dėl</w:t>
      </w:r>
      <w:r w:rsidR="00267630" w:rsidRPr="00EC1AB2">
        <w:rPr>
          <w:rFonts w:ascii="Times New Roman" w:hAnsi="Times New Roman" w:cs="Times New Roman"/>
          <w:sz w:val="24"/>
          <w:szCs w:val="24"/>
        </w:rPr>
        <w:t xml:space="preserve"> mažų RKF investicijų.</w:t>
      </w:r>
      <w:r w:rsidR="00402BC1" w:rsidRPr="00EC1AB2">
        <w:rPr>
          <w:rFonts w:ascii="Times New Roman" w:hAnsi="Times New Roman" w:cs="Times New Roman"/>
          <w:sz w:val="24"/>
          <w:szCs w:val="24"/>
        </w:rPr>
        <w:t xml:space="preserve"> </w:t>
      </w:r>
      <w:r w:rsidR="00410C16" w:rsidRPr="00EC1AB2">
        <w:rPr>
          <w:rFonts w:ascii="Times New Roman" w:hAnsi="Times New Roman" w:cs="Times New Roman"/>
          <w:sz w:val="24"/>
          <w:szCs w:val="24"/>
        </w:rPr>
        <w:t>11</w:t>
      </w:r>
      <w:r w:rsidR="00402BC1" w:rsidRPr="00EC1AB2">
        <w:rPr>
          <w:rFonts w:ascii="Times New Roman" w:hAnsi="Times New Roman" w:cs="Times New Roman"/>
          <w:sz w:val="24"/>
          <w:szCs w:val="24"/>
        </w:rPr>
        <w:t xml:space="preserve"> pav. pateikiama tyrimo nuoseklumo schema.</w:t>
      </w:r>
    </w:p>
    <w:p w:rsidR="00402BC1" w:rsidRPr="00EC1AB2" w:rsidRDefault="00402BC1" w:rsidP="007A02A8">
      <w:pPr>
        <w:autoSpaceDE w:val="0"/>
        <w:autoSpaceDN w:val="0"/>
        <w:adjustRightInd w:val="0"/>
        <w:spacing w:after="0" w:line="360" w:lineRule="auto"/>
        <w:ind w:firstLine="1296"/>
        <w:jc w:val="both"/>
        <w:rPr>
          <w:rFonts w:ascii="Times New Roman" w:hAnsi="Times New Roman" w:cs="Times New Roman"/>
          <w:sz w:val="24"/>
          <w:szCs w:val="24"/>
        </w:rPr>
      </w:pPr>
    </w:p>
    <w:p w:rsidR="009C321E" w:rsidRPr="00EC1AB2" w:rsidRDefault="00C515EE" w:rsidP="007A02A8">
      <w:pPr>
        <w:autoSpaceDE w:val="0"/>
        <w:autoSpaceDN w:val="0"/>
        <w:adjustRightInd w:val="0"/>
        <w:spacing w:after="0" w:line="360" w:lineRule="auto"/>
        <w:rPr>
          <w:rFonts w:ascii="Times New Roman" w:hAnsi="Times New Roman" w:cs="Times New Roman"/>
          <w:b/>
          <w:sz w:val="28"/>
          <w:szCs w:val="28"/>
        </w:rPr>
      </w:pPr>
      <w:r w:rsidRPr="00EC1AB2">
        <w:rPr>
          <w:rFonts w:ascii="Times New Roman" w:hAnsi="Times New Roman" w:cs="Times New Roman"/>
          <w:noProof/>
          <w:lang w:eastAsia="lt-LT"/>
        </w:rPr>
        <mc:AlternateContent>
          <mc:Choice Requires="wps">
            <w:drawing>
              <wp:anchor distT="0" distB="0" distL="114300" distR="114300" simplePos="0" relativeHeight="251803648" behindDoc="0" locked="0" layoutInCell="1" allowOverlap="1" wp14:anchorId="22CBAC4C" wp14:editId="7A9DB147">
                <wp:simplePos x="0" y="0"/>
                <wp:positionH relativeFrom="column">
                  <wp:posOffset>3987165</wp:posOffset>
                </wp:positionH>
                <wp:positionV relativeFrom="paragraph">
                  <wp:posOffset>228600</wp:posOffset>
                </wp:positionV>
                <wp:extent cx="1924050" cy="866775"/>
                <wp:effectExtent l="0" t="0" r="19050" b="28575"/>
                <wp:wrapNone/>
                <wp:docPr id="101" name="Text Box 101"/>
                <wp:cNvGraphicFramePr/>
                <a:graphic xmlns:a="http://schemas.openxmlformats.org/drawingml/2006/main">
                  <a:graphicData uri="http://schemas.microsoft.com/office/word/2010/wordprocessingShape">
                    <wps:wsp>
                      <wps:cNvSpPr txBox="1"/>
                      <wps:spPr>
                        <a:xfrm>
                          <a:off x="0" y="0"/>
                          <a:ext cx="1924050" cy="866775"/>
                        </a:xfrm>
                        <a:prstGeom prst="rect">
                          <a:avLst/>
                        </a:prstGeom>
                        <a:solidFill>
                          <a:schemeClr val="lt1"/>
                        </a:solidFill>
                        <a:ln w="6350">
                          <a:solidFill>
                            <a:schemeClr val="tx1"/>
                          </a:solidFill>
                          <a:prstDash val="lgDash"/>
                        </a:ln>
                        <a:effectLst/>
                      </wps:spPr>
                      <wps:style>
                        <a:lnRef idx="0">
                          <a:schemeClr val="accent1"/>
                        </a:lnRef>
                        <a:fillRef idx="0">
                          <a:schemeClr val="accent1"/>
                        </a:fillRef>
                        <a:effectRef idx="0">
                          <a:schemeClr val="accent1"/>
                        </a:effectRef>
                        <a:fontRef idx="minor">
                          <a:schemeClr val="dk1"/>
                        </a:fontRef>
                      </wps:style>
                      <wps:txbx>
                        <w:txbxContent>
                          <w:p w:rsidR="00EC1AB2" w:rsidRPr="00545CAF" w:rsidRDefault="00EC1AB2" w:rsidP="00545CAF">
                            <w:pPr>
                              <w:rPr>
                                <w:rFonts w:ascii="Times New Roman" w:hAnsi="Times New Roman" w:cs="Times New Roman"/>
                                <w:sz w:val="21"/>
                                <w:szCs w:val="21"/>
                              </w:rPr>
                            </w:pPr>
                            <w:r w:rsidRPr="00545CAF">
                              <w:rPr>
                                <w:rFonts w:ascii="Times New Roman" w:hAnsi="Times New Roman" w:cs="Times New Roman"/>
                                <w:sz w:val="21"/>
                                <w:szCs w:val="21"/>
                              </w:rPr>
                              <w:t xml:space="preserve">RKF paplitimo Lietuvoje statistinių duomenų </w:t>
                            </w:r>
                            <w:r>
                              <w:rPr>
                                <w:rFonts w:ascii="Times New Roman" w:hAnsi="Times New Roman" w:cs="Times New Roman"/>
                                <w:sz w:val="21"/>
                                <w:szCs w:val="21"/>
                              </w:rPr>
                              <w:t xml:space="preserve">analizė </w:t>
                            </w:r>
                            <w:r w:rsidRPr="00545CAF">
                              <w:rPr>
                                <w:rFonts w:ascii="Times New Roman" w:hAnsi="Times New Roman" w:cs="Times New Roman"/>
                                <w:sz w:val="21"/>
                                <w:szCs w:val="21"/>
                              </w:rPr>
                              <w:t>bei Lietuvoje atliktų kokybinių tyrimų apžvalga</w:t>
                            </w:r>
                          </w:p>
                          <w:p w:rsidR="00EC1AB2" w:rsidRPr="007A410C" w:rsidRDefault="00EC1AB2" w:rsidP="005D6363">
                            <w:pPr>
                              <w:rPr>
                                <w:rFonts w:ascii="Times New Roman" w:hAnsi="Times New Roman" w:cs="Times New Roman"/>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01" o:spid="_x0000_s1033" type="#_x0000_t202" style="position:absolute;margin-left:313.95pt;margin-top:18pt;width:151.5pt;height:68.25pt;z-index:251803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" fillcolor="white [3201]" strokecolor="black [3213]" strokeweight=".5pt">
                <v:stroke dashstyle="longDash"/>
                <v:textbox>
                  <w:txbxContent>
                    <w:p w:rsidR="00A03476" w:rsidRPr="00545CAF" w:rsidRDefault="00A03476" w:rsidP="00545CAF">
                      <w:pPr>
                        <w:rPr>
                          <w:rFonts w:ascii="Times New Roman" w:hAnsi="Times New Roman" w:cs="Times New Roman"/>
                          <w:sz w:val="21"/>
                          <w:szCs w:val="21"/>
                        </w:rPr>
                      </w:pPr>
                      <w:r w:rsidRPr="00545CAF">
                        <w:rPr>
                          <w:rFonts w:ascii="Times New Roman" w:hAnsi="Times New Roman" w:cs="Times New Roman"/>
                          <w:sz w:val="21"/>
                          <w:szCs w:val="21"/>
                        </w:rPr>
                        <w:t xml:space="preserve">RKF paplitimo Lietuvoje statistinių duomenų </w:t>
                      </w:r>
                      <w:r>
                        <w:rPr>
                          <w:rFonts w:ascii="Times New Roman" w:hAnsi="Times New Roman" w:cs="Times New Roman"/>
                          <w:sz w:val="21"/>
                          <w:szCs w:val="21"/>
                        </w:rPr>
                        <w:t xml:space="preserve">analizė </w:t>
                      </w:r>
                      <w:r w:rsidRPr="00545CAF">
                        <w:rPr>
                          <w:rFonts w:ascii="Times New Roman" w:hAnsi="Times New Roman" w:cs="Times New Roman"/>
                          <w:sz w:val="21"/>
                          <w:szCs w:val="21"/>
                        </w:rPr>
                        <w:t>bei Lietuvoje atliktų kokybinių tyrimų apžvalga</w:t>
                      </w:r>
                    </w:p>
                    <w:p w:rsidR="00A03476" w:rsidRPr="007A410C" w:rsidRDefault="00A03476" w:rsidP="005D6363">
                      <w:pPr>
                        <w:rPr>
                          <w:rFonts w:ascii="Times New Roman" w:hAnsi="Times New Roman" w:cs="Times New Roman"/>
                          <w:sz w:val="20"/>
                          <w:szCs w:val="20"/>
                        </w:rPr>
                      </w:pPr>
                    </w:p>
                  </w:txbxContent>
                </v:textbox>
              </v:shape>
            </w:pict>
          </mc:Fallback>
        </mc:AlternateContent>
      </w:r>
    </w:p>
    <w:p w:rsidR="005D6363" w:rsidRPr="00EC1AB2" w:rsidRDefault="005D6363" w:rsidP="007A02A8">
      <w:p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noProof/>
          <w:sz w:val="24"/>
          <w:szCs w:val="24"/>
          <w:lang w:eastAsia="lt-LT"/>
        </w:rPr>
        <mc:AlternateContent>
          <mc:Choice Requires="wps">
            <w:drawing>
              <wp:anchor distT="0" distB="0" distL="114300" distR="114300" simplePos="0" relativeHeight="251801600" behindDoc="0" locked="0" layoutInCell="1" allowOverlap="1" wp14:anchorId="0EA6F08D" wp14:editId="3566F929">
                <wp:simplePos x="0" y="0"/>
                <wp:positionH relativeFrom="column">
                  <wp:posOffset>843915</wp:posOffset>
                </wp:positionH>
                <wp:positionV relativeFrom="paragraph">
                  <wp:posOffset>66675</wp:posOffset>
                </wp:positionV>
                <wp:extent cx="1924050" cy="495300"/>
                <wp:effectExtent l="0" t="0" r="19050" b="19050"/>
                <wp:wrapNone/>
                <wp:docPr id="100" name="Text Box 100"/>
                <wp:cNvGraphicFramePr/>
                <a:graphic xmlns:a="http://schemas.openxmlformats.org/drawingml/2006/main">
                  <a:graphicData uri="http://schemas.microsoft.com/office/word/2010/wordprocessingShape">
                    <wps:wsp>
                      <wps:cNvSpPr txBox="1"/>
                      <wps:spPr>
                        <a:xfrm>
                          <a:off x="0" y="0"/>
                          <a:ext cx="1924050" cy="495300"/>
                        </a:xfrm>
                        <a:prstGeom prst="rect">
                          <a:avLst/>
                        </a:prstGeom>
                        <a:solidFill>
                          <a:schemeClr val="lt1"/>
                        </a:solidFill>
                        <a:ln w="190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C1AB2" w:rsidRPr="00A2756D" w:rsidRDefault="00EC1AB2" w:rsidP="005D6363">
                            <w:pPr>
                              <w:jc w:val="center"/>
                              <w:rPr>
                                <w:rFonts w:ascii="Times New Roman" w:hAnsi="Times New Roman" w:cs="Times New Roman"/>
                              </w:rPr>
                            </w:pPr>
                            <w:r>
                              <w:rPr>
                                <w:rFonts w:ascii="Times New Roman" w:hAnsi="Times New Roman" w:cs="Times New Roman"/>
                              </w:rPr>
                              <w:t>TYRIMO PAGRINDIMAS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00" o:spid="_x0000_s1034" type="#_x0000_t202" style="position:absolute;left:0;text-align:left;margin-left:66.45pt;margin-top:5.25pt;width:151.5pt;height:39pt;z-index:251801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" fillcolor="white [3201]" strokeweight="1.5pt">
                <v:textbox>
                  <w:txbxContent>
                    <w:p w:rsidR="00A03476" w:rsidRPr="00A2756D" w:rsidRDefault="00A03476" w:rsidP="005D6363">
                      <w:pPr>
                        <w:jc w:val="center"/>
                        <w:rPr>
                          <w:rFonts w:ascii="Times New Roman" w:hAnsi="Times New Roman" w:cs="Times New Roman"/>
                        </w:rPr>
                      </w:pPr>
                      <w:r>
                        <w:rPr>
                          <w:rFonts w:ascii="Times New Roman" w:hAnsi="Times New Roman" w:cs="Times New Roman"/>
                        </w:rPr>
                        <w:t>TYRIMO PAGRINDIMAS</w:t>
                      </w:r>
                    </w:p>
                  </w:txbxContent>
                </v:textbox>
              </v:shape>
            </w:pict>
          </mc:Fallback>
        </mc:AlternateContent>
      </w:r>
    </w:p>
    <w:p w:rsidR="005D6363" w:rsidRPr="00EC1AB2" w:rsidRDefault="005D6363" w:rsidP="007A02A8">
      <w:p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noProof/>
          <w:sz w:val="24"/>
          <w:szCs w:val="24"/>
          <w:lang w:eastAsia="lt-LT"/>
        </w:rPr>
        <mc:AlternateContent>
          <mc:Choice Requires="wps">
            <w:drawing>
              <wp:anchor distT="0" distB="0" distL="114300" distR="114300" simplePos="0" relativeHeight="251804672" behindDoc="0" locked="0" layoutInCell="1" allowOverlap="1" wp14:anchorId="4A716C9D" wp14:editId="7C60B140">
                <wp:simplePos x="0" y="0"/>
                <wp:positionH relativeFrom="column">
                  <wp:posOffset>2767965</wp:posOffset>
                </wp:positionH>
                <wp:positionV relativeFrom="paragraph">
                  <wp:posOffset>41909</wp:posOffset>
                </wp:positionV>
                <wp:extent cx="1219200" cy="0"/>
                <wp:effectExtent l="38100" t="76200" r="0" b="114300"/>
                <wp:wrapNone/>
                <wp:docPr id="102" name="Straight Arrow Connector 102"/>
                <wp:cNvGraphicFramePr/>
                <a:graphic xmlns:a="http://schemas.openxmlformats.org/drawingml/2006/main">
                  <a:graphicData uri="http://schemas.microsoft.com/office/word/2010/wordprocessingShape">
                    <wps:wsp>
                      <wps:cNvCnPr/>
                      <wps:spPr>
                        <a:xfrm rot="10800000">
                          <a:off x="0" y="0"/>
                          <a:ext cx="1219200" cy="0"/>
                        </a:xfrm>
                        <a:prstGeom prst="straightConnector1">
                          <a:avLst/>
                        </a:prstGeom>
                        <a:ln>
                          <a:solidFill>
                            <a:schemeClr val="tx1"/>
                          </a:solidFill>
                          <a:prstDash val="dash"/>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Straight Arrow Connector 102" o:spid="_x0000_s1026" type="#_x0000_t32" style="position:absolute;margin-left:217.95pt;margin-top:3.3pt;width:96pt;height:0;rotation:180;z-index:251804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" strokecolor="black [3213]">
                <v:stroke dashstyle="dash" endarrow="open"/>
              </v:shape>
            </w:pict>
          </mc:Fallback>
        </mc:AlternateContent>
      </w:r>
    </w:p>
    <w:p w:rsidR="005D6363" w:rsidRPr="00EC1AB2" w:rsidRDefault="006E5375" w:rsidP="007A02A8">
      <w:pPr>
        <w:autoSpaceDE w:val="0"/>
        <w:autoSpaceDN w:val="0"/>
        <w:adjustRightInd w:val="0"/>
        <w:spacing w:after="0" w:line="360" w:lineRule="auto"/>
        <w:jc w:val="both"/>
        <w:rPr>
          <w:rFonts w:ascii="Times New Roman" w:hAnsi="Times New Roman" w:cs="Times New Roman"/>
          <w:b/>
          <w:sz w:val="24"/>
          <w:szCs w:val="24"/>
        </w:rPr>
      </w:pPr>
      <w:r w:rsidRPr="00EC1AB2">
        <w:rPr>
          <w:rFonts w:ascii="Times New Roman" w:hAnsi="Times New Roman" w:cs="Times New Roman"/>
          <w:b/>
          <w:noProof/>
          <w:sz w:val="24"/>
          <w:szCs w:val="24"/>
          <w:lang w:eastAsia="lt-LT"/>
        </w:rPr>
        <mc:AlternateContent>
          <mc:Choice Requires="wps">
            <w:drawing>
              <wp:anchor distT="0" distB="0" distL="114300" distR="114300" simplePos="0" relativeHeight="251820032" behindDoc="0" locked="0" layoutInCell="1" allowOverlap="1" wp14:anchorId="247CEBDF" wp14:editId="67719B28">
                <wp:simplePos x="0" y="0"/>
                <wp:positionH relativeFrom="column">
                  <wp:posOffset>1786890</wp:posOffset>
                </wp:positionH>
                <wp:positionV relativeFrom="paragraph">
                  <wp:posOffset>36195</wp:posOffset>
                </wp:positionV>
                <wp:extent cx="0" cy="276225"/>
                <wp:effectExtent l="95250" t="0" r="57150" b="66675"/>
                <wp:wrapNone/>
                <wp:docPr id="119" name="Straight Arrow Connector 119"/>
                <wp:cNvGraphicFramePr/>
                <a:graphic xmlns:a="http://schemas.openxmlformats.org/drawingml/2006/main">
                  <a:graphicData uri="http://schemas.microsoft.com/office/word/2010/wordprocessingShape">
                    <wps:wsp>
                      <wps:cNvCnPr/>
                      <wps:spPr>
                        <a:xfrm>
                          <a:off x="0" y="0"/>
                          <a:ext cx="0" cy="2762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119" o:spid="_x0000_s1026" type="#_x0000_t32" style="position:absolute;margin-left:140.7pt;margin-top:2.85pt;width:0;height:21.75pt;z-index:2518200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" strokecolor="black [3213]">
                <v:stroke endarrow="open"/>
              </v:shape>
            </w:pict>
          </mc:Fallback>
        </mc:AlternateContent>
      </w:r>
    </w:p>
    <w:p w:rsidR="005D6363" w:rsidRPr="00EC1AB2" w:rsidRDefault="006E5375" w:rsidP="007A02A8">
      <w:pPr>
        <w:autoSpaceDE w:val="0"/>
        <w:autoSpaceDN w:val="0"/>
        <w:adjustRightInd w:val="0"/>
        <w:spacing w:after="0" w:line="360" w:lineRule="auto"/>
        <w:jc w:val="both"/>
        <w:rPr>
          <w:rFonts w:ascii="Times New Roman" w:hAnsi="Times New Roman" w:cs="Times New Roman"/>
          <w:b/>
          <w:sz w:val="24"/>
          <w:szCs w:val="24"/>
        </w:rPr>
      </w:pPr>
      <w:r w:rsidRPr="00EC1AB2">
        <w:rPr>
          <w:rFonts w:ascii="Times New Roman" w:hAnsi="Times New Roman" w:cs="Times New Roman"/>
          <w:noProof/>
          <w:sz w:val="24"/>
          <w:szCs w:val="24"/>
          <w:lang w:eastAsia="lt-LT"/>
        </w:rPr>
        <mc:AlternateContent>
          <mc:Choice Requires="wps">
            <w:drawing>
              <wp:anchor distT="0" distB="0" distL="114300" distR="114300" simplePos="0" relativeHeight="251819008" behindDoc="0" locked="0" layoutInCell="1" allowOverlap="1" wp14:anchorId="0C5A42DF" wp14:editId="7DC429B8">
                <wp:simplePos x="0" y="0"/>
                <wp:positionH relativeFrom="column">
                  <wp:posOffset>843915</wp:posOffset>
                </wp:positionH>
                <wp:positionV relativeFrom="paragraph">
                  <wp:posOffset>49530</wp:posOffset>
                </wp:positionV>
                <wp:extent cx="1924050" cy="495300"/>
                <wp:effectExtent l="0" t="0" r="19050" b="19050"/>
                <wp:wrapNone/>
                <wp:docPr id="117" name="Text Box 117"/>
                <wp:cNvGraphicFramePr/>
                <a:graphic xmlns:a="http://schemas.openxmlformats.org/drawingml/2006/main">
                  <a:graphicData uri="http://schemas.microsoft.com/office/word/2010/wordprocessingShape">
                    <wps:wsp>
                      <wps:cNvSpPr txBox="1"/>
                      <wps:spPr>
                        <a:xfrm>
                          <a:off x="0" y="0"/>
                          <a:ext cx="1924050" cy="495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C1AB2" w:rsidRPr="00A2756D" w:rsidRDefault="00EC1AB2" w:rsidP="005D6363">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 xml:space="preserve">Stiprus Lietuvos atsilikimas </w:t>
                            </w:r>
                            <w:r w:rsidRPr="00A2756D">
                              <w:rPr>
                                <w:rFonts w:ascii="Times New Roman" w:hAnsi="Times New Roman" w:cs="Times New Roman"/>
                                <w:sz w:val="18"/>
                                <w:szCs w:val="18"/>
                              </w:rPr>
                              <w:t>nuo ES vidurkio</w:t>
                            </w:r>
                          </w:p>
                          <w:p w:rsidR="00EC1AB2" w:rsidRPr="00A2756D" w:rsidRDefault="00EC1AB2" w:rsidP="005D6363">
                            <w:pPr>
                              <w:jc w:val="center"/>
                              <w:rPr>
                                <w:rFonts w:ascii="Times New Roman" w:hAnsi="Times New Roman" w:cs="Times New Roman"/>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17" o:spid="_x0000_s1035" type="#_x0000_t202" style="position:absolute;left:0;text-align:left;margin-left:66.45pt;margin-top:3.9pt;width:151.5pt;height:39pt;z-index:251819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" fillcolor="white [3201]" strokeweight=".5pt">
                <v:textbox>
                  <w:txbxContent>
                    <w:p w:rsidR="00A03476" w:rsidRPr="00A2756D" w:rsidRDefault="00A03476" w:rsidP="005D6363">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 xml:space="preserve">Stiprus Lietuvos atsilikimas </w:t>
                      </w:r>
                      <w:r w:rsidRPr="00A2756D">
                        <w:rPr>
                          <w:rFonts w:ascii="Times New Roman" w:hAnsi="Times New Roman" w:cs="Times New Roman"/>
                          <w:sz w:val="18"/>
                          <w:szCs w:val="18"/>
                        </w:rPr>
                        <w:t>nuo ES vidurkio</w:t>
                      </w:r>
                    </w:p>
                    <w:p w:rsidR="00A03476" w:rsidRPr="00A2756D" w:rsidRDefault="00A03476" w:rsidP="005D6363">
                      <w:pPr>
                        <w:jc w:val="center"/>
                        <w:rPr>
                          <w:rFonts w:ascii="Times New Roman" w:hAnsi="Times New Roman" w:cs="Times New Roman"/>
                        </w:rPr>
                      </w:pPr>
                    </w:p>
                  </w:txbxContent>
                </v:textbox>
              </v:shape>
            </w:pict>
          </mc:Fallback>
        </mc:AlternateContent>
      </w:r>
    </w:p>
    <w:p w:rsidR="005D6363" w:rsidRPr="00EC1AB2" w:rsidRDefault="005D6363" w:rsidP="007A02A8">
      <w:pPr>
        <w:autoSpaceDE w:val="0"/>
        <w:autoSpaceDN w:val="0"/>
        <w:adjustRightInd w:val="0"/>
        <w:spacing w:after="0" w:line="360" w:lineRule="auto"/>
        <w:jc w:val="both"/>
        <w:rPr>
          <w:rFonts w:ascii="Times New Roman" w:hAnsi="Times New Roman" w:cs="Times New Roman"/>
          <w:b/>
          <w:sz w:val="24"/>
          <w:szCs w:val="24"/>
        </w:rPr>
      </w:pPr>
    </w:p>
    <w:p w:rsidR="005D6363" w:rsidRPr="00EC1AB2" w:rsidRDefault="007A410C" w:rsidP="007A02A8">
      <w:pPr>
        <w:autoSpaceDE w:val="0"/>
        <w:autoSpaceDN w:val="0"/>
        <w:adjustRightInd w:val="0"/>
        <w:spacing w:after="0" w:line="360" w:lineRule="auto"/>
        <w:jc w:val="both"/>
        <w:rPr>
          <w:rFonts w:ascii="Times New Roman" w:hAnsi="Times New Roman" w:cs="Times New Roman"/>
          <w:b/>
          <w:sz w:val="24"/>
          <w:szCs w:val="24"/>
        </w:rPr>
      </w:pPr>
      <w:r w:rsidRPr="00EC1AB2">
        <w:rPr>
          <w:rFonts w:ascii="Times New Roman" w:hAnsi="Times New Roman" w:cs="Times New Roman"/>
          <w:noProof/>
          <w:sz w:val="24"/>
          <w:szCs w:val="24"/>
          <w:lang w:eastAsia="lt-LT"/>
        </w:rPr>
        <mc:AlternateContent>
          <mc:Choice Requires="wps">
            <w:drawing>
              <wp:anchor distT="0" distB="0" distL="114300" distR="114300" simplePos="0" relativeHeight="251806720" behindDoc="0" locked="0" layoutInCell="1" allowOverlap="1" wp14:anchorId="69816756" wp14:editId="246632DF">
                <wp:simplePos x="0" y="0"/>
                <wp:positionH relativeFrom="column">
                  <wp:posOffset>3987165</wp:posOffset>
                </wp:positionH>
                <wp:positionV relativeFrom="paragraph">
                  <wp:posOffset>55880</wp:posOffset>
                </wp:positionV>
                <wp:extent cx="1924050" cy="1028700"/>
                <wp:effectExtent l="0" t="0" r="19050" b="19050"/>
                <wp:wrapNone/>
                <wp:docPr id="105" name="Text Box 105"/>
                <wp:cNvGraphicFramePr/>
                <a:graphic xmlns:a="http://schemas.openxmlformats.org/drawingml/2006/main">
                  <a:graphicData uri="http://schemas.microsoft.com/office/word/2010/wordprocessingShape">
                    <wps:wsp>
                      <wps:cNvSpPr txBox="1"/>
                      <wps:spPr>
                        <a:xfrm>
                          <a:off x="0" y="0"/>
                          <a:ext cx="1924050" cy="1028700"/>
                        </a:xfrm>
                        <a:prstGeom prst="rect">
                          <a:avLst/>
                        </a:prstGeom>
                        <a:solidFill>
                          <a:schemeClr val="lt1"/>
                        </a:solidFill>
                        <a:ln w="6350">
                          <a:solidFill>
                            <a:schemeClr val="tx1"/>
                          </a:solidFill>
                          <a:prstDash val="lgDash"/>
                        </a:ln>
                        <a:effectLst/>
                      </wps:spPr>
                      <wps:style>
                        <a:lnRef idx="0">
                          <a:schemeClr val="accent1"/>
                        </a:lnRef>
                        <a:fillRef idx="0">
                          <a:schemeClr val="accent1"/>
                        </a:fillRef>
                        <a:effectRef idx="0">
                          <a:schemeClr val="accent1"/>
                        </a:effectRef>
                        <a:fontRef idx="minor">
                          <a:schemeClr val="dk1"/>
                        </a:fontRef>
                      </wps:style>
                      <wps:txbx>
                        <w:txbxContent>
                          <w:p w:rsidR="00EC1AB2" w:rsidRPr="00545CAF" w:rsidRDefault="00EC1AB2" w:rsidP="005D6363">
                            <w:pPr>
                              <w:spacing w:after="0" w:line="240" w:lineRule="auto"/>
                              <w:rPr>
                                <w:rFonts w:ascii="Times New Roman" w:hAnsi="Times New Roman" w:cs="Times New Roman"/>
                                <w:sz w:val="21"/>
                                <w:szCs w:val="21"/>
                              </w:rPr>
                            </w:pPr>
                            <w:r w:rsidRPr="007A410C">
                              <w:rPr>
                                <w:rFonts w:ascii="Times New Roman" w:hAnsi="Times New Roman" w:cs="Times New Roman"/>
                                <w:b/>
                                <w:sz w:val="20"/>
                                <w:szCs w:val="20"/>
                              </w:rPr>
                              <w:sym w:font="Wingdings" w:char="F0A0"/>
                            </w:r>
                            <w:r w:rsidRPr="007A410C">
                              <w:rPr>
                                <w:rFonts w:ascii="Times New Roman" w:hAnsi="Times New Roman" w:cs="Times New Roman"/>
                                <w:sz w:val="20"/>
                                <w:szCs w:val="20"/>
                              </w:rPr>
                              <w:t xml:space="preserve"> </w:t>
                            </w:r>
                            <w:r w:rsidRPr="00545CAF">
                              <w:rPr>
                                <w:rFonts w:ascii="Times New Roman" w:hAnsi="Times New Roman" w:cs="Times New Roman"/>
                                <w:sz w:val="21"/>
                                <w:szCs w:val="21"/>
                              </w:rPr>
                              <w:t>Suminio inovatyvumo indekso sudedamųjų dalių analizė</w:t>
                            </w:r>
                          </w:p>
                          <w:p w:rsidR="00EC1AB2" w:rsidRPr="00545CAF" w:rsidRDefault="00EC1AB2" w:rsidP="005D6363">
                            <w:pPr>
                              <w:spacing w:after="0" w:line="240" w:lineRule="auto"/>
                              <w:rPr>
                                <w:rFonts w:ascii="Times New Roman" w:hAnsi="Times New Roman" w:cs="Times New Roman"/>
                                <w:sz w:val="21"/>
                                <w:szCs w:val="21"/>
                              </w:rPr>
                            </w:pPr>
                            <w:r w:rsidRPr="00545CAF">
                              <w:rPr>
                                <w:rFonts w:ascii="Times New Roman" w:hAnsi="Times New Roman" w:cs="Times New Roman"/>
                                <w:b/>
                                <w:sz w:val="21"/>
                                <w:szCs w:val="21"/>
                              </w:rPr>
                              <w:sym w:font="Wingdings" w:char="F0A0"/>
                            </w:r>
                            <w:r w:rsidRPr="00545CAF">
                              <w:rPr>
                                <w:rFonts w:ascii="Times New Roman" w:hAnsi="Times New Roman" w:cs="Times New Roman"/>
                                <w:sz w:val="21"/>
                                <w:szCs w:val="21"/>
                              </w:rPr>
                              <w:t xml:space="preserve"> RKF investicijų apimties  ir suminio inovatyvumo indekso sudedamųjų dalių koreliacinė analizė</w:t>
                            </w:r>
                          </w:p>
                          <w:p w:rsidR="00EC1AB2" w:rsidRPr="00A2756D" w:rsidRDefault="00EC1AB2" w:rsidP="005D6363">
                            <w:pPr>
                              <w:rPr>
                                <w:rFonts w:ascii="Times New Roman" w:hAnsi="Times New Roman" w:cs="Times New Roman"/>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05" o:spid="_x0000_s1036" type="#_x0000_t202" style="position:absolute;left:0;text-align:left;margin-left:313.95pt;margin-top:4.4pt;width:151.5pt;height:81pt;z-index:251806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" fillcolor="white [3201]" strokecolor="black [3213]" strokeweight=".5pt">
                <v:stroke dashstyle="longDash"/>
                <v:textbox>
                  <w:txbxContent>
                    <w:p w:rsidR="00A03476" w:rsidRPr="00545CAF" w:rsidRDefault="00A03476" w:rsidP="005D6363">
                      <w:pPr>
                        <w:spacing w:after="0" w:line="240" w:lineRule="auto"/>
                        <w:rPr>
                          <w:rFonts w:ascii="Times New Roman" w:hAnsi="Times New Roman" w:cs="Times New Roman"/>
                          <w:sz w:val="21"/>
                          <w:szCs w:val="21"/>
                        </w:rPr>
                      </w:pPr>
                      <w:r w:rsidRPr="007A410C">
                        <w:rPr>
                          <w:rFonts w:ascii="Times New Roman" w:hAnsi="Times New Roman" w:cs="Times New Roman"/>
                          <w:b/>
                          <w:sz w:val="20"/>
                          <w:szCs w:val="20"/>
                        </w:rPr>
                        <w:sym w:font="Wingdings" w:char="F0A0"/>
                      </w:r>
                      <w:r w:rsidRPr="007A410C">
                        <w:rPr>
                          <w:rFonts w:ascii="Times New Roman" w:hAnsi="Times New Roman" w:cs="Times New Roman"/>
                          <w:sz w:val="20"/>
                          <w:szCs w:val="20"/>
                        </w:rPr>
                        <w:t xml:space="preserve"> </w:t>
                      </w:r>
                      <w:r w:rsidRPr="00545CAF">
                        <w:rPr>
                          <w:rFonts w:ascii="Times New Roman" w:hAnsi="Times New Roman" w:cs="Times New Roman"/>
                          <w:sz w:val="21"/>
                          <w:szCs w:val="21"/>
                        </w:rPr>
                        <w:t>Suminio inovatyvumo indekso sudedamųjų dalių analizė</w:t>
                      </w:r>
                    </w:p>
                    <w:p w:rsidR="00A03476" w:rsidRPr="00545CAF" w:rsidRDefault="00A03476" w:rsidP="005D6363">
                      <w:pPr>
                        <w:spacing w:after="0" w:line="240" w:lineRule="auto"/>
                        <w:rPr>
                          <w:rFonts w:ascii="Times New Roman" w:hAnsi="Times New Roman" w:cs="Times New Roman"/>
                          <w:sz w:val="21"/>
                          <w:szCs w:val="21"/>
                        </w:rPr>
                      </w:pPr>
                      <w:r w:rsidRPr="00545CAF">
                        <w:rPr>
                          <w:rFonts w:ascii="Times New Roman" w:hAnsi="Times New Roman" w:cs="Times New Roman"/>
                          <w:b/>
                          <w:sz w:val="21"/>
                          <w:szCs w:val="21"/>
                        </w:rPr>
                        <w:sym w:font="Wingdings" w:char="F0A0"/>
                      </w:r>
                      <w:r w:rsidRPr="00545CAF">
                        <w:rPr>
                          <w:rFonts w:ascii="Times New Roman" w:hAnsi="Times New Roman" w:cs="Times New Roman"/>
                          <w:sz w:val="21"/>
                          <w:szCs w:val="21"/>
                        </w:rPr>
                        <w:t xml:space="preserve"> RKF investicijų apimties  ir suminio inovatyvumo indekso sudedamųjų dalių koreliacinė analizė</w:t>
                      </w:r>
                    </w:p>
                    <w:p w:rsidR="00A03476" w:rsidRPr="00A2756D" w:rsidRDefault="00A03476" w:rsidP="005D6363">
                      <w:pPr>
                        <w:rPr>
                          <w:rFonts w:ascii="Times New Roman" w:hAnsi="Times New Roman" w:cs="Times New Roman"/>
                        </w:rPr>
                      </w:pPr>
                    </w:p>
                  </w:txbxContent>
                </v:textbox>
              </v:shape>
            </w:pict>
          </mc:Fallback>
        </mc:AlternateContent>
      </w:r>
      <w:r w:rsidR="006E5375" w:rsidRPr="00EC1AB2">
        <w:rPr>
          <w:rFonts w:ascii="Times New Roman" w:hAnsi="Times New Roman" w:cs="Times New Roman"/>
          <w:b/>
          <w:noProof/>
          <w:sz w:val="24"/>
          <w:szCs w:val="24"/>
          <w:lang w:eastAsia="lt-LT"/>
        </w:rPr>
        <mc:AlternateContent>
          <mc:Choice Requires="wps">
            <w:drawing>
              <wp:anchor distT="0" distB="0" distL="114300" distR="114300" simplePos="0" relativeHeight="251822080" behindDoc="0" locked="0" layoutInCell="1" allowOverlap="1" wp14:anchorId="7FBA6CAD" wp14:editId="2DE8169E">
                <wp:simplePos x="0" y="0"/>
                <wp:positionH relativeFrom="column">
                  <wp:posOffset>1796415</wp:posOffset>
                </wp:positionH>
                <wp:positionV relativeFrom="paragraph">
                  <wp:posOffset>19050</wp:posOffset>
                </wp:positionV>
                <wp:extent cx="0" cy="276225"/>
                <wp:effectExtent l="95250" t="0" r="57150" b="66675"/>
                <wp:wrapNone/>
                <wp:docPr id="120" name="Straight Arrow Connector 120"/>
                <wp:cNvGraphicFramePr/>
                <a:graphic xmlns:a="http://schemas.openxmlformats.org/drawingml/2006/main">
                  <a:graphicData uri="http://schemas.microsoft.com/office/word/2010/wordprocessingShape">
                    <wps:wsp>
                      <wps:cNvCnPr/>
                      <wps:spPr>
                        <a:xfrm>
                          <a:off x="0" y="0"/>
                          <a:ext cx="0" cy="2762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120" o:spid="_x0000_s1026" type="#_x0000_t32" style="position:absolute;margin-left:141.45pt;margin-top:1.5pt;width:0;height:21.75pt;z-index:251822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" strokecolor="black [3213]">
                <v:stroke endarrow="open"/>
              </v:shape>
            </w:pict>
          </mc:Fallback>
        </mc:AlternateContent>
      </w:r>
    </w:p>
    <w:p w:rsidR="005D6363" w:rsidRPr="00EC1AB2" w:rsidRDefault="005D6363" w:rsidP="007A02A8">
      <w:pPr>
        <w:autoSpaceDE w:val="0"/>
        <w:autoSpaceDN w:val="0"/>
        <w:adjustRightInd w:val="0"/>
        <w:spacing w:after="0" w:line="360" w:lineRule="auto"/>
        <w:jc w:val="both"/>
        <w:rPr>
          <w:rFonts w:ascii="Times New Roman" w:hAnsi="Times New Roman" w:cs="Times New Roman"/>
          <w:b/>
          <w:sz w:val="24"/>
          <w:szCs w:val="24"/>
        </w:rPr>
      </w:pPr>
      <w:r w:rsidRPr="00EC1AB2">
        <w:rPr>
          <w:rFonts w:ascii="Times New Roman" w:hAnsi="Times New Roman" w:cs="Times New Roman"/>
          <w:noProof/>
          <w:sz w:val="24"/>
          <w:szCs w:val="24"/>
          <w:lang w:eastAsia="lt-LT"/>
        </w:rPr>
        <mc:AlternateContent>
          <mc:Choice Requires="wps">
            <w:drawing>
              <wp:anchor distT="0" distB="0" distL="114300" distR="114300" simplePos="0" relativeHeight="251802624" behindDoc="0" locked="0" layoutInCell="1" allowOverlap="1" wp14:anchorId="3BB88949" wp14:editId="31777FDA">
                <wp:simplePos x="0" y="0"/>
                <wp:positionH relativeFrom="column">
                  <wp:posOffset>843915</wp:posOffset>
                </wp:positionH>
                <wp:positionV relativeFrom="paragraph">
                  <wp:posOffset>23495</wp:posOffset>
                </wp:positionV>
                <wp:extent cx="1924050" cy="495300"/>
                <wp:effectExtent l="0" t="0" r="19050" b="19050"/>
                <wp:wrapNone/>
                <wp:docPr id="106" name="Text Box 106"/>
                <wp:cNvGraphicFramePr/>
                <a:graphic xmlns:a="http://schemas.openxmlformats.org/drawingml/2006/main">
                  <a:graphicData uri="http://schemas.microsoft.com/office/word/2010/wordprocessingShape">
                    <wps:wsp>
                      <wps:cNvSpPr txBox="1"/>
                      <wps:spPr>
                        <a:xfrm>
                          <a:off x="0" y="0"/>
                          <a:ext cx="1924050" cy="495300"/>
                        </a:xfrm>
                        <a:prstGeom prst="rect">
                          <a:avLst/>
                        </a:prstGeom>
                        <a:solidFill>
                          <a:schemeClr val="lt1"/>
                        </a:solidFill>
                        <a:ln w="190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C1AB2" w:rsidRPr="00A2756D" w:rsidRDefault="00EC1AB2" w:rsidP="005D6363">
                            <w:pPr>
                              <w:jc w:val="center"/>
                              <w:rPr>
                                <w:rFonts w:ascii="Times New Roman" w:hAnsi="Times New Roman" w:cs="Times New Roman"/>
                              </w:rPr>
                            </w:pPr>
                            <w:r>
                              <w:rPr>
                                <w:rFonts w:ascii="Times New Roman" w:hAnsi="Times New Roman" w:cs="Times New Roman"/>
                              </w:rPr>
                              <w:t>1 ETAPAS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06" o:spid="_x0000_s1037" type="#_x0000_t202" style="position:absolute;left:0;text-align:left;margin-left:66.45pt;margin-top:1.85pt;width:151.5pt;height:39pt;z-index:251802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" fillcolor="white [3201]" strokeweight="1.5pt">
                <v:textbox>
                  <w:txbxContent>
                    <w:p w:rsidR="00A03476" w:rsidRPr="00A2756D" w:rsidRDefault="00A03476" w:rsidP="005D6363">
                      <w:pPr>
                        <w:jc w:val="center"/>
                        <w:rPr>
                          <w:rFonts w:ascii="Times New Roman" w:hAnsi="Times New Roman" w:cs="Times New Roman"/>
                        </w:rPr>
                      </w:pPr>
                      <w:r>
                        <w:rPr>
                          <w:rFonts w:ascii="Times New Roman" w:hAnsi="Times New Roman" w:cs="Times New Roman"/>
                        </w:rPr>
                        <w:t>1 ETAPAS</w:t>
                      </w:r>
                    </w:p>
                  </w:txbxContent>
                </v:textbox>
              </v:shape>
            </w:pict>
          </mc:Fallback>
        </mc:AlternateContent>
      </w:r>
    </w:p>
    <w:p w:rsidR="005D6363" w:rsidRPr="00EC1AB2" w:rsidRDefault="006E5375" w:rsidP="007A02A8">
      <w:pPr>
        <w:autoSpaceDE w:val="0"/>
        <w:autoSpaceDN w:val="0"/>
        <w:adjustRightInd w:val="0"/>
        <w:spacing w:after="0" w:line="360" w:lineRule="auto"/>
        <w:jc w:val="both"/>
        <w:rPr>
          <w:rFonts w:ascii="Times New Roman" w:hAnsi="Times New Roman" w:cs="Times New Roman"/>
          <w:b/>
          <w:sz w:val="24"/>
          <w:szCs w:val="24"/>
        </w:rPr>
      </w:pPr>
      <w:r w:rsidRPr="00EC1AB2">
        <w:rPr>
          <w:rFonts w:ascii="Times New Roman" w:hAnsi="Times New Roman" w:cs="Times New Roman"/>
          <w:noProof/>
          <w:sz w:val="24"/>
          <w:szCs w:val="24"/>
          <w:lang w:eastAsia="lt-LT"/>
        </w:rPr>
        <mc:AlternateContent>
          <mc:Choice Requires="wps">
            <w:drawing>
              <wp:anchor distT="0" distB="0" distL="114300" distR="114300" simplePos="0" relativeHeight="251831296" behindDoc="0" locked="0" layoutInCell="1" allowOverlap="1" wp14:anchorId="507088DD" wp14:editId="083F68BF">
                <wp:simplePos x="0" y="0"/>
                <wp:positionH relativeFrom="column">
                  <wp:posOffset>1796415</wp:posOffset>
                </wp:positionH>
                <wp:positionV relativeFrom="paragraph">
                  <wp:posOffset>255270</wp:posOffset>
                </wp:positionV>
                <wp:extent cx="0" cy="476251"/>
                <wp:effectExtent l="0" t="0" r="19050" b="19050"/>
                <wp:wrapNone/>
                <wp:docPr id="127" name="Straight Connector 127"/>
                <wp:cNvGraphicFramePr/>
                <a:graphic xmlns:a="http://schemas.openxmlformats.org/drawingml/2006/main">
                  <a:graphicData uri="http://schemas.microsoft.com/office/word/2010/wordprocessingShape">
                    <wps:wsp>
                      <wps:cNvCnPr/>
                      <wps:spPr>
                        <a:xfrm>
                          <a:off x="0" y="0"/>
                          <a:ext cx="0" cy="47625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127" o:spid="_x0000_s1026" style="position:absolute;z-index:251831296;visibility:visible;mso-wrap-style:square;mso-wrap-distance-left:9pt;mso-wrap-distance-top:0;mso-wrap-distance-right:9pt;mso-wrap-distance-bottom:0;mso-position-horizontal:absolute;mso-position-horizontal-relative:text;mso-position-vertical:absolute;mso-position-vertical-relative:text" from="141.45pt,20.1pt" to="141.45pt,5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" strokecolor="black [3213]"/>
            </w:pict>
          </mc:Fallback>
        </mc:AlternateContent>
      </w:r>
      <w:r w:rsidR="005D6363" w:rsidRPr="00EC1AB2">
        <w:rPr>
          <w:rFonts w:ascii="Times New Roman" w:hAnsi="Times New Roman" w:cs="Times New Roman"/>
          <w:noProof/>
          <w:sz w:val="24"/>
          <w:szCs w:val="24"/>
          <w:lang w:eastAsia="lt-LT"/>
        </w:rPr>
        <mc:AlternateContent>
          <mc:Choice Requires="wps">
            <w:drawing>
              <wp:anchor distT="0" distB="0" distL="114300" distR="114300" simplePos="0" relativeHeight="251807744" behindDoc="0" locked="0" layoutInCell="1" allowOverlap="1" wp14:anchorId="03A20E6E" wp14:editId="7B10376C">
                <wp:simplePos x="0" y="0"/>
                <wp:positionH relativeFrom="column">
                  <wp:posOffset>2767965</wp:posOffset>
                </wp:positionH>
                <wp:positionV relativeFrom="paragraph">
                  <wp:posOffset>8256</wp:posOffset>
                </wp:positionV>
                <wp:extent cx="1219200" cy="0"/>
                <wp:effectExtent l="38100" t="76200" r="0" b="114300"/>
                <wp:wrapNone/>
                <wp:docPr id="108" name="Straight Arrow Connector 108"/>
                <wp:cNvGraphicFramePr/>
                <a:graphic xmlns:a="http://schemas.openxmlformats.org/drawingml/2006/main">
                  <a:graphicData uri="http://schemas.microsoft.com/office/word/2010/wordprocessingShape">
                    <wps:wsp>
                      <wps:cNvCnPr/>
                      <wps:spPr>
                        <a:xfrm rot="10800000">
                          <a:off x="0" y="0"/>
                          <a:ext cx="1219200" cy="0"/>
                        </a:xfrm>
                        <a:prstGeom prst="straightConnector1">
                          <a:avLst/>
                        </a:prstGeom>
                        <a:ln>
                          <a:solidFill>
                            <a:schemeClr val="tx1"/>
                          </a:solidFill>
                          <a:prstDash val="dash"/>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108" o:spid="_x0000_s1026" type="#_x0000_t32" style="position:absolute;margin-left:217.95pt;margin-top:.65pt;width:96pt;height:0;rotation:180;z-index:251807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" strokecolor="black [3213]">
                <v:stroke dashstyle="dash" endarrow="open"/>
              </v:shape>
            </w:pict>
          </mc:Fallback>
        </mc:AlternateContent>
      </w:r>
    </w:p>
    <w:p w:rsidR="005D6363" w:rsidRPr="00EC1AB2" w:rsidRDefault="0007627A" w:rsidP="007A02A8">
      <w:pPr>
        <w:autoSpaceDE w:val="0"/>
        <w:autoSpaceDN w:val="0"/>
        <w:adjustRightInd w:val="0"/>
        <w:spacing w:after="0" w:line="360" w:lineRule="auto"/>
        <w:jc w:val="both"/>
        <w:rPr>
          <w:rFonts w:ascii="Times New Roman" w:hAnsi="Times New Roman" w:cs="Times New Roman"/>
          <w:b/>
          <w:sz w:val="24"/>
          <w:szCs w:val="24"/>
        </w:rPr>
      </w:pPr>
      <w:r w:rsidRPr="00EC1AB2">
        <w:rPr>
          <w:rFonts w:ascii="Times New Roman" w:hAnsi="Times New Roman" w:cs="Times New Roman"/>
          <w:noProof/>
          <w:sz w:val="24"/>
          <w:szCs w:val="24"/>
          <w:lang w:eastAsia="lt-LT"/>
        </w:rPr>
        <mc:AlternateContent>
          <mc:Choice Requires="wps">
            <w:drawing>
              <wp:anchor distT="0" distB="0" distL="114300" distR="114300" simplePos="0" relativeHeight="251842560" behindDoc="0" locked="0" layoutInCell="1" allowOverlap="1" wp14:anchorId="382B238B" wp14:editId="69FF6854">
                <wp:simplePos x="0" y="0"/>
                <wp:positionH relativeFrom="column">
                  <wp:posOffset>2072640</wp:posOffset>
                </wp:positionH>
                <wp:positionV relativeFrom="paragraph">
                  <wp:posOffset>220980</wp:posOffset>
                </wp:positionV>
                <wp:extent cx="1504950" cy="495300"/>
                <wp:effectExtent l="0" t="0" r="19050" b="19050"/>
                <wp:wrapNone/>
                <wp:docPr id="134" name="Text Box 134"/>
                <wp:cNvGraphicFramePr/>
                <a:graphic xmlns:a="http://schemas.openxmlformats.org/drawingml/2006/main">
                  <a:graphicData uri="http://schemas.microsoft.com/office/word/2010/wordprocessingShape">
                    <wps:wsp>
                      <wps:cNvSpPr txBox="1"/>
                      <wps:spPr>
                        <a:xfrm>
                          <a:off x="0" y="0"/>
                          <a:ext cx="1504950" cy="495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C1AB2" w:rsidRPr="00720848" w:rsidRDefault="00EC1AB2" w:rsidP="0007627A">
                            <w:pPr>
                              <w:spacing w:after="0" w:line="240" w:lineRule="auto"/>
                              <w:rPr>
                                <w:rFonts w:ascii="Times New Roman" w:hAnsi="Times New Roman" w:cs="Times New Roman"/>
                                <w:sz w:val="18"/>
                                <w:szCs w:val="18"/>
                              </w:rPr>
                            </w:pPr>
                            <w:r w:rsidRPr="00720848">
                              <w:rPr>
                                <w:rFonts w:ascii="Times New Roman" w:hAnsi="Times New Roman" w:cs="Times New Roman"/>
                                <w:sz w:val="18"/>
                                <w:szCs w:val="18"/>
                              </w:rPr>
                              <w:t>H</w:t>
                            </w:r>
                            <w:r w:rsidRPr="00720848">
                              <w:rPr>
                                <w:rFonts w:ascii="Times New Roman" w:hAnsi="Times New Roman" w:cs="Times New Roman"/>
                                <w:sz w:val="18"/>
                                <w:szCs w:val="18"/>
                                <w:vertAlign w:val="subscript"/>
                              </w:rPr>
                              <w:t>1</w:t>
                            </w:r>
                            <w:r>
                              <w:rPr>
                                <w:rFonts w:ascii="Times New Roman" w:hAnsi="Times New Roman" w:cs="Times New Roman"/>
                                <w:sz w:val="18"/>
                                <w:szCs w:val="18"/>
                              </w:rPr>
                              <w:t xml:space="preserve"> – RKF investicijos</w:t>
                            </w:r>
                            <w:r w:rsidRPr="00720848">
                              <w:rPr>
                                <w:rFonts w:ascii="Times New Roman" w:hAnsi="Times New Roman" w:cs="Times New Roman"/>
                                <w:sz w:val="18"/>
                                <w:szCs w:val="18"/>
                              </w:rPr>
                              <w:t xml:space="preserve"> įtakoja šalies pasiekimus inovacijų srityje</w:t>
                            </w:r>
                          </w:p>
                          <w:p w:rsidR="00EC1AB2" w:rsidRPr="00A2756D" w:rsidRDefault="00EC1AB2" w:rsidP="0007627A">
                            <w:pPr>
                              <w:jc w:val="center"/>
                              <w:rPr>
                                <w:rFonts w:ascii="Times New Roman" w:hAnsi="Times New Roman" w:cs="Times New Roman"/>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134" o:spid="_x0000_s1038" type="#_x0000_t202" style="position:absolute;left:0;text-align:left;margin-left:163.2pt;margin-top:17.4pt;width:118.5pt;height:39pt;z-index:2518425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" fillcolor="white [3201]" strokeweight=".5pt">
                <v:textbox>
                  <w:txbxContent>
                    <w:p w:rsidR="00A03476" w:rsidRPr="00720848" w:rsidRDefault="00A03476" w:rsidP="0007627A">
                      <w:pPr>
                        <w:spacing w:after="0" w:line="240" w:lineRule="auto"/>
                        <w:rPr>
                          <w:rFonts w:ascii="Times New Roman" w:hAnsi="Times New Roman" w:cs="Times New Roman"/>
                          <w:sz w:val="18"/>
                          <w:szCs w:val="18"/>
                        </w:rPr>
                      </w:pPr>
                      <w:r w:rsidRPr="00720848">
                        <w:rPr>
                          <w:rFonts w:ascii="Times New Roman" w:hAnsi="Times New Roman" w:cs="Times New Roman"/>
                          <w:sz w:val="18"/>
                          <w:szCs w:val="18"/>
                        </w:rPr>
                        <w:t>H</w:t>
                      </w:r>
                      <w:r w:rsidRPr="00720848">
                        <w:rPr>
                          <w:rFonts w:ascii="Times New Roman" w:hAnsi="Times New Roman" w:cs="Times New Roman"/>
                          <w:sz w:val="18"/>
                          <w:szCs w:val="18"/>
                          <w:vertAlign w:val="subscript"/>
                        </w:rPr>
                        <w:t>1</w:t>
                      </w:r>
                      <w:r>
                        <w:rPr>
                          <w:rFonts w:ascii="Times New Roman" w:hAnsi="Times New Roman" w:cs="Times New Roman"/>
                          <w:sz w:val="18"/>
                          <w:szCs w:val="18"/>
                        </w:rPr>
                        <w:t xml:space="preserve"> – RKF investicijos</w:t>
                      </w:r>
                      <w:r w:rsidRPr="00720848">
                        <w:rPr>
                          <w:rFonts w:ascii="Times New Roman" w:hAnsi="Times New Roman" w:cs="Times New Roman"/>
                          <w:sz w:val="18"/>
                          <w:szCs w:val="18"/>
                        </w:rPr>
                        <w:t xml:space="preserve"> įtakoja šalies pasiekimus inovacijų srityje</w:t>
                      </w:r>
                    </w:p>
                    <w:p w:rsidR="00A03476" w:rsidRPr="00A2756D" w:rsidRDefault="00A03476" w:rsidP="0007627A">
                      <w:pPr>
                        <w:jc w:val="center"/>
                        <w:rPr>
                          <w:rFonts w:ascii="Times New Roman" w:hAnsi="Times New Roman" w:cs="Times New Roman"/>
                        </w:rPr>
                      </w:pPr>
                    </w:p>
                  </w:txbxContent>
                </v:textbox>
              </v:shape>
            </w:pict>
          </mc:Fallback>
        </mc:AlternateContent>
      </w:r>
      <w:r w:rsidR="006E5375" w:rsidRPr="00EC1AB2">
        <w:rPr>
          <w:rFonts w:ascii="Times New Roman" w:hAnsi="Times New Roman" w:cs="Times New Roman"/>
          <w:noProof/>
          <w:sz w:val="24"/>
          <w:szCs w:val="24"/>
          <w:lang w:eastAsia="lt-LT"/>
        </w:rPr>
        <mc:AlternateContent>
          <mc:Choice Requires="wps">
            <w:drawing>
              <wp:anchor distT="0" distB="0" distL="114300" distR="114300" simplePos="0" relativeHeight="251824128" behindDoc="0" locked="0" layoutInCell="1" allowOverlap="1" wp14:anchorId="065260BF" wp14:editId="21562707">
                <wp:simplePos x="0" y="0"/>
                <wp:positionH relativeFrom="column">
                  <wp:posOffset>5715</wp:posOffset>
                </wp:positionH>
                <wp:positionV relativeFrom="paragraph">
                  <wp:posOffset>220980</wp:posOffset>
                </wp:positionV>
                <wp:extent cx="1504950" cy="495300"/>
                <wp:effectExtent l="0" t="0" r="19050" b="19050"/>
                <wp:wrapNone/>
                <wp:docPr id="121" name="Text Box 121"/>
                <wp:cNvGraphicFramePr/>
                <a:graphic xmlns:a="http://schemas.openxmlformats.org/drawingml/2006/main">
                  <a:graphicData uri="http://schemas.microsoft.com/office/word/2010/wordprocessingShape">
                    <wps:wsp>
                      <wps:cNvSpPr txBox="1"/>
                      <wps:spPr>
                        <a:xfrm>
                          <a:off x="0" y="0"/>
                          <a:ext cx="1504950" cy="495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C1AB2" w:rsidRPr="00720848" w:rsidRDefault="00EC1AB2" w:rsidP="006E5375">
                            <w:pPr>
                              <w:spacing w:after="0" w:line="240" w:lineRule="auto"/>
                              <w:rPr>
                                <w:rFonts w:ascii="Times New Roman" w:hAnsi="Times New Roman" w:cs="Times New Roman"/>
                                <w:sz w:val="18"/>
                                <w:szCs w:val="18"/>
                              </w:rPr>
                            </w:pPr>
                            <w:r w:rsidRPr="00720848">
                              <w:rPr>
                                <w:rFonts w:ascii="Times New Roman" w:hAnsi="Times New Roman" w:cs="Times New Roman"/>
                                <w:sz w:val="18"/>
                                <w:szCs w:val="18"/>
                              </w:rPr>
                              <w:t>H</w:t>
                            </w:r>
                            <w:r w:rsidRPr="00720848">
                              <w:rPr>
                                <w:rFonts w:ascii="Times New Roman" w:hAnsi="Times New Roman" w:cs="Times New Roman"/>
                                <w:sz w:val="18"/>
                                <w:szCs w:val="18"/>
                                <w:vertAlign w:val="subscript"/>
                              </w:rPr>
                              <w:t>0</w:t>
                            </w:r>
                            <w:r>
                              <w:rPr>
                                <w:rFonts w:ascii="Times New Roman" w:hAnsi="Times New Roman" w:cs="Times New Roman"/>
                                <w:sz w:val="18"/>
                                <w:szCs w:val="18"/>
                              </w:rPr>
                              <w:t xml:space="preserve"> – RKF investicijos</w:t>
                            </w:r>
                            <w:r w:rsidRPr="00720848">
                              <w:rPr>
                                <w:rFonts w:ascii="Times New Roman" w:hAnsi="Times New Roman" w:cs="Times New Roman"/>
                                <w:sz w:val="18"/>
                                <w:szCs w:val="18"/>
                              </w:rPr>
                              <w:t xml:space="preserve"> neįtakoja šalies pasiekimų inovacijų srityje</w:t>
                            </w:r>
                          </w:p>
                          <w:p w:rsidR="00EC1AB2" w:rsidRPr="00A2756D" w:rsidRDefault="00EC1AB2" w:rsidP="006E5375">
                            <w:pPr>
                              <w:jc w:val="center"/>
                              <w:rPr>
                                <w:rFonts w:ascii="Times New Roman" w:hAnsi="Times New Roman" w:cs="Times New Roman"/>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121" o:spid="_x0000_s1039" type="#_x0000_t202" style="position:absolute;left:0;text-align:left;margin-left:.45pt;margin-top:17.4pt;width:118.5pt;height:39pt;z-index:2518241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" fillcolor="white [3201]" strokeweight=".5pt">
                <v:textbox>
                  <w:txbxContent>
                    <w:p w:rsidR="00A03476" w:rsidRPr="00720848" w:rsidRDefault="00A03476" w:rsidP="006E5375">
                      <w:pPr>
                        <w:spacing w:after="0" w:line="240" w:lineRule="auto"/>
                        <w:rPr>
                          <w:rFonts w:ascii="Times New Roman" w:hAnsi="Times New Roman" w:cs="Times New Roman"/>
                          <w:sz w:val="18"/>
                          <w:szCs w:val="18"/>
                        </w:rPr>
                      </w:pPr>
                      <w:r w:rsidRPr="00720848">
                        <w:rPr>
                          <w:rFonts w:ascii="Times New Roman" w:hAnsi="Times New Roman" w:cs="Times New Roman"/>
                          <w:sz w:val="18"/>
                          <w:szCs w:val="18"/>
                        </w:rPr>
                        <w:t>H</w:t>
                      </w:r>
                      <w:r w:rsidRPr="00720848">
                        <w:rPr>
                          <w:rFonts w:ascii="Times New Roman" w:hAnsi="Times New Roman" w:cs="Times New Roman"/>
                          <w:sz w:val="18"/>
                          <w:szCs w:val="18"/>
                          <w:vertAlign w:val="subscript"/>
                        </w:rPr>
                        <w:t>0</w:t>
                      </w:r>
                      <w:r>
                        <w:rPr>
                          <w:rFonts w:ascii="Times New Roman" w:hAnsi="Times New Roman" w:cs="Times New Roman"/>
                          <w:sz w:val="18"/>
                          <w:szCs w:val="18"/>
                        </w:rPr>
                        <w:t xml:space="preserve"> – RKF investicijos</w:t>
                      </w:r>
                      <w:r w:rsidRPr="00720848">
                        <w:rPr>
                          <w:rFonts w:ascii="Times New Roman" w:hAnsi="Times New Roman" w:cs="Times New Roman"/>
                          <w:sz w:val="18"/>
                          <w:szCs w:val="18"/>
                        </w:rPr>
                        <w:t xml:space="preserve"> neįtakoja šalies pasiekimų inovacijų srityje</w:t>
                      </w:r>
                    </w:p>
                    <w:p w:rsidR="00A03476" w:rsidRPr="00A2756D" w:rsidRDefault="00A03476" w:rsidP="006E5375">
                      <w:pPr>
                        <w:jc w:val="center"/>
                        <w:rPr>
                          <w:rFonts w:ascii="Times New Roman" w:hAnsi="Times New Roman" w:cs="Times New Roman"/>
                        </w:rPr>
                      </w:pPr>
                    </w:p>
                  </w:txbxContent>
                </v:textbox>
              </v:shape>
            </w:pict>
          </mc:Fallback>
        </mc:AlternateContent>
      </w:r>
    </w:p>
    <w:p w:rsidR="005D6363" w:rsidRPr="00EC1AB2" w:rsidRDefault="006E5375" w:rsidP="007A02A8">
      <w:pPr>
        <w:autoSpaceDE w:val="0"/>
        <w:autoSpaceDN w:val="0"/>
        <w:adjustRightInd w:val="0"/>
        <w:spacing w:after="0" w:line="360" w:lineRule="auto"/>
        <w:jc w:val="both"/>
        <w:rPr>
          <w:rFonts w:ascii="Times New Roman" w:hAnsi="Times New Roman" w:cs="Times New Roman"/>
          <w:b/>
          <w:sz w:val="24"/>
          <w:szCs w:val="24"/>
        </w:rPr>
      </w:pPr>
      <w:r w:rsidRPr="00EC1AB2">
        <w:rPr>
          <w:rFonts w:ascii="Times New Roman" w:hAnsi="Times New Roman" w:cs="Times New Roman"/>
          <w:b/>
          <w:noProof/>
          <w:sz w:val="24"/>
          <w:szCs w:val="24"/>
          <w:lang w:eastAsia="lt-LT"/>
        </w:rPr>
        <mc:AlternateContent>
          <mc:Choice Requires="wps">
            <w:drawing>
              <wp:anchor distT="0" distB="0" distL="114300" distR="114300" simplePos="0" relativeHeight="251830272" behindDoc="0" locked="0" layoutInCell="1" allowOverlap="1" wp14:anchorId="0123EE65" wp14:editId="5A7D4AAB">
                <wp:simplePos x="0" y="0"/>
                <wp:positionH relativeFrom="column">
                  <wp:posOffset>1796415</wp:posOffset>
                </wp:positionH>
                <wp:positionV relativeFrom="paragraph">
                  <wp:posOffset>205740</wp:posOffset>
                </wp:positionV>
                <wp:extent cx="276225" cy="0"/>
                <wp:effectExtent l="0" t="76200" r="28575" b="114300"/>
                <wp:wrapNone/>
                <wp:docPr id="126" name="Straight Arrow Connector 126"/>
                <wp:cNvGraphicFramePr/>
                <a:graphic xmlns:a="http://schemas.openxmlformats.org/drawingml/2006/main">
                  <a:graphicData uri="http://schemas.microsoft.com/office/word/2010/wordprocessingShape">
                    <wps:wsp>
                      <wps:cNvCnPr/>
                      <wps:spPr>
                        <a:xfrm rot="10800000" flipH="1">
                          <a:off x="0" y="0"/>
                          <a:ext cx="276225"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126" o:spid="_x0000_s1026" type="#_x0000_t32" style="position:absolute;margin-left:141.45pt;margin-top:16.2pt;width:21.75pt;height:0;rotation:180;flip:x;z-index:251830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" strokecolor="black [3213]">
                <v:stroke endarrow="open"/>
              </v:shape>
            </w:pict>
          </mc:Fallback>
        </mc:AlternateContent>
      </w:r>
      <w:r w:rsidRPr="00EC1AB2">
        <w:rPr>
          <w:rFonts w:ascii="Times New Roman" w:hAnsi="Times New Roman" w:cs="Times New Roman"/>
          <w:b/>
          <w:noProof/>
          <w:sz w:val="24"/>
          <w:szCs w:val="24"/>
          <w:lang w:eastAsia="lt-LT"/>
        </w:rPr>
        <mc:AlternateContent>
          <mc:Choice Requires="wps">
            <w:drawing>
              <wp:anchor distT="0" distB="0" distL="114300" distR="114300" simplePos="0" relativeHeight="251828224" behindDoc="0" locked="0" layoutInCell="1" allowOverlap="1" wp14:anchorId="13A661E2" wp14:editId="7105DF49">
                <wp:simplePos x="0" y="0"/>
                <wp:positionH relativeFrom="column">
                  <wp:posOffset>1510665</wp:posOffset>
                </wp:positionH>
                <wp:positionV relativeFrom="paragraph">
                  <wp:posOffset>205740</wp:posOffset>
                </wp:positionV>
                <wp:extent cx="276225" cy="0"/>
                <wp:effectExtent l="38100" t="76200" r="0" b="114300"/>
                <wp:wrapNone/>
                <wp:docPr id="125" name="Straight Arrow Connector 125"/>
                <wp:cNvGraphicFramePr/>
                <a:graphic xmlns:a="http://schemas.openxmlformats.org/drawingml/2006/main">
                  <a:graphicData uri="http://schemas.microsoft.com/office/word/2010/wordprocessingShape">
                    <wps:wsp>
                      <wps:cNvCnPr/>
                      <wps:spPr>
                        <a:xfrm flipH="1">
                          <a:off x="0" y="0"/>
                          <a:ext cx="276225"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125" o:spid="_x0000_s1026" type="#_x0000_t32" style="position:absolute;margin-left:118.95pt;margin-top:16.2pt;width:21.75pt;height:0;flip:x;z-index:251828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" strokecolor="black [3213]">
                <v:stroke endarrow="open"/>
              </v:shape>
            </w:pict>
          </mc:Fallback>
        </mc:AlternateContent>
      </w:r>
    </w:p>
    <w:p w:rsidR="005D6363" w:rsidRPr="00EC1AB2" w:rsidRDefault="006E5375" w:rsidP="007A02A8">
      <w:pPr>
        <w:autoSpaceDE w:val="0"/>
        <w:autoSpaceDN w:val="0"/>
        <w:adjustRightInd w:val="0"/>
        <w:spacing w:after="0" w:line="360" w:lineRule="auto"/>
        <w:jc w:val="both"/>
        <w:rPr>
          <w:rFonts w:ascii="Times New Roman" w:hAnsi="Times New Roman" w:cs="Times New Roman"/>
          <w:b/>
          <w:sz w:val="24"/>
          <w:szCs w:val="24"/>
        </w:rPr>
      </w:pPr>
      <w:r w:rsidRPr="00EC1AB2">
        <w:rPr>
          <w:rFonts w:ascii="Times New Roman" w:hAnsi="Times New Roman" w:cs="Times New Roman"/>
          <w:b/>
          <w:noProof/>
          <w:sz w:val="24"/>
          <w:szCs w:val="24"/>
          <w:lang w:eastAsia="lt-LT"/>
        </w:rPr>
        <mc:AlternateContent>
          <mc:Choice Requires="wps">
            <w:drawing>
              <wp:anchor distT="0" distB="0" distL="114300" distR="114300" simplePos="0" relativeHeight="251833344" behindDoc="0" locked="0" layoutInCell="1" allowOverlap="1" wp14:anchorId="0953D89A" wp14:editId="70A940C4">
                <wp:simplePos x="0" y="0"/>
                <wp:positionH relativeFrom="column">
                  <wp:posOffset>2815590</wp:posOffset>
                </wp:positionH>
                <wp:positionV relativeFrom="paragraph">
                  <wp:posOffset>190500</wp:posOffset>
                </wp:positionV>
                <wp:extent cx="0" cy="276225"/>
                <wp:effectExtent l="95250" t="0" r="57150" b="66675"/>
                <wp:wrapNone/>
                <wp:docPr id="128" name="Straight Arrow Connector 128"/>
                <wp:cNvGraphicFramePr/>
                <a:graphic xmlns:a="http://schemas.openxmlformats.org/drawingml/2006/main">
                  <a:graphicData uri="http://schemas.microsoft.com/office/word/2010/wordprocessingShape">
                    <wps:wsp>
                      <wps:cNvCnPr/>
                      <wps:spPr>
                        <a:xfrm>
                          <a:off x="0" y="0"/>
                          <a:ext cx="0" cy="2762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128" o:spid="_x0000_s1026" type="#_x0000_t32" style="position:absolute;margin-left:221.7pt;margin-top:15pt;width:0;height:21.75pt;z-index:251833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" strokecolor="black [3213]">
                <v:stroke endarrow="open"/>
              </v:shape>
            </w:pict>
          </mc:Fallback>
        </mc:AlternateContent>
      </w:r>
    </w:p>
    <w:p w:rsidR="005D6363" w:rsidRPr="00EC1AB2" w:rsidRDefault="0007627A" w:rsidP="007A02A8">
      <w:pPr>
        <w:autoSpaceDE w:val="0"/>
        <w:autoSpaceDN w:val="0"/>
        <w:adjustRightInd w:val="0"/>
        <w:spacing w:after="0" w:line="360" w:lineRule="auto"/>
        <w:jc w:val="both"/>
        <w:rPr>
          <w:rFonts w:ascii="Times New Roman" w:hAnsi="Times New Roman" w:cs="Times New Roman"/>
          <w:b/>
          <w:sz w:val="24"/>
          <w:szCs w:val="24"/>
        </w:rPr>
      </w:pPr>
      <w:r w:rsidRPr="00EC1AB2">
        <w:rPr>
          <w:rFonts w:ascii="Times New Roman" w:hAnsi="Times New Roman" w:cs="Times New Roman"/>
          <w:noProof/>
          <w:sz w:val="24"/>
          <w:szCs w:val="24"/>
          <w:lang w:eastAsia="lt-LT"/>
        </w:rPr>
        <mc:AlternateContent>
          <mc:Choice Requires="wps">
            <w:drawing>
              <wp:anchor distT="0" distB="0" distL="114300" distR="114300" simplePos="0" relativeHeight="251813888" behindDoc="0" locked="0" layoutInCell="1" allowOverlap="1" wp14:anchorId="2826A195" wp14:editId="6D1186B3">
                <wp:simplePos x="0" y="0"/>
                <wp:positionH relativeFrom="column">
                  <wp:posOffset>4015740</wp:posOffset>
                </wp:positionH>
                <wp:positionV relativeFrom="paragraph">
                  <wp:posOffset>204470</wp:posOffset>
                </wp:positionV>
                <wp:extent cx="1924050" cy="495300"/>
                <wp:effectExtent l="0" t="0" r="19050" b="19050"/>
                <wp:wrapNone/>
                <wp:docPr id="110" name="Text Box 110"/>
                <wp:cNvGraphicFramePr/>
                <a:graphic xmlns:a="http://schemas.openxmlformats.org/drawingml/2006/main">
                  <a:graphicData uri="http://schemas.microsoft.com/office/word/2010/wordprocessingShape">
                    <wps:wsp>
                      <wps:cNvSpPr txBox="1"/>
                      <wps:spPr>
                        <a:xfrm>
                          <a:off x="0" y="0"/>
                          <a:ext cx="1924050" cy="495300"/>
                        </a:xfrm>
                        <a:prstGeom prst="rect">
                          <a:avLst/>
                        </a:prstGeom>
                        <a:solidFill>
                          <a:schemeClr val="lt1"/>
                        </a:solidFill>
                        <a:ln w="6350">
                          <a:solidFill>
                            <a:schemeClr val="tx1"/>
                          </a:solidFill>
                          <a:prstDash val="lgDash"/>
                        </a:ln>
                        <a:effectLst/>
                      </wps:spPr>
                      <wps:style>
                        <a:lnRef idx="0">
                          <a:schemeClr val="accent1"/>
                        </a:lnRef>
                        <a:fillRef idx="0">
                          <a:schemeClr val="accent1"/>
                        </a:fillRef>
                        <a:effectRef idx="0">
                          <a:schemeClr val="accent1"/>
                        </a:effectRef>
                        <a:fontRef idx="minor">
                          <a:schemeClr val="dk1"/>
                        </a:fontRef>
                      </wps:style>
                      <wps:txbx>
                        <w:txbxContent>
                          <w:p w:rsidR="00EC1AB2" w:rsidRPr="00545CAF" w:rsidRDefault="00EC1AB2" w:rsidP="005D6363">
                            <w:pPr>
                              <w:rPr>
                                <w:rFonts w:ascii="Times New Roman" w:hAnsi="Times New Roman" w:cs="Times New Roman"/>
                                <w:sz w:val="21"/>
                                <w:szCs w:val="21"/>
                              </w:rPr>
                            </w:pPr>
                            <w:r w:rsidRPr="00545CAF">
                              <w:rPr>
                                <w:rFonts w:ascii="Times New Roman" w:hAnsi="Times New Roman" w:cs="Times New Roman"/>
                                <w:sz w:val="21"/>
                                <w:szCs w:val="21"/>
                              </w:rPr>
                              <w:t>Ekspertinis tyrimas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10" o:spid="_x0000_s1040" type="#_x0000_t202" style="position:absolute;left:0;text-align:left;margin-left:316.2pt;margin-top:16.1pt;width:151.5pt;height:39pt;z-index:251813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" fillcolor="white [3201]" strokecolor="black [3213]" strokeweight=".5pt">
                <v:stroke dashstyle="longDash"/>
                <v:textbox>
                  <w:txbxContent>
                    <w:p w:rsidR="00A03476" w:rsidRPr="00545CAF" w:rsidRDefault="00A03476" w:rsidP="005D6363">
                      <w:pPr>
                        <w:rPr>
                          <w:rFonts w:ascii="Times New Roman" w:hAnsi="Times New Roman" w:cs="Times New Roman"/>
                          <w:sz w:val="21"/>
                          <w:szCs w:val="21"/>
                        </w:rPr>
                      </w:pPr>
                      <w:r w:rsidRPr="00545CAF">
                        <w:rPr>
                          <w:rFonts w:ascii="Times New Roman" w:hAnsi="Times New Roman" w:cs="Times New Roman"/>
                          <w:sz w:val="21"/>
                          <w:szCs w:val="21"/>
                        </w:rPr>
                        <w:t>Ekspertinis tyrimas</w:t>
                      </w:r>
                    </w:p>
                  </w:txbxContent>
                </v:textbox>
              </v:shape>
            </w:pict>
          </mc:Fallback>
        </mc:AlternateContent>
      </w:r>
      <w:r w:rsidRPr="00EC1AB2">
        <w:rPr>
          <w:rFonts w:ascii="Times New Roman" w:hAnsi="Times New Roman" w:cs="Times New Roman"/>
          <w:noProof/>
          <w:sz w:val="24"/>
          <w:szCs w:val="24"/>
          <w:lang w:eastAsia="lt-LT"/>
        </w:rPr>
        <mc:AlternateContent>
          <mc:Choice Requires="wps">
            <w:drawing>
              <wp:anchor distT="0" distB="0" distL="114300" distR="114300" simplePos="0" relativeHeight="251808768" behindDoc="0" locked="0" layoutInCell="1" allowOverlap="1" wp14:anchorId="54697C5C" wp14:editId="6DD4AEA9">
                <wp:simplePos x="0" y="0"/>
                <wp:positionH relativeFrom="column">
                  <wp:posOffset>1824990</wp:posOffset>
                </wp:positionH>
                <wp:positionV relativeFrom="paragraph">
                  <wp:posOffset>204470</wp:posOffset>
                </wp:positionV>
                <wp:extent cx="1924050" cy="495300"/>
                <wp:effectExtent l="0" t="0" r="19050" b="19050"/>
                <wp:wrapNone/>
                <wp:docPr id="111" name="Text Box 111"/>
                <wp:cNvGraphicFramePr/>
                <a:graphic xmlns:a="http://schemas.openxmlformats.org/drawingml/2006/main">
                  <a:graphicData uri="http://schemas.microsoft.com/office/word/2010/wordprocessingShape">
                    <wps:wsp>
                      <wps:cNvSpPr txBox="1"/>
                      <wps:spPr>
                        <a:xfrm>
                          <a:off x="0" y="0"/>
                          <a:ext cx="1924050" cy="495300"/>
                        </a:xfrm>
                        <a:prstGeom prst="rect">
                          <a:avLst/>
                        </a:prstGeom>
                        <a:solidFill>
                          <a:schemeClr val="lt1"/>
                        </a:solidFill>
                        <a:ln w="190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C1AB2" w:rsidRPr="00A2756D" w:rsidRDefault="00EC1AB2" w:rsidP="005D6363">
                            <w:pPr>
                              <w:jc w:val="center"/>
                              <w:rPr>
                                <w:rFonts w:ascii="Times New Roman" w:hAnsi="Times New Roman" w:cs="Times New Roman"/>
                              </w:rPr>
                            </w:pPr>
                            <w:r>
                              <w:rPr>
                                <w:rFonts w:ascii="Times New Roman" w:hAnsi="Times New Roman" w:cs="Times New Roman"/>
                              </w:rPr>
                              <w:t>2 ETAPAS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11" o:spid="_x0000_s1041" type="#_x0000_t202" style="position:absolute;left:0;text-align:left;margin-left:143.7pt;margin-top:16.1pt;width:151.5pt;height:39pt;z-index:251808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" fillcolor="white [3201]" strokeweight="1.5pt">
                <v:textbox>
                  <w:txbxContent>
                    <w:p w:rsidR="00A03476" w:rsidRPr="00A2756D" w:rsidRDefault="00A03476" w:rsidP="005D6363">
                      <w:pPr>
                        <w:jc w:val="center"/>
                        <w:rPr>
                          <w:rFonts w:ascii="Times New Roman" w:hAnsi="Times New Roman" w:cs="Times New Roman"/>
                        </w:rPr>
                      </w:pPr>
                      <w:r>
                        <w:rPr>
                          <w:rFonts w:ascii="Times New Roman" w:hAnsi="Times New Roman" w:cs="Times New Roman"/>
                        </w:rPr>
                        <w:t>2 ETAPAS</w:t>
                      </w:r>
                    </w:p>
                  </w:txbxContent>
                </v:textbox>
              </v:shape>
            </w:pict>
          </mc:Fallback>
        </mc:AlternateContent>
      </w:r>
    </w:p>
    <w:p w:rsidR="005D6363" w:rsidRPr="00EC1AB2" w:rsidRDefault="0007627A" w:rsidP="007A02A8">
      <w:pPr>
        <w:autoSpaceDE w:val="0"/>
        <w:autoSpaceDN w:val="0"/>
        <w:adjustRightInd w:val="0"/>
        <w:spacing w:after="0" w:line="360" w:lineRule="auto"/>
        <w:jc w:val="both"/>
        <w:rPr>
          <w:rFonts w:ascii="Times New Roman" w:hAnsi="Times New Roman" w:cs="Times New Roman"/>
          <w:b/>
          <w:sz w:val="24"/>
          <w:szCs w:val="24"/>
        </w:rPr>
      </w:pPr>
      <w:r w:rsidRPr="00EC1AB2">
        <w:rPr>
          <w:rFonts w:ascii="Times New Roman" w:hAnsi="Times New Roman" w:cs="Times New Roman"/>
          <w:b/>
          <w:noProof/>
          <w:sz w:val="24"/>
          <w:szCs w:val="24"/>
          <w:lang w:eastAsia="lt-LT"/>
        </w:rPr>
        <mc:AlternateContent>
          <mc:Choice Requires="wps">
            <w:drawing>
              <wp:anchor distT="0" distB="0" distL="114300" distR="114300" simplePos="0" relativeHeight="251840512" behindDoc="0" locked="0" layoutInCell="1" allowOverlap="1" wp14:anchorId="133D700D" wp14:editId="37005081">
                <wp:simplePos x="0" y="0"/>
                <wp:positionH relativeFrom="column">
                  <wp:posOffset>3749040</wp:posOffset>
                </wp:positionH>
                <wp:positionV relativeFrom="paragraph">
                  <wp:posOffset>178434</wp:posOffset>
                </wp:positionV>
                <wp:extent cx="266700" cy="0"/>
                <wp:effectExtent l="38100" t="76200" r="0" b="114300"/>
                <wp:wrapNone/>
                <wp:docPr id="133" name="Straight Arrow Connector 133"/>
                <wp:cNvGraphicFramePr/>
                <a:graphic xmlns:a="http://schemas.openxmlformats.org/drawingml/2006/main">
                  <a:graphicData uri="http://schemas.microsoft.com/office/word/2010/wordprocessingShape">
                    <wps:wsp>
                      <wps:cNvCnPr/>
                      <wps:spPr>
                        <a:xfrm rot="10800000">
                          <a:off x="0" y="0"/>
                          <a:ext cx="266700" cy="0"/>
                        </a:xfrm>
                        <a:prstGeom prst="straightConnector1">
                          <a:avLst/>
                        </a:prstGeom>
                        <a:ln>
                          <a:solidFill>
                            <a:schemeClr val="tx1"/>
                          </a:solidFill>
                          <a:prstDash val="dash"/>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133" o:spid="_x0000_s1026" type="#_x0000_t32" style="position:absolute;margin-left:295.2pt;margin-top:14.05pt;width:21pt;height:0;rotation:180;z-index:2518405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" strokecolor="black [3213]">
                <v:stroke dashstyle="dash" endarrow="open"/>
              </v:shape>
            </w:pict>
          </mc:Fallback>
        </mc:AlternateContent>
      </w:r>
    </w:p>
    <w:p w:rsidR="005D6363" w:rsidRPr="00EC1AB2" w:rsidRDefault="006E5375" w:rsidP="007A02A8">
      <w:pPr>
        <w:autoSpaceDE w:val="0"/>
        <w:autoSpaceDN w:val="0"/>
        <w:adjustRightInd w:val="0"/>
        <w:spacing w:after="0" w:line="360" w:lineRule="auto"/>
        <w:jc w:val="both"/>
        <w:rPr>
          <w:rFonts w:ascii="Times New Roman" w:hAnsi="Times New Roman" w:cs="Times New Roman"/>
          <w:b/>
          <w:sz w:val="24"/>
          <w:szCs w:val="24"/>
        </w:rPr>
      </w:pPr>
      <w:r w:rsidRPr="00EC1AB2">
        <w:rPr>
          <w:rFonts w:ascii="Times New Roman" w:hAnsi="Times New Roman" w:cs="Times New Roman"/>
          <w:b/>
          <w:noProof/>
          <w:sz w:val="24"/>
          <w:szCs w:val="24"/>
          <w:lang w:eastAsia="lt-LT"/>
        </w:rPr>
        <mc:AlternateContent>
          <mc:Choice Requires="wps">
            <w:drawing>
              <wp:anchor distT="0" distB="0" distL="114300" distR="114300" simplePos="0" relativeHeight="251837440" behindDoc="0" locked="0" layoutInCell="1" allowOverlap="1" wp14:anchorId="221D3E08" wp14:editId="56E1723A">
                <wp:simplePos x="0" y="0"/>
                <wp:positionH relativeFrom="column">
                  <wp:posOffset>2767965</wp:posOffset>
                </wp:positionH>
                <wp:positionV relativeFrom="paragraph">
                  <wp:posOffset>173355</wp:posOffset>
                </wp:positionV>
                <wp:extent cx="0" cy="276225"/>
                <wp:effectExtent l="95250" t="0" r="57150" b="66675"/>
                <wp:wrapNone/>
                <wp:docPr id="130" name="Straight Arrow Connector 130"/>
                <wp:cNvGraphicFramePr/>
                <a:graphic xmlns:a="http://schemas.openxmlformats.org/drawingml/2006/main">
                  <a:graphicData uri="http://schemas.microsoft.com/office/word/2010/wordprocessingShape">
                    <wps:wsp>
                      <wps:cNvCnPr/>
                      <wps:spPr>
                        <a:xfrm>
                          <a:off x="0" y="0"/>
                          <a:ext cx="0" cy="2762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130" o:spid="_x0000_s1026" type="#_x0000_t32" style="position:absolute;margin-left:217.95pt;margin-top:13.65pt;width:0;height:21.75pt;z-index:2518374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" strokecolor="black [3213]">
                <v:stroke endarrow="open"/>
              </v:shape>
            </w:pict>
          </mc:Fallback>
        </mc:AlternateContent>
      </w:r>
    </w:p>
    <w:p w:rsidR="005D6363" w:rsidRPr="00EC1AB2" w:rsidRDefault="006E5375" w:rsidP="007A02A8">
      <w:pPr>
        <w:autoSpaceDE w:val="0"/>
        <w:autoSpaceDN w:val="0"/>
        <w:adjustRightInd w:val="0"/>
        <w:spacing w:after="0" w:line="360" w:lineRule="auto"/>
        <w:jc w:val="both"/>
        <w:rPr>
          <w:rFonts w:ascii="Times New Roman" w:hAnsi="Times New Roman" w:cs="Times New Roman"/>
          <w:b/>
          <w:sz w:val="24"/>
          <w:szCs w:val="24"/>
        </w:rPr>
      </w:pPr>
      <w:r w:rsidRPr="00EC1AB2">
        <w:rPr>
          <w:rFonts w:ascii="Times New Roman" w:hAnsi="Times New Roman" w:cs="Times New Roman"/>
          <w:noProof/>
          <w:sz w:val="24"/>
          <w:szCs w:val="24"/>
          <w:lang w:eastAsia="lt-LT"/>
        </w:rPr>
        <mc:AlternateContent>
          <mc:Choice Requires="wps">
            <w:drawing>
              <wp:anchor distT="0" distB="0" distL="114300" distR="114300" simplePos="0" relativeHeight="251835392" behindDoc="0" locked="0" layoutInCell="1" allowOverlap="1" wp14:anchorId="21E7F330" wp14:editId="5A69434A">
                <wp:simplePos x="0" y="0"/>
                <wp:positionH relativeFrom="column">
                  <wp:posOffset>1796415</wp:posOffset>
                </wp:positionH>
                <wp:positionV relativeFrom="paragraph">
                  <wp:posOffset>187960</wp:posOffset>
                </wp:positionV>
                <wp:extent cx="1924050" cy="495300"/>
                <wp:effectExtent l="0" t="0" r="19050" b="19050"/>
                <wp:wrapNone/>
                <wp:docPr id="129" name="Text Box 129"/>
                <wp:cNvGraphicFramePr/>
                <a:graphic xmlns:a="http://schemas.openxmlformats.org/drawingml/2006/main">
                  <a:graphicData uri="http://schemas.microsoft.com/office/word/2010/wordprocessingShape">
                    <wps:wsp>
                      <wps:cNvSpPr txBox="1"/>
                      <wps:spPr>
                        <a:xfrm>
                          <a:off x="0" y="0"/>
                          <a:ext cx="1924050" cy="495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C1AB2" w:rsidRPr="005D6363" w:rsidRDefault="00EC1AB2" w:rsidP="006E5375">
                            <w:pPr>
                              <w:rPr>
                                <w:rFonts w:ascii="Times New Roman" w:hAnsi="Times New Roman" w:cs="Times New Roman"/>
                                <w:sz w:val="18"/>
                                <w:szCs w:val="18"/>
                              </w:rPr>
                            </w:pPr>
                            <w:r w:rsidRPr="005D6363">
                              <w:rPr>
                                <w:rFonts w:ascii="Times New Roman" w:hAnsi="Times New Roman" w:cs="Times New Roman"/>
                                <w:sz w:val="18"/>
                                <w:szCs w:val="18"/>
                              </w:rPr>
                              <w:t>RKF plėtros problemų Lietuvoje identifikavimas</w:t>
                            </w:r>
                          </w:p>
                          <w:p w:rsidR="00EC1AB2" w:rsidRPr="00A2756D" w:rsidRDefault="00EC1AB2" w:rsidP="006E5375">
                            <w:pPr>
                              <w:jc w:val="center"/>
                              <w:rPr>
                                <w:rFonts w:ascii="Times New Roman" w:hAnsi="Times New Roman" w:cs="Times New Roman"/>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29" o:spid="_x0000_s1042" type="#_x0000_t202" style="position:absolute;left:0;text-align:left;margin-left:141.45pt;margin-top:14.8pt;width:151.5pt;height:39pt;z-index:2518353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" fillcolor="white [3201]" strokeweight=".5pt">
                <v:textbox>
                  <w:txbxContent>
                    <w:p w:rsidR="00A03476" w:rsidRPr="005D6363" w:rsidRDefault="00A03476" w:rsidP="006E5375">
                      <w:pPr>
                        <w:rPr>
                          <w:rFonts w:ascii="Times New Roman" w:hAnsi="Times New Roman" w:cs="Times New Roman"/>
                          <w:sz w:val="18"/>
                          <w:szCs w:val="18"/>
                        </w:rPr>
                      </w:pPr>
                      <w:r w:rsidRPr="005D6363">
                        <w:rPr>
                          <w:rFonts w:ascii="Times New Roman" w:hAnsi="Times New Roman" w:cs="Times New Roman"/>
                          <w:sz w:val="18"/>
                          <w:szCs w:val="18"/>
                        </w:rPr>
                        <w:t>RKF plėtros problemų Lietuvoje identifikavimas</w:t>
                      </w:r>
                    </w:p>
                    <w:p w:rsidR="00A03476" w:rsidRPr="00A2756D" w:rsidRDefault="00A03476" w:rsidP="006E5375">
                      <w:pPr>
                        <w:jc w:val="center"/>
                        <w:rPr>
                          <w:rFonts w:ascii="Times New Roman" w:hAnsi="Times New Roman" w:cs="Times New Roman"/>
                        </w:rPr>
                      </w:pPr>
                    </w:p>
                  </w:txbxContent>
                </v:textbox>
              </v:shape>
            </w:pict>
          </mc:Fallback>
        </mc:AlternateContent>
      </w:r>
    </w:p>
    <w:p w:rsidR="005D6363" w:rsidRPr="00EC1AB2" w:rsidRDefault="005D6363" w:rsidP="007A02A8">
      <w:pPr>
        <w:autoSpaceDE w:val="0"/>
        <w:autoSpaceDN w:val="0"/>
        <w:adjustRightInd w:val="0"/>
        <w:spacing w:after="0" w:line="360" w:lineRule="auto"/>
        <w:jc w:val="both"/>
        <w:rPr>
          <w:rFonts w:ascii="Times New Roman" w:hAnsi="Times New Roman" w:cs="Times New Roman"/>
          <w:b/>
          <w:sz w:val="24"/>
          <w:szCs w:val="24"/>
        </w:rPr>
      </w:pPr>
    </w:p>
    <w:p w:rsidR="005D6363" w:rsidRPr="00EC1AB2" w:rsidRDefault="006E5375" w:rsidP="007A02A8">
      <w:pPr>
        <w:autoSpaceDE w:val="0"/>
        <w:autoSpaceDN w:val="0"/>
        <w:adjustRightInd w:val="0"/>
        <w:spacing w:after="0" w:line="360" w:lineRule="auto"/>
        <w:jc w:val="both"/>
        <w:rPr>
          <w:rFonts w:ascii="Times New Roman" w:hAnsi="Times New Roman" w:cs="Times New Roman"/>
          <w:b/>
          <w:sz w:val="24"/>
          <w:szCs w:val="24"/>
        </w:rPr>
      </w:pPr>
      <w:r w:rsidRPr="00EC1AB2">
        <w:rPr>
          <w:rFonts w:ascii="Times New Roman" w:hAnsi="Times New Roman" w:cs="Times New Roman"/>
          <w:b/>
          <w:noProof/>
          <w:sz w:val="24"/>
          <w:szCs w:val="24"/>
          <w:lang w:eastAsia="lt-LT"/>
        </w:rPr>
        <mc:AlternateContent>
          <mc:Choice Requires="wps">
            <w:drawing>
              <wp:anchor distT="0" distB="0" distL="114300" distR="114300" simplePos="0" relativeHeight="251839488" behindDoc="0" locked="0" layoutInCell="1" allowOverlap="1" wp14:anchorId="13475955" wp14:editId="333AD77D">
                <wp:simplePos x="0" y="0"/>
                <wp:positionH relativeFrom="column">
                  <wp:posOffset>2767965</wp:posOffset>
                </wp:positionH>
                <wp:positionV relativeFrom="paragraph">
                  <wp:posOffset>156845</wp:posOffset>
                </wp:positionV>
                <wp:extent cx="0" cy="276225"/>
                <wp:effectExtent l="95250" t="0" r="57150" b="66675"/>
                <wp:wrapNone/>
                <wp:docPr id="131" name="Straight Arrow Connector 131"/>
                <wp:cNvGraphicFramePr/>
                <a:graphic xmlns:a="http://schemas.openxmlformats.org/drawingml/2006/main">
                  <a:graphicData uri="http://schemas.microsoft.com/office/word/2010/wordprocessingShape">
                    <wps:wsp>
                      <wps:cNvCnPr/>
                      <wps:spPr>
                        <a:xfrm>
                          <a:off x="0" y="0"/>
                          <a:ext cx="0" cy="2762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131" o:spid="_x0000_s1026" type="#_x0000_t32" style="position:absolute;margin-left:217.95pt;margin-top:12.35pt;width:0;height:21.75pt;z-index:2518394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" strokecolor="black [3213]">
                <v:stroke endarrow="open"/>
              </v:shape>
            </w:pict>
          </mc:Fallback>
        </mc:AlternateContent>
      </w:r>
    </w:p>
    <w:p w:rsidR="005D6363" w:rsidRPr="00EC1AB2" w:rsidRDefault="006E5375" w:rsidP="007A02A8">
      <w:pPr>
        <w:autoSpaceDE w:val="0"/>
        <w:autoSpaceDN w:val="0"/>
        <w:adjustRightInd w:val="0"/>
        <w:spacing w:after="0" w:line="360" w:lineRule="auto"/>
        <w:jc w:val="both"/>
        <w:rPr>
          <w:rFonts w:ascii="Times New Roman" w:hAnsi="Times New Roman" w:cs="Times New Roman"/>
          <w:b/>
          <w:sz w:val="24"/>
          <w:szCs w:val="24"/>
        </w:rPr>
      </w:pPr>
      <w:r w:rsidRPr="00EC1AB2">
        <w:rPr>
          <w:rFonts w:ascii="Times New Roman" w:hAnsi="Times New Roman" w:cs="Times New Roman"/>
          <w:noProof/>
          <w:sz w:val="24"/>
          <w:szCs w:val="24"/>
          <w:lang w:eastAsia="lt-LT"/>
        </w:rPr>
        <mc:AlternateContent>
          <mc:Choice Requires="wps">
            <w:drawing>
              <wp:anchor distT="0" distB="0" distL="114300" distR="114300" simplePos="0" relativeHeight="251815936" behindDoc="0" locked="0" layoutInCell="1" allowOverlap="1" wp14:anchorId="7369A66E" wp14:editId="3722C9DD">
                <wp:simplePos x="0" y="0"/>
                <wp:positionH relativeFrom="column">
                  <wp:posOffset>1824990</wp:posOffset>
                </wp:positionH>
                <wp:positionV relativeFrom="paragraph">
                  <wp:posOffset>189230</wp:posOffset>
                </wp:positionV>
                <wp:extent cx="1924050" cy="495300"/>
                <wp:effectExtent l="0" t="0" r="19050" b="19050"/>
                <wp:wrapNone/>
                <wp:docPr id="115" name="Text Box 115"/>
                <wp:cNvGraphicFramePr/>
                <a:graphic xmlns:a="http://schemas.openxmlformats.org/drawingml/2006/main">
                  <a:graphicData uri="http://schemas.microsoft.com/office/word/2010/wordprocessingShape">
                    <wps:wsp>
                      <wps:cNvSpPr txBox="1"/>
                      <wps:spPr>
                        <a:xfrm>
                          <a:off x="0" y="0"/>
                          <a:ext cx="1924050" cy="495300"/>
                        </a:xfrm>
                        <a:prstGeom prst="rect">
                          <a:avLst/>
                        </a:prstGeom>
                        <a:solidFill>
                          <a:schemeClr val="lt1"/>
                        </a:solidFill>
                        <a:ln w="190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C1AB2" w:rsidRPr="00A2756D" w:rsidRDefault="00EC1AB2" w:rsidP="005D6363">
                            <w:pPr>
                              <w:rPr>
                                <w:rFonts w:ascii="Times New Roman" w:hAnsi="Times New Roman" w:cs="Times New Roman"/>
                              </w:rPr>
                            </w:pPr>
                            <w:r>
                              <w:rPr>
                                <w:rFonts w:ascii="Times New Roman" w:hAnsi="Times New Roman" w:cs="Times New Roman"/>
                              </w:rPr>
                              <w:t>PASIŪLYMŲ PATEIKIMAS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15" o:spid="_x0000_s1043" type="#_x0000_t202" style="position:absolute;left:0;text-align:left;margin-left:143.7pt;margin-top:14.9pt;width:151.5pt;height:39pt;z-index:2518159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" fillcolor="white [3201]" strokeweight="1.5pt">
                <v:textbox>
                  <w:txbxContent>
                    <w:p w:rsidR="00A03476" w:rsidRPr="00A2756D" w:rsidRDefault="00A03476" w:rsidP="005D6363">
                      <w:pPr>
                        <w:rPr>
                          <w:rFonts w:ascii="Times New Roman" w:hAnsi="Times New Roman" w:cs="Times New Roman"/>
                        </w:rPr>
                      </w:pPr>
                      <w:r>
                        <w:rPr>
                          <w:rFonts w:ascii="Times New Roman" w:hAnsi="Times New Roman" w:cs="Times New Roman"/>
                        </w:rPr>
                        <w:t>PASIŪLYMŲ PATEIKIMAS</w:t>
                      </w:r>
                    </w:p>
                  </w:txbxContent>
                </v:textbox>
              </v:shape>
            </w:pict>
          </mc:Fallback>
        </mc:AlternateContent>
      </w:r>
    </w:p>
    <w:p w:rsidR="005D6363" w:rsidRPr="00EC1AB2" w:rsidRDefault="005D6363" w:rsidP="007A02A8">
      <w:pPr>
        <w:autoSpaceDE w:val="0"/>
        <w:autoSpaceDN w:val="0"/>
        <w:adjustRightInd w:val="0"/>
        <w:spacing w:after="0" w:line="360" w:lineRule="auto"/>
        <w:jc w:val="both"/>
        <w:rPr>
          <w:rFonts w:ascii="Times New Roman" w:hAnsi="Times New Roman" w:cs="Times New Roman"/>
          <w:b/>
          <w:sz w:val="24"/>
          <w:szCs w:val="24"/>
        </w:rPr>
      </w:pPr>
    </w:p>
    <w:p w:rsidR="005D6363" w:rsidRPr="00EC1AB2" w:rsidRDefault="005D6363" w:rsidP="007A02A8">
      <w:pPr>
        <w:autoSpaceDE w:val="0"/>
        <w:autoSpaceDN w:val="0"/>
        <w:adjustRightInd w:val="0"/>
        <w:spacing w:after="0" w:line="360" w:lineRule="auto"/>
        <w:jc w:val="both"/>
        <w:rPr>
          <w:rFonts w:ascii="Times New Roman" w:hAnsi="Times New Roman" w:cs="Times New Roman"/>
          <w:b/>
          <w:sz w:val="24"/>
          <w:szCs w:val="24"/>
        </w:rPr>
      </w:pPr>
    </w:p>
    <w:p w:rsidR="005D6363" w:rsidRPr="00EC1AB2" w:rsidRDefault="005D6363" w:rsidP="007A02A8">
      <w:pPr>
        <w:autoSpaceDE w:val="0"/>
        <w:autoSpaceDN w:val="0"/>
        <w:adjustRightInd w:val="0"/>
        <w:spacing w:after="0" w:line="360" w:lineRule="auto"/>
        <w:jc w:val="both"/>
        <w:rPr>
          <w:rFonts w:ascii="Times New Roman" w:hAnsi="Times New Roman" w:cs="Times New Roman"/>
          <w:b/>
          <w:sz w:val="24"/>
          <w:szCs w:val="24"/>
        </w:rPr>
      </w:pPr>
    </w:p>
    <w:p w:rsidR="005D6363" w:rsidRPr="00EC1AB2" w:rsidRDefault="00722DA5" w:rsidP="007A02A8">
      <w:pPr>
        <w:autoSpaceDE w:val="0"/>
        <w:autoSpaceDN w:val="0"/>
        <w:adjustRightInd w:val="0"/>
        <w:spacing w:after="0" w:line="360" w:lineRule="auto"/>
        <w:ind w:firstLine="1296"/>
        <w:jc w:val="both"/>
        <w:rPr>
          <w:rFonts w:ascii="Times New Roman" w:hAnsi="Times New Roman" w:cs="Times New Roman"/>
          <w:sz w:val="20"/>
          <w:szCs w:val="20"/>
        </w:rPr>
      </w:pPr>
      <w:r w:rsidRPr="00EC1AB2">
        <w:rPr>
          <w:rFonts w:ascii="Times New Roman" w:hAnsi="Times New Roman" w:cs="Times New Roman"/>
          <w:b/>
          <w:sz w:val="20"/>
          <w:szCs w:val="20"/>
        </w:rPr>
        <w:t xml:space="preserve">Šaltinis: </w:t>
      </w:r>
      <w:r w:rsidRPr="00EC1AB2">
        <w:rPr>
          <w:rFonts w:ascii="Times New Roman" w:hAnsi="Times New Roman" w:cs="Times New Roman"/>
          <w:sz w:val="20"/>
          <w:szCs w:val="20"/>
        </w:rPr>
        <w:t>sudaryta darbo autorės</w:t>
      </w:r>
    </w:p>
    <w:p w:rsidR="005D6363" w:rsidRPr="00EC1AB2" w:rsidRDefault="00410C16" w:rsidP="007A02A8">
      <w:pPr>
        <w:pStyle w:val="Heading5"/>
        <w:spacing w:before="0" w:line="360" w:lineRule="auto"/>
        <w:jc w:val="center"/>
        <w:rPr>
          <w:rFonts w:ascii="Times New Roman" w:hAnsi="Times New Roman" w:cs="Times New Roman"/>
          <w:b/>
          <w:sz w:val="24"/>
          <w:szCs w:val="24"/>
        </w:rPr>
      </w:pPr>
      <w:bookmarkStart w:id="124" w:name="_Toc320761925"/>
      <w:bookmarkStart w:id="125" w:name="_Toc320762160"/>
      <w:bookmarkStart w:id="126" w:name="_Toc320762562"/>
      <w:r w:rsidRPr="00EC1AB2">
        <w:rPr>
          <w:rFonts w:ascii="Times New Roman" w:hAnsi="Times New Roman" w:cs="Times New Roman"/>
          <w:color w:val="auto"/>
          <w:sz w:val="24"/>
          <w:szCs w:val="24"/>
        </w:rPr>
        <w:t>11</w:t>
      </w:r>
      <w:r w:rsidR="009C321E" w:rsidRPr="00EC1AB2">
        <w:rPr>
          <w:rFonts w:ascii="Times New Roman" w:hAnsi="Times New Roman" w:cs="Times New Roman"/>
          <w:color w:val="auto"/>
          <w:sz w:val="24"/>
          <w:szCs w:val="24"/>
        </w:rPr>
        <w:t xml:space="preserve"> pav.</w:t>
      </w:r>
      <w:r w:rsidR="00DE5CEE" w:rsidRPr="00EC1AB2">
        <w:t xml:space="preserve"> </w:t>
      </w:r>
      <w:r w:rsidR="00DE5CEE" w:rsidRPr="00EC1AB2">
        <w:rPr>
          <w:rFonts w:ascii="Times New Roman" w:hAnsi="Times New Roman" w:cs="Times New Roman"/>
          <w:b/>
          <w:color w:val="0D0D0D" w:themeColor="text1" w:themeTint="F2"/>
          <w:sz w:val="24"/>
          <w:szCs w:val="24"/>
        </w:rPr>
        <w:t>Rizikos kapitalo fondų plėtros problemų Lietuvoje</w:t>
      </w:r>
      <w:r w:rsidR="006A1F7F" w:rsidRPr="00EC1AB2">
        <w:rPr>
          <w:rFonts w:ascii="Times New Roman" w:hAnsi="Times New Roman" w:cs="Times New Roman"/>
          <w:b/>
          <w:color w:val="0D0D0D" w:themeColor="text1" w:themeTint="F2"/>
          <w:sz w:val="24"/>
          <w:szCs w:val="24"/>
        </w:rPr>
        <w:t xml:space="preserve"> </w:t>
      </w:r>
      <w:r w:rsidR="006A1F7F" w:rsidRPr="00EC1AB2">
        <w:rPr>
          <w:rFonts w:ascii="Times New Roman" w:hAnsi="Times New Roman" w:cs="Times New Roman"/>
          <w:b/>
          <w:color w:val="auto"/>
          <w:sz w:val="24"/>
          <w:szCs w:val="24"/>
        </w:rPr>
        <w:t>nuoseklumo schema</w:t>
      </w:r>
      <w:bookmarkEnd w:id="124"/>
      <w:bookmarkEnd w:id="125"/>
      <w:bookmarkEnd w:id="126"/>
    </w:p>
    <w:p w:rsidR="00B66014" w:rsidRPr="00EC1AB2" w:rsidRDefault="00B66014" w:rsidP="007A02A8">
      <w:pPr>
        <w:autoSpaceDE w:val="0"/>
        <w:autoSpaceDN w:val="0"/>
        <w:adjustRightInd w:val="0"/>
        <w:spacing w:after="0" w:line="360" w:lineRule="auto"/>
        <w:jc w:val="both"/>
        <w:rPr>
          <w:rFonts w:ascii="Times New Roman" w:hAnsi="Times New Roman" w:cs="Times New Roman"/>
          <w:sz w:val="24"/>
          <w:szCs w:val="24"/>
        </w:rPr>
      </w:pPr>
    </w:p>
    <w:p w:rsidR="00F779AA" w:rsidRPr="00EC1AB2" w:rsidRDefault="00CD51BC"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Kaip matyti iš </w:t>
      </w:r>
      <w:r w:rsidR="004A6D7F" w:rsidRPr="00EC1AB2">
        <w:rPr>
          <w:rFonts w:ascii="Times New Roman" w:hAnsi="Times New Roman" w:cs="Times New Roman"/>
          <w:sz w:val="24"/>
          <w:szCs w:val="24"/>
        </w:rPr>
        <w:t>11</w:t>
      </w:r>
      <w:r w:rsidRPr="00EC1AB2">
        <w:rPr>
          <w:rFonts w:ascii="Times New Roman" w:hAnsi="Times New Roman" w:cs="Times New Roman"/>
          <w:sz w:val="24"/>
          <w:szCs w:val="24"/>
        </w:rPr>
        <w:t xml:space="preserve"> pav. </w:t>
      </w:r>
      <w:r w:rsidR="00083686" w:rsidRPr="00EC1AB2">
        <w:rPr>
          <w:rFonts w:ascii="Times New Roman" w:hAnsi="Times New Roman" w:cs="Times New Roman"/>
          <w:sz w:val="24"/>
          <w:szCs w:val="24"/>
        </w:rPr>
        <w:t>išanalizavus statistinius duomenis bei Lietuvoje atliktus kokybinius tyrimus</w:t>
      </w:r>
      <w:r w:rsidR="00AA6A31" w:rsidRPr="00EC1AB2">
        <w:rPr>
          <w:rFonts w:ascii="Times New Roman" w:hAnsi="Times New Roman" w:cs="Times New Roman"/>
          <w:sz w:val="24"/>
          <w:szCs w:val="24"/>
        </w:rPr>
        <w:t>,</w:t>
      </w:r>
      <w:r w:rsidR="00083686" w:rsidRPr="00EC1AB2">
        <w:rPr>
          <w:rFonts w:ascii="Times New Roman" w:hAnsi="Times New Roman" w:cs="Times New Roman"/>
          <w:sz w:val="24"/>
          <w:szCs w:val="24"/>
        </w:rPr>
        <w:t xml:space="preserve"> susijusius su RKF investicijų paklausa</w:t>
      </w:r>
      <w:r w:rsidR="00AA6A31" w:rsidRPr="00EC1AB2">
        <w:rPr>
          <w:rFonts w:ascii="Times New Roman" w:hAnsi="Times New Roman" w:cs="Times New Roman"/>
          <w:sz w:val="24"/>
          <w:szCs w:val="24"/>
        </w:rPr>
        <w:t>,</w:t>
      </w:r>
      <w:r w:rsidR="00083686" w:rsidRPr="00EC1AB2">
        <w:rPr>
          <w:rFonts w:ascii="Times New Roman" w:hAnsi="Times New Roman" w:cs="Times New Roman"/>
          <w:sz w:val="24"/>
          <w:szCs w:val="24"/>
        </w:rPr>
        <w:t xml:space="preserve"> ir pastebėjus stiprų Lietuvos atsilikimą nuo ES </w:t>
      </w:r>
      <w:r w:rsidR="0056331D" w:rsidRPr="00EC1AB2">
        <w:rPr>
          <w:rFonts w:ascii="Times New Roman" w:hAnsi="Times New Roman" w:cs="Times New Roman"/>
          <w:sz w:val="24"/>
          <w:szCs w:val="24"/>
        </w:rPr>
        <w:t xml:space="preserve">vidurkio bei kitų panašaus išsivystymo šalių </w:t>
      </w:r>
      <w:r w:rsidR="00083686" w:rsidRPr="00EC1AB2">
        <w:rPr>
          <w:rFonts w:ascii="Times New Roman" w:hAnsi="Times New Roman" w:cs="Times New Roman"/>
          <w:sz w:val="24"/>
          <w:szCs w:val="24"/>
        </w:rPr>
        <w:t>šioje srityje</w:t>
      </w:r>
      <w:r w:rsidR="00AA6A31" w:rsidRPr="00EC1AB2">
        <w:rPr>
          <w:rFonts w:ascii="Times New Roman" w:hAnsi="Times New Roman" w:cs="Times New Roman"/>
          <w:sz w:val="24"/>
          <w:szCs w:val="24"/>
        </w:rPr>
        <w:t>,</w:t>
      </w:r>
      <w:r w:rsidR="00083686" w:rsidRPr="00EC1AB2">
        <w:rPr>
          <w:rFonts w:ascii="Times New Roman" w:hAnsi="Times New Roman" w:cs="Times New Roman"/>
          <w:sz w:val="24"/>
          <w:szCs w:val="24"/>
        </w:rPr>
        <w:t xml:space="preserve"> perei</w:t>
      </w:r>
      <w:r w:rsidR="00F779AA" w:rsidRPr="00EC1AB2">
        <w:rPr>
          <w:rFonts w:ascii="Times New Roman" w:hAnsi="Times New Roman" w:cs="Times New Roman"/>
          <w:sz w:val="24"/>
          <w:szCs w:val="24"/>
        </w:rPr>
        <w:t>nama prie pi</w:t>
      </w:r>
      <w:r w:rsidR="00D42CE0" w:rsidRPr="00EC1AB2">
        <w:rPr>
          <w:rFonts w:ascii="Times New Roman" w:hAnsi="Times New Roman" w:cs="Times New Roman"/>
          <w:sz w:val="24"/>
          <w:szCs w:val="24"/>
        </w:rPr>
        <w:t xml:space="preserve">rmojo tyrimo etapo. Šiame </w:t>
      </w:r>
      <w:r w:rsidR="00D42CE0" w:rsidRPr="00EC1AB2">
        <w:rPr>
          <w:rFonts w:ascii="Times New Roman" w:hAnsi="Times New Roman" w:cs="Times New Roman"/>
          <w:sz w:val="24"/>
          <w:szCs w:val="24"/>
        </w:rPr>
        <w:lastRenderedPageBreak/>
        <w:t>etape</w:t>
      </w:r>
      <w:r w:rsidR="00B74DE8" w:rsidRPr="00EC1AB2">
        <w:rPr>
          <w:rFonts w:ascii="Times New Roman" w:hAnsi="Times New Roman" w:cs="Times New Roman"/>
          <w:sz w:val="24"/>
          <w:szCs w:val="24"/>
        </w:rPr>
        <w:t>, darant prielaidą, kad RKF investicijos galimai įtakoja ša</w:t>
      </w:r>
      <w:r w:rsidR="00C275EF" w:rsidRPr="00EC1AB2">
        <w:rPr>
          <w:rFonts w:ascii="Times New Roman" w:hAnsi="Times New Roman" w:cs="Times New Roman"/>
          <w:sz w:val="24"/>
          <w:szCs w:val="24"/>
        </w:rPr>
        <w:t>lies rezultatus inovacijų srityje</w:t>
      </w:r>
      <w:r w:rsidR="00545CAF" w:rsidRPr="00EC1AB2">
        <w:rPr>
          <w:rFonts w:ascii="Times New Roman" w:hAnsi="Times New Roman" w:cs="Times New Roman"/>
          <w:sz w:val="24"/>
          <w:szCs w:val="24"/>
        </w:rPr>
        <w:t xml:space="preserve"> </w:t>
      </w:r>
      <w:r w:rsidR="00C275EF" w:rsidRPr="00EC1AB2">
        <w:rPr>
          <w:rFonts w:ascii="Times New Roman" w:hAnsi="Times New Roman" w:cs="Times New Roman"/>
          <w:sz w:val="24"/>
          <w:szCs w:val="24"/>
        </w:rPr>
        <w:t>analizuojamas Li</w:t>
      </w:r>
      <w:r w:rsidR="00D42CE0" w:rsidRPr="00EC1AB2">
        <w:rPr>
          <w:rFonts w:ascii="Times New Roman" w:hAnsi="Times New Roman" w:cs="Times New Roman"/>
          <w:sz w:val="24"/>
          <w:szCs w:val="24"/>
        </w:rPr>
        <w:t>etuvoje</w:t>
      </w:r>
      <w:r w:rsidR="00C275EF" w:rsidRPr="00EC1AB2">
        <w:rPr>
          <w:rFonts w:ascii="Times New Roman" w:hAnsi="Times New Roman" w:cs="Times New Roman"/>
          <w:sz w:val="24"/>
          <w:szCs w:val="24"/>
        </w:rPr>
        <w:t xml:space="preserve"> esantis inovacijų lygis.</w:t>
      </w:r>
    </w:p>
    <w:p w:rsidR="008D4CD2" w:rsidRPr="00EC1AB2" w:rsidRDefault="008D4CD2"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Pastaruoju metu Lietuva sulaukė Europos Komisijos pastabų ir rekomendacijų dėti daugiau pastangų, kad gerėtų padėtis inovacijų srityje, argumentuojant tuo, kad daugiau dėmesio inovacijoms verčia skirti visos ES pastangos atgauti konkurencingumą, turintį lemiamos reikšmės regiono, išvarginto euro zonos skolų krizės, spartesniam </w:t>
      </w:r>
      <w:r w:rsidR="00114211" w:rsidRPr="00EC1AB2">
        <w:rPr>
          <w:rFonts w:ascii="Times New Roman" w:hAnsi="Times New Roman" w:cs="Times New Roman"/>
          <w:sz w:val="24"/>
          <w:szCs w:val="24"/>
        </w:rPr>
        <w:t>atsigavimui, todėl</w:t>
      </w:r>
      <w:r w:rsidR="00D42CE0" w:rsidRPr="00EC1AB2">
        <w:rPr>
          <w:rFonts w:ascii="Times New Roman" w:hAnsi="Times New Roman" w:cs="Times New Roman"/>
          <w:sz w:val="24"/>
          <w:szCs w:val="24"/>
        </w:rPr>
        <w:t>, kaip jau minėta,</w:t>
      </w:r>
      <w:r w:rsidR="00114211" w:rsidRPr="00EC1AB2">
        <w:rPr>
          <w:rFonts w:ascii="Times New Roman" w:hAnsi="Times New Roman" w:cs="Times New Roman"/>
          <w:sz w:val="24"/>
          <w:szCs w:val="24"/>
        </w:rPr>
        <w:t xml:space="preserve"> pirmajame </w:t>
      </w:r>
      <w:r w:rsidR="00FF5173" w:rsidRPr="00EC1AB2">
        <w:rPr>
          <w:rFonts w:ascii="Times New Roman" w:hAnsi="Times New Roman" w:cs="Times New Roman"/>
          <w:sz w:val="24"/>
          <w:szCs w:val="24"/>
        </w:rPr>
        <w:t>tyrimo etape bus analizuojamas Lietuvos suminis inovatyvumo indeksas bei jo</w:t>
      </w:r>
      <w:r w:rsidR="00114211" w:rsidRPr="00EC1AB2">
        <w:rPr>
          <w:rFonts w:ascii="Times New Roman" w:hAnsi="Times New Roman" w:cs="Times New Roman"/>
          <w:sz w:val="24"/>
          <w:szCs w:val="24"/>
        </w:rPr>
        <w:t xml:space="preserve"> sudedamosios dalys, siek</w:t>
      </w:r>
      <w:r w:rsidR="007129F0" w:rsidRPr="00EC1AB2">
        <w:rPr>
          <w:rFonts w:ascii="Times New Roman" w:hAnsi="Times New Roman" w:cs="Times New Roman"/>
          <w:sz w:val="24"/>
          <w:szCs w:val="24"/>
        </w:rPr>
        <w:t>i</w:t>
      </w:r>
      <w:r w:rsidR="00114211" w:rsidRPr="00EC1AB2">
        <w:rPr>
          <w:rFonts w:ascii="Times New Roman" w:hAnsi="Times New Roman" w:cs="Times New Roman"/>
          <w:sz w:val="24"/>
          <w:szCs w:val="24"/>
        </w:rPr>
        <w:t>ant nustatyti stipriąsia</w:t>
      </w:r>
      <w:r w:rsidR="00BE5CAE" w:rsidRPr="00EC1AB2">
        <w:rPr>
          <w:rFonts w:ascii="Times New Roman" w:hAnsi="Times New Roman" w:cs="Times New Roman"/>
          <w:sz w:val="24"/>
          <w:szCs w:val="24"/>
        </w:rPr>
        <w:t xml:space="preserve">s bei silpnąsias </w:t>
      </w:r>
      <w:r w:rsidR="00FF5173" w:rsidRPr="00EC1AB2">
        <w:rPr>
          <w:rFonts w:ascii="Times New Roman" w:hAnsi="Times New Roman" w:cs="Times New Roman"/>
          <w:sz w:val="24"/>
          <w:szCs w:val="24"/>
        </w:rPr>
        <w:t>puses</w:t>
      </w:r>
      <w:r w:rsidR="00BE5CAE" w:rsidRPr="00EC1AB2">
        <w:rPr>
          <w:rFonts w:ascii="Times New Roman" w:hAnsi="Times New Roman" w:cs="Times New Roman"/>
          <w:sz w:val="24"/>
          <w:szCs w:val="24"/>
        </w:rPr>
        <w:t>.</w:t>
      </w:r>
    </w:p>
    <w:p w:rsidR="00276FCE" w:rsidRPr="00EC1AB2" w:rsidRDefault="00276FCE"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Antras šio tyrimo etapo žingsnis –</w:t>
      </w:r>
      <w:r w:rsidR="00373D73" w:rsidRPr="00EC1AB2">
        <w:rPr>
          <w:rFonts w:ascii="Times New Roman" w:hAnsi="Times New Roman" w:cs="Times New Roman"/>
          <w:sz w:val="24"/>
          <w:szCs w:val="24"/>
        </w:rPr>
        <w:t xml:space="preserve"> suminio inovatyvumo</w:t>
      </w:r>
      <w:r w:rsidR="006B7646" w:rsidRPr="00EC1AB2">
        <w:rPr>
          <w:rFonts w:ascii="Times New Roman" w:hAnsi="Times New Roman" w:cs="Times New Roman"/>
          <w:sz w:val="24"/>
          <w:szCs w:val="24"/>
        </w:rPr>
        <w:t xml:space="preserve"> indekso</w:t>
      </w:r>
      <w:r w:rsidR="00373D73" w:rsidRPr="00EC1AB2">
        <w:rPr>
          <w:rFonts w:ascii="Times New Roman" w:hAnsi="Times New Roman" w:cs="Times New Roman"/>
          <w:sz w:val="24"/>
          <w:szCs w:val="24"/>
        </w:rPr>
        <w:t xml:space="preserve"> sudedamųjų dalių bei RKF investicijų apimties </w:t>
      </w:r>
      <w:r w:rsidRPr="00EC1AB2">
        <w:rPr>
          <w:rFonts w:ascii="Times New Roman" w:hAnsi="Times New Roman" w:cs="Times New Roman"/>
          <w:sz w:val="24"/>
          <w:szCs w:val="24"/>
        </w:rPr>
        <w:t>koreliacinė analizė.</w:t>
      </w:r>
      <w:r w:rsidR="006B7646" w:rsidRPr="00EC1AB2">
        <w:rPr>
          <w:rFonts w:ascii="Times New Roman" w:hAnsi="Times New Roman" w:cs="Times New Roman"/>
          <w:sz w:val="24"/>
          <w:szCs w:val="24"/>
        </w:rPr>
        <w:t xml:space="preserve"> Šiame </w:t>
      </w:r>
      <w:r w:rsidR="00415753" w:rsidRPr="00EC1AB2">
        <w:rPr>
          <w:rFonts w:ascii="Times New Roman" w:hAnsi="Times New Roman" w:cs="Times New Roman"/>
          <w:sz w:val="24"/>
          <w:szCs w:val="24"/>
        </w:rPr>
        <w:t xml:space="preserve">žingsnyje suformuojamos </w:t>
      </w:r>
      <w:r w:rsidR="006B7646" w:rsidRPr="00EC1AB2">
        <w:rPr>
          <w:rFonts w:ascii="Times New Roman" w:hAnsi="Times New Roman" w:cs="Times New Roman"/>
          <w:sz w:val="24"/>
          <w:szCs w:val="24"/>
        </w:rPr>
        <w:t xml:space="preserve">tyrimo </w:t>
      </w:r>
      <w:r w:rsidR="00415753" w:rsidRPr="00EC1AB2">
        <w:rPr>
          <w:rFonts w:ascii="Times New Roman" w:hAnsi="Times New Roman" w:cs="Times New Roman"/>
          <w:sz w:val="24"/>
          <w:szCs w:val="24"/>
        </w:rPr>
        <w:t>hipotezės:</w:t>
      </w:r>
    </w:p>
    <w:p w:rsidR="00415753" w:rsidRPr="00EC1AB2" w:rsidRDefault="00415753"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H</w:t>
      </w:r>
      <w:r w:rsidRPr="00EC1AB2">
        <w:rPr>
          <w:rFonts w:ascii="Times New Roman" w:hAnsi="Times New Roman" w:cs="Times New Roman"/>
          <w:sz w:val="24"/>
          <w:szCs w:val="24"/>
          <w:vertAlign w:val="subscript"/>
        </w:rPr>
        <w:t>0</w:t>
      </w:r>
      <w:r w:rsidRPr="00EC1AB2">
        <w:rPr>
          <w:rFonts w:ascii="Times New Roman" w:hAnsi="Times New Roman" w:cs="Times New Roman"/>
          <w:sz w:val="24"/>
          <w:szCs w:val="24"/>
        </w:rPr>
        <w:t xml:space="preserve"> – RKF investicijos neįtakoja šalies pasiekimų inovacijų srityje;</w:t>
      </w:r>
    </w:p>
    <w:p w:rsidR="00415753" w:rsidRPr="00EC1AB2" w:rsidRDefault="00415753"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H</w:t>
      </w:r>
      <w:r w:rsidRPr="00EC1AB2">
        <w:rPr>
          <w:rFonts w:ascii="Times New Roman" w:hAnsi="Times New Roman" w:cs="Times New Roman"/>
          <w:sz w:val="24"/>
          <w:szCs w:val="24"/>
          <w:vertAlign w:val="subscript"/>
        </w:rPr>
        <w:t>1</w:t>
      </w:r>
      <w:r w:rsidRPr="00EC1AB2">
        <w:rPr>
          <w:rFonts w:ascii="Times New Roman" w:hAnsi="Times New Roman" w:cs="Times New Roman"/>
          <w:sz w:val="24"/>
          <w:szCs w:val="24"/>
        </w:rPr>
        <w:t xml:space="preserve"> – RKF investicijos įtakoja šalies pasiekimus ino</w:t>
      </w:r>
      <w:r w:rsidR="001B3914" w:rsidRPr="00EC1AB2">
        <w:rPr>
          <w:rFonts w:ascii="Times New Roman" w:hAnsi="Times New Roman" w:cs="Times New Roman"/>
          <w:sz w:val="24"/>
          <w:szCs w:val="24"/>
        </w:rPr>
        <w:t>vacijų srityje.</w:t>
      </w:r>
    </w:p>
    <w:p w:rsidR="003062FD" w:rsidRPr="00EC1AB2" w:rsidRDefault="00A10B0B"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Jeigu tyrimo metu H</w:t>
      </w:r>
      <w:r w:rsidRPr="00EC1AB2">
        <w:rPr>
          <w:rFonts w:ascii="Times New Roman" w:hAnsi="Times New Roman" w:cs="Times New Roman"/>
          <w:sz w:val="24"/>
          <w:szCs w:val="24"/>
          <w:vertAlign w:val="subscript"/>
        </w:rPr>
        <w:t>0</w:t>
      </w:r>
      <w:r w:rsidRPr="00EC1AB2">
        <w:rPr>
          <w:rFonts w:ascii="Times New Roman" w:hAnsi="Times New Roman" w:cs="Times New Roman"/>
          <w:sz w:val="24"/>
          <w:szCs w:val="24"/>
        </w:rPr>
        <w:t xml:space="preserve"> hipotezė bus atmetama ir priimama H</w:t>
      </w:r>
      <w:r w:rsidRPr="00EC1AB2">
        <w:rPr>
          <w:rFonts w:ascii="Times New Roman" w:hAnsi="Times New Roman" w:cs="Times New Roman"/>
          <w:sz w:val="24"/>
          <w:szCs w:val="24"/>
          <w:vertAlign w:val="subscript"/>
        </w:rPr>
        <w:t>1</w:t>
      </w:r>
      <w:r w:rsidRPr="00EC1AB2">
        <w:rPr>
          <w:rFonts w:ascii="Times New Roman" w:hAnsi="Times New Roman" w:cs="Times New Roman"/>
          <w:sz w:val="24"/>
          <w:szCs w:val="24"/>
        </w:rPr>
        <w:t xml:space="preserve">,  iškils būtinybė nustatyti priežastis, dėl kurių </w:t>
      </w:r>
      <w:r w:rsidR="00A81FAB" w:rsidRPr="00EC1AB2">
        <w:rPr>
          <w:rFonts w:ascii="Times New Roman" w:hAnsi="Times New Roman" w:cs="Times New Roman"/>
          <w:sz w:val="24"/>
          <w:szCs w:val="24"/>
        </w:rPr>
        <w:t xml:space="preserve">RKF nepaplitę Lietuvoje. </w:t>
      </w:r>
      <w:r w:rsidR="00AC53C2" w:rsidRPr="00EC1AB2">
        <w:rPr>
          <w:rFonts w:ascii="Times New Roman" w:hAnsi="Times New Roman" w:cs="Times New Roman"/>
          <w:sz w:val="24"/>
          <w:szCs w:val="24"/>
        </w:rPr>
        <w:t xml:space="preserve">Šiam tyrimo etapui bus pasirinktas kokybinis metodas – ekspertų vertinimo. </w:t>
      </w:r>
      <w:r w:rsidR="003062FD" w:rsidRPr="00EC1AB2">
        <w:rPr>
          <w:rFonts w:ascii="Times New Roman" w:hAnsi="Times New Roman" w:cs="Times New Roman"/>
          <w:sz w:val="24"/>
          <w:szCs w:val="24"/>
        </w:rPr>
        <w:t>Ekspertų vertinimo metodas – specialiai, parinktų grupės žmonių, kurie išmano tam tikrą sritį, sp</w:t>
      </w:r>
      <w:r w:rsidR="00746500" w:rsidRPr="00EC1AB2">
        <w:rPr>
          <w:rFonts w:ascii="Times New Roman" w:hAnsi="Times New Roman" w:cs="Times New Roman"/>
          <w:sz w:val="24"/>
          <w:szCs w:val="24"/>
        </w:rPr>
        <w:t>ecifinės rūšies apklausa</w:t>
      </w:r>
      <w:r w:rsidR="007F6F93" w:rsidRPr="00EC1AB2">
        <w:rPr>
          <w:rFonts w:ascii="Times New Roman" w:hAnsi="Times New Roman" w:cs="Times New Roman"/>
          <w:sz w:val="24"/>
          <w:szCs w:val="24"/>
        </w:rPr>
        <w:t xml:space="preserve">. </w:t>
      </w:r>
    </w:p>
    <w:p w:rsidR="007F6F93" w:rsidRPr="00EC1AB2" w:rsidRDefault="007F6F93"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Identifikavus pagrindines priežastis bus pateikia</w:t>
      </w:r>
      <w:r w:rsidR="00A24326" w:rsidRPr="00EC1AB2">
        <w:rPr>
          <w:rFonts w:ascii="Times New Roman" w:hAnsi="Times New Roman" w:cs="Times New Roman"/>
          <w:sz w:val="24"/>
          <w:szCs w:val="24"/>
        </w:rPr>
        <w:t>mos gairės šioms kliūtims šalinti</w:t>
      </w:r>
      <w:r w:rsidRPr="00EC1AB2">
        <w:rPr>
          <w:rFonts w:ascii="Times New Roman" w:hAnsi="Times New Roman" w:cs="Times New Roman"/>
          <w:sz w:val="24"/>
          <w:szCs w:val="24"/>
        </w:rPr>
        <w:t>.</w:t>
      </w:r>
    </w:p>
    <w:p w:rsidR="00152542" w:rsidRPr="00EC1AB2" w:rsidRDefault="00133D05"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Taigi, suformuluotas šio</w:t>
      </w:r>
      <w:r w:rsidRPr="00EC1AB2">
        <w:rPr>
          <w:rFonts w:ascii="Times New Roman" w:hAnsi="Times New Roman" w:cs="Times New Roman"/>
          <w:b/>
          <w:sz w:val="24"/>
          <w:szCs w:val="24"/>
        </w:rPr>
        <w:t xml:space="preserve"> t</w:t>
      </w:r>
      <w:r w:rsidR="00D56ACB" w:rsidRPr="00EC1AB2">
        <w:rPr>
          <w:rFonts w:ascii="Times New Roman" w:hAnsi="Times New Roman" w:cs="Times New Roman"/>
          <w:b/>
          <w:sz w:val="24"/>
          <w:szCs w:val="24"/>
        </w:rPr>
        <w:t>yrimo tik</w:t>
      </w:r>
      <w:r w:rsidR="00580C9E" w:rsidRPr="00EC1AB2">
        <w:rPr>
          <w:rFonts w:ascii="Times New Roman" w:hAnsi="Times New Roman" w:cs="Times New Roman"/>
          <w:b/>
          <w:sz w:val="24"/>
          <w:szCs w:val="24"/>
        </w:rPr>
        <w:t>sl</w:t>
      </w:r>
      <w:r w:rsidRPr="00EC1AB2">
        <w:rPr>
          <w:rFonts w:ascii="Times New Roman" w:hAnsi="Times New Roman" w:cs="Times New Roman"/>
          <w:b/>
          <w:sz w:val="24"/>
          <w:szCs w:val="24"/>
        </w:rPr>
        <w:t xml:space="preserve">as </w:t>
      </w:r>
      <w:r w:rsidRPr="00EC1AB2">
        <w:rPr>
          <w:rFonts w:ascii="Times New Roman" w:hAnsi="Times New Roman" w:cs="Times New Roman"/>
          <w:sz w:val="24"/>
          <w:szCs w:val="24"/>
        </w:rPr>
        <w:t>yra</w:t>
      </w:r>
      <w:r w:rsidR="00D56ACB" w:rsidRPr="00EC1AB2">
        <w:rPr>
          <w:rFonts w:ascii="Times New Roman" w:hAnsi="Times New Roman" w:cs="Times New Roman"/>
          <w:b/>
          <w:sz w:val="24"/>
          <w:szCs w:val="24"/>
        </w:rPr>
        <w:t xml:space="preserve"> </w:t>
      </w:r>
      <w:r w:rsidR="0019503C" w:rsidRPr="00EC1AB2">
        <w:rPr>
          <w:rFonts w:ascii="Times New Roman" w:hAnsi="Times New Roman" w:cs="Times New Roman"/>
          <w:sz w:val="24"/>
          <w:szCs w:val="24"/>
        </w:rPr>
        <w:t>išanalizuoti</w:t>
      </w:r>
      <w:r w:rsidR="00D56ACB" w:rsidRPr="00EC1AB2">
        <w:rPr>
          <w:rFonts w:ascii="Times New Roman" w:hAnsi="Times New Roman" w:cs="Times New Roman"/>
          <w:sz w:val="24"/>
          <w:szCs w:val="24"/>
        </w:rPr>
        <w:t xml:space="preserve"> rizikos kapitalo įtaką šalies pasiekimams inovacijų sri</w:t>
      </w:r>
      <w:r w:rsidR="0019503C" w:rsidRPr="00EC1AB2">
        <w:rPr>
          <w:rFonts w:ascii="Times New Roman" w:hAnsi="Times New Roman" w:cs="Times New Roman"/>
          <w:sz w:val="24"/>
          <w:szCs w:val="24"/>
        </w:rPr>
        <w:t>tyje ir</w:t>
      </w:r>
      <w:r w:rsidR="00580C9E" w:rsidRPr="00EC1AB2">
        <w:rPr>
          <w:rFonts w:ascii="Times New Roman" w:hAnsi="Times New Roman" w:cs="Times New Roman"/>
          <w:sz w:val="24"/>
          <w:szCs w:val="24"/>
        </w:rPr>
        <w:t xml:space="preserve"> identifikuoti priežastis tru</w:t>
      </w:r>
      <w:r w:rsidR="00D56ACB" w:rsidRPr="00EC1AB2">
        <w:rPr>
          <w:rFonts w:ascii="Times New Roman" w:hAnsi="Times New Roman" w:cs="Times New Roman"/>
          <w:sz w:val="24"/>
          <w:szCs w:val="24"/>
        </w:rPr>
        <w:t>kdančias plėtotis rizikos kapitalo fondams Lietuvoje bei</w:t>
      </w:r>
      <w:r w:rsidR="0019503C" w:rsidRPr="00EC1AB2">
        <w:rPr>
          <w:rFonts w:ascii="Times New Roman" w:hAnsi="Times New Roman" w:cs="Times New Roman"/>
          <w:sz w:val="24"/>
          <w:szCs w:val="24"/>
        </w:rPr>
        <w:t xml:space="preserve"> pateikti</w:t>
      </w:r>
      <w:r w:rsidR="00D56ACB" w:rsidRPr="00EC1AB2">
        <w:rPr>
          <w:rFonts w:ascii="Times New Roman" w:hAnsi="Times New Roman" w:cs="Times New Roman"/>
          <w:sz w:val="24"/>
          <w:szCs w:val="24"/>
        </w:rPr>
        <w:t xml:space="preserve"> šių p</w:t>
      </w:r>
      <w:r w:rsidR="00E86454" w:rsidRPr="00EC1AB2">
        <w:rPr>
          <w:rFonts w:ascii="Times New Roman" w:hAnsi="Times New Roman" w:cs="Times New Roman"/>
          <w:sz w:val="24"/>
          <w:szCs w:val="24"/>
        </w:rPr>
        <w:t>riežasčių šalinimo galimybes.</w:t>
      </w:r>
    </w:p>
    <w:p w:rsidR="00D56ACB" w:rsidRPr="00EC1AB2" w:rsidRDefault="00D56ACB"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b/>
          <w:sz w:val="24"/>
          <w:szCs w:val="24"/>
        </w:rPr>
        <w:t>Tyrimo objektas</w:t>
      </w:r>
      <w:r w:rsidRPr="00EC1AB2">
        <w:rPr>
          <w:rFonts w:ascii="Times New Roman" w:hAnsi="Times New Roman" w:cs="Times New Roman"/>
          <w:sz w:val="24"/>
          <w:szCs w:val="24"/>
        </w:rPr>
        <w:t xml:space="preserve"> </w:t>
      </w:r>
      <w:r w:rsidR="00D0270C" w:rsidRPr="00EC1AB2">
        <w:rPr>
          <w:rFonts w:ascii="Times New Roman" w:hAnsi="Times New Roman" w:cs="Times New Roman"/>
          <w:sz w:val="24"/>
          <w:szCs w:val="24"/>
        </w:rPr>
        <w:t>–</w:t>
      </w:r>
      <w:r w:rsidRPr="00EC1AB2">
        <w:rPr>
          <w:rFonts w:ascii="Times New Roman" w:hAnsi="Times New Roman" w:cs="Times New Roman"/>
          <w:sz w:val="24"/>
          <w:szCs w:val="24"/>
        </w:rPr>
        <w:t xml:space="preserve"> </w:t>
      </w:r>
      <w:r w:rsidR="007D1EB0" w:rsidRPr="00EC1AB2">
        <w:rPr>
          <w:rFonts w:ascii="Times New Roman" w:hAnsi="Times New Roman" w:cs="Times New Roman"/>
          <w:sz w:val="24"/>
          <w:szCs w:val="24"/>
        </w:rPr>
        <w:t xml:space="preserve">rizikos kapitalo įtaka šalies pasiekimams inovacijų srityje bei </w:t>
      </w:r>
      <w:r w:rsidR="00D0270C" w:rsidRPr="00EC1AB2">
        <w:rPr>
          <w:rFonts w:ascii="Times New Roman" w:hAnsi="Times New Roman" w:cs="Times New Roman"/>
          <w:sz w:val="24"/>
          <w:szCs w:val="24"/>
        </w:rPr>
        <w:t>rizikos kapitalo fondų plėtros p</w:t>
      </w:r>
      <w:r w:rsidR="0011526A" w:rsidRPr="00EC1AB2">
        <w:rPr>
          <w:rFonts w:ascii="Times New Roman" w:hAnsi="Times New Roman" w:cs="Times New Roman"/>
          <w:sz w:val="24"/>
          <w:szCs w:val="24"/>
        </w:rPr>
        <w:t>roble</w:t>
      </w:r>
      <w:r w:rsidR="00D0270C" w:rsidRPr="00EC1AB2">
        <w:rPr>
          <w:rFonts w:ascii="Times New Roman" w:hAnsi="Times New Roman" w:cs="Times New Roman"/>
          <w:sz w:val="24"/>
          <w:szCs w:val="24"/>
        </w:rPr>
        <w:t>mos Liet</w:t>
      </w:r>
      <w:r w:rsidR="00580C9E" w:rsidRPr="00EC1AB2">
        <w:rPr>
          <w:rFonts w:ascii="Times New Roman" w:hAnsi="Times New Roman" w:cs="Times New Roman"/>
          <w:sz w:val="24"/>
          <w:szCs w:val="24"/>
        </w:rPr>
        <w:t>u</w:t>
      </w:r>
      <w:r w:rsidR="00D0270C" w:rsidRPr="00EC1AB2">
        <w:rPr>
          <w:rFonts w:ascii="Times New Roman" w:hAnsi="Times New Roman" w:cs="Times New Roman"/>
          <w:sz w:val="24"/>
          <w:szCs w:val="24"/>
        </w:rPr>
        <w:t>voje.</w:t>
      </w:r>
    </w:p>
    <w:p w:rsidR="00892344" w:rsidRPr="00EC1AB2" w:rsidRDefault="00133D05" w:rsidP="007A02A8">
      <w:pPr>
        <w:autoSpaceDE w:val="0"/>
        <w:autoSpaceDN w:val="0"/>
        <w:adjustRightInd w:val="0"/>
        <w:spacing w:after="0" w:line="360" w:lineRule="auto"/>
        <w:ind w:firstLine="360"/>
        <w:jc w:val="both"/>
        <w:rPr>
          <w:rFonts w:ascii="Times New Roman" w:hAnsi="Times New Roman" w:cs="Times New Roman"/>
          <w:sz w:val="24"/>
          <w:szCs w:val="24"/>
        </w:rPr>
      </w:pPr>
      <w:r w:rsidRPr="00EC1AB2">
        <w:rPr>
          <w:rFonts w:ascii="Times New Roman" w:hAnsi="Times New Roman" w:cs="Times New Roman"/>
          <w:sz w:val="24"/>
          <w:szCs w:val="24"/>
        </w:rPr>
        <w:t>Tyrimo tikslui pasiekti iškelti šie</w:t>
      </w:r>
      <w:r w:rsidRPr="00EC1AB2">
        <w:rPr>
          <w:rFonts w:ascii="Times New Roman" w:hAnsi="Times New Roman" w:cs="Times New Roman"/>
          <w:b/>
          <w:sz w:val="24"/>
          <w:szCs w:val="24"/>
        </w:rPr>
        <w:t xml:space="preserve"> </w:t>
      </w:r>
      <w:r w:rsidR="00892344" w:rsidRPr="00EC1AB2">
        <w:rPr>
          <w:rFonts w:ascii="Times New Roman" w:hAnsi="Times New Roman" w:cs="Times New Roman"/>
          <w:b/>
          <w:sz w:val="24"/>
          <w:szCs w:val="24"/>
        </w:rPr>
        <w:t>uždaviniai</w:t>
      </w:r>
      <w:r w:rsidR="00892344" w:rsidRPr="00EC1AB2">
        <w:rPr>
          <w:rFonts w:ascii="Times New Roman" w:hAnsi="Times New Roman" w:cs="Times New Roman"/>
          <w:sz w:val="24"/>
          <w:szCs w:val="24"/>
        </w:rPr>
        <w:t>:</w:t>
      </w:r>
    </w:p>
    <w:p w:rsidR="00892344" w:rsidRPr="00EC1AB2" w:rsidRDefault="00892344" w:rsidP="007A02A8">
      <w:pPr>
        <w:pStyle w:val="ListParagraph"/>
        <w:numPr>
          <w:ilvl w:val="0"/>
          <w:numId w:val="2"/>
        </w:num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sz w:val="24"/>
          <w:szCs w:val="24"/>
        </w:rPr>
        <w:t>Išnagrinėti Lietuvos suminį inovatyvumo indeksą bei jo sudedamąsias</w:t>
      </w:r>
      <w:r w:rsidR="00711ECB" w:rsidRPr="00EC1AB2">
        <w:rPr>
          <w:rFonts w:ascii="Times New Roman" w:hAnsi="Times New Roman" w:cs="Times New Roman"/>
          <w:sz w:val="24"/>
          <w:szCs w:val="24"/>
        </w:rPr>
        <w:t xml:space="preserve"> dalis</w:t>
      </w:r>
      <w:r w:rsidRPr="00EC1AB2">
        <w:rPr>
          <w:rFonts w:ascii="Times New Roman" w:hAnsi="Times New Roman" w:cs="Times New Roman"/>
          <w:sz w:val="24"/>
          <w:szCs w:val="24"/>
        </w:rPr>
        <w:t xml:space="preserve"> ir išskirti</w:t>
      </w:r>
      <w:r w:rsidR="00580C9E" w:rsidRPr="00EC1AB2">
        <w:rPr>
          <w:rFonts w:ascii="Times New Roman" w:hAnsi="Times New Roman" w:cs="Times New Roman"/>
          <w:sz w:val="24"/>
          <w:szCs w:val="24"/>
        </w:rPr>
        <w:t xml:space="preserve"> Lietuvos stipriąsias bei silpną</w:t>
      </w:r>
      <w:r w:rsidRPr="00EC1AB2">
        <w:rPr>
          <w:rFonts w:ascii="Times New Roman" w:hAnsi="Times New Roman" w:cs="Times New Roman"/>
          <w:sz w:val="24"/>
          <w:szCs w:val="24"/>
        </w:rPr>
        <w:t>sias puses;</w:t>
      </w:r>
    </w:p>
    <w:p w:rsidR="00892344" w:rsidRPr="00EC1AB2" w:rsidRDefault="00892344" w:rsidP="007A02A8">
      <w:pPr>
        <w:pStyle w:val="ListParagraph"/>
        <w:numPr>
          <w:ilvl w:val="0"/>
          <w:numId w:val="2"/>
        </w:num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sz w:val="24"/>
          <w:szCs w:val="24"/>
        </w:rPr>
        <w:t>Nustatyti koreliaciniu</w:t>
      </w:r>
      <w:r w:rsidR="003A5A2C" w:rsidRPr="00EC1AB2">
        <w:rPr>
          <w:rFonts w:ascii="Times New Roman" w:hAnsi="Times New Roman" w:cs="Times New Roman"/>
          <w:sz w:val="24"/>
          <w:szCs w:val="24"/>
        </w:rPr>
        <w:t>s ryšius tarp RKF</w:t>
      </w:r>
      <w:r w:rsidR="00482592" w:rsidRPr="00EC1AB2">
        <w:rPr>
          <w:rFonts w:ascii="Times New Roman" w:hAnsi="Times New Roman" w:cs="Times New Roman"/>
          <w:sz w:val="24"/>
          <w:szCs w:val="24"/>
        </w:rPr>
        <w:t xml:space="preserve"> investicijų</w:t>
      </w:r>
      <w:r w:rsidRPr="00EC1AB2">
        <w:rPr>
          <w:rFonts w:ascii="Times New Roman" w:hAnsi="Times New Roman" w:cs="Times New Roman"/>
          <w:sz w:val="24"/>
          <w:szCs w:val="24"/>
        </w:rPr>
        <w:t xml:space="preserve"> ir suminio inovatyvumo indekso sudedamųjų dalių</w:t>
      </w:r>
      <w:r w:rsidR="006B7646" w:rsidRPr="00EC1AB2">
        <w:rPr>
          <w:rFonts w:ascii="Times New Roman" w:hAnsi="Times New Roman" w:cs="Times New Roman"/>
          <w:sz w:val="24"/>
          <w:szCs w:val="24"/>
        </w:rPr>
        <w:t xml:space="preserve">, t.y. </w:t>
      </w:r>
      <w:r w:rsidR="007C413B" w:rsidRPr="00EC1AB2">
        <w:rPr>
          <w:rFonts w:ascii="Times New Roman" w:hAnsi="Times New Roman" w:cs="Times New Roman"/>
          <w:sz w:val="24"/>
          <w:szCs w:val="24"/>
        </w:rPr>
        <w:t xml:space="preserve">identifikuoti </w:t>
      </w:r>
      <w:r w:rsidR="00711ECB" w:rsidRPr="00EC1AB2">
        <w:rPr>
          <w:rFonts w:ascii="Times New Roman" w:hAnsi="Times New Roman" w:cs="Times New Roman"/>
          <w:sz w:val="24"/>
          <w:szCs w:val="24"/>
        </w:rPr>
        <w:t>rodiklius, kuriuos teigiama</w:t>
      </w:r>
      <w:r w:rsidR="00FB4669" w:rsidRPr="00EC1AB2">
        <w:rPr>
          <w:rFonts w:ascii="Times New Roman" w:hAnsi="Times New Roman" w:cs="Times New Roman"/>
          <w:sz w:val="24"/>
          <w:szCs w:val="24"/>
        </w:rPr>
        <w:t>i įtakoja RKF</w:t>
      </w:r>
      <w:r w:rsidR="00711ECB" w:rsidRPr="00EC1AB2">
        <w:rPr>
          <w:rFonts w:ascii="Times New Roman" w:hAnsi="Times New Roman" w:cs="Times New Roman"/>
          <w:sz w:val="24"/>
          <w:szCs w:val="24"/>
        </w:rPr>
        <w:t xml:space="preserve"> investicijos;</w:t>
      </w:r>
    </w:p>
    <w:p w:rsidR="00077F6F" w:rsidRPr="00EC1AB2" w:rsidRDefault="006B7646" w:rsidP="007A02A8">
      <w:pPr>
        <w:pStyle w:val="ListParagraph"/>
        <w:numPr>
          <w:ilvl w:val="0"/>
          <w:numId w:val="2"/>
        </w:num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sz w:val="24"/>
          <w:szCs w:val="24"/>
        </w:rPr>
        <w:t>Identifikuoti</w:t>
      </w:r>
      <w:r w:rsidR="003A5A2C" w:rsidRPr="00EC1AB2">
        <w:rPr>
          <w:rFonts w:ascii="Times New Roman" w:hAnsi="Times New Roman" w:cs="Times New Roman"/>
          <w:sz w:val="24"/>
          <w:szCs w:val="24"/>
        </w:rPr>
        <w:t xml:space="preserve"> RKF</w:t>
      </w:r>
      <w:r w:rsidR="00711ECB" w:rsidRPr="00EC1AB2">
        <w:rPr>
          <w:rFonts w:ascii="Times New Roman" w:hAnsi="Times New Roman" w:cs="Times New Roman"/>
          <w:sz w:val="24"/>
          <w:szCs w:val="24"/>
        </w:rPr>
        <w:t xml:space="preserve"> plėtros problemas </w:t>
      </w:r>
      <w:r w:rsidR="0019503C" w:rsidRPr="00EC1AB2">
        <w:rPr>
          <w:rFonts w:ascii="Times New Roman" w:hAnsi="Times New Roman" w:cs="Times New Roman"/>
          <w:sz w:val="24"/>
          <w:szCs w:val="24"/>
        </w:rPr>
        <w:t xml:space="preserve">Lietuvoje </w:t>
      </w:r>
      <w:r w:rsidRPr="00EC1AB2">
        <w:rPr>
          <w:rFonts w:ascii="Times New Roman" w:hAnsi="Times New Roman" w:cs="Times New Roman"/>
          <w:sz w:val="24"/>
          <w:szCs w:val="24"/>
        </w:rPr>
        <w:t>bei pat</w:t>
      </w:r>
      <w:r w:rsidR="008E5B08" w:rsidRPr="00EC1AB2">
        <w:rPr>
          <w:rFonts w:ascii="Times New Roman" w:hAnsi="Times New Roman" w:cs="Times New Roman"/>
          <w:sz w:val="24"/>
          <w:szCs w:val="24"/>
        </w:rPr>
        <w:t>eikti pasiūlymus</w:t>
      </w:r>
      <w:r w:rsidR="00711ECB" w:rsidRPr="00EC1AB2">
        <w:rPr>
          <w:rFonts w:ascii="Times New Roman" w:hAnsi="Times New Roman" w:cs="Times New Roman"/>
          <w:sz w:val="24"/>
          <w:szCs w:val="24"/>
        </w:rPr>
        <w:t xml:space="preserve"> </w:t>
      </w:r>
      <w:r w:rsidR="00B04A2C" w:rsidRPr="00EC1AB2">
        <w:rPr>
          <w:rFonts w:ascii="Times New Roman" w:hAnsi="Times New Roman" w:cs="Times New Roman"/>
          <w:sz w:val="24"/>
          <w:szCs w:val="24"/>
        </w:rPr>
        <w:t xml:space="preserve">šių </w:t>
      </w:r>
      <w:r w:rsidR="00DD6BC1" w:rsidRPr="00EC1AB2">
        <w:rPr>
          <w:rFonts w:ascii="Times New Roman" w:hAnsi="Times New Roman" w:cs="Times New Roman"/>
          <w:sz w:val="24"/>
          <w:szCs w:val="24"/>
        </w:rPr>
        <w:t>problemų sprendimui.</w:t>
      </w:r>
    </w:p>
    <w:p w:rsidR="00B308BA" w:rsidRPr="00EC1AB2" w:rsidRDefault="00482592" w:rsidP="007A02A8">
      <w:pPr>
        <w:autoSpaceDE w:val="0"/>
        <w:autoSpaceDN w:val="0"/>
        <w:adjustRightInd w:val="0"/>
        <w:spacing w:after="0" w:line="360" w:lineRule="auto"/>
        <w:ind w:firstLine="360"/>
        <w:jc w:val="both"/>
        <w:rPr>
          <w:rFonts w:ascii="Times New Roman" w:hAnsi="Times New Roman" w:cs="Times New Roman"/>
          <w:sz w:val="24"/>
          <w:szCs w:val="24"/>
        </w:rPr>
      </w:pPr>
      <w:r w:rsidRPr="00EC1AB2">
        <w:rPr>
          <w:rFonts w:ascii="Times New Roman" w:hAnsi="Times New Roman" w:cs="Times New Roman"/>
          <w:sz w:val="24"/>
          <w:szCs w:val="24"/>
        </w:rPr>
        <w:t>Taigi, atlikus tyrimą</w:t>
      </w:r>
      <w:r w:rsidR="00077F6F" w:rsidRPr="00EC1AB2">
        <w:rPr>
          <w:rFonts w:ascii="Times New Roman" w:hAnsi="Times New Roman" w:cs="Times New Roman"/>
          <w:sz w:val="24"/>
          <w:szCs w:val="24"/>
        </w:rPr>
        <w:t xml:space="preserve"> bus galima paneigti arba patvirtinti hipotezes apie RKF investicijų įtaką šalies pasiekimams inovacijų srityje bei pateikti gaires RKF plėtros skatinimui Lietuvoje.</w:t>
      </w:r>
    </w:p>
    <w:p w:rsidR="00590E24" w:rsidRPr="00EC1AB2" w:rsidRDefault="00590E24" w:rsidP="007A02A8">
      <w:pPr>
        <w:autoSpaceDE w:val="0"/>
        <w:autoSpaceDN w:val="0"/>
        <w:adjustRightInd w:val="0"/>
        <w:spacing w:after="0" w:line="360" w:lineRule="auto"/>
        <w:ind w:firstLine="720"/>
        <w:jc w:val="both"/>
        <w:rPr>
          <w:rFonts w:ascii="Times New Roman" w:hAnsi="Times New Roman" w:cs="Times New Roman"/>
          <w:sz w:val="24"/>
          <w:szCs w:val="24"/>
        </w:rPr>
      </w:pPr>
    </w:p>
    <w:p w:rsidR="00590E24" w:rsidRPr="00EC1AB2" w:rsidRDefault="00590E24" w:rsidP="007A02A8">
      <w:pPr>
        <w:autoSpaceDE w:val="0"/>
        <w:autoSpaceDN w:val="0"/>
        <w:adjustRightInd w:val="0"/>
        <w:spacing w:after="0" w:line="360" w:lineRule="auto"/>
        <w:ind w:firstLine="720"/>
        <w:jc w:val="both"/>
        <w:rPr>
          <w:rFonts w:ascii="Times New Roman" w:hAnsi="Times New Roman" w:cs="Times New Roman"/>
          <w:sz w:val="24"/>
          <w:szCs w:val="24"/>
        </w:rPr>
      </w:pPr>
    </w:p>
    <w:p w:rsidR="00590E24" w:rsidRPr="00EC1AB2" w:rsidRDefault="00590E24" w:rsidP="007A02A8">
      <w:pPr>
        <w:autoSpaceDE w:val="0"/>
        <w:autoSpaceDN w:val="0"/>
        <w:adjustRightInd w:val="0"/>
        <w:spacing w:after="0" w:line="360" w:lineRule="auto"/>
        <w:ind w:firstLine="720"/>
        <w:jc w:val="both"/>
        <w:rPr>
          <w:rFonts w:ascii="Times New Roman" w:hAnsi="Times New Roman" w:cs="Times New Roman"/>
          <w:sz w:val="24"/>
          <w:szCs w:val="24"/>
        </w:rPr>
      </w:pPr>
    </w:p>
    <w:p w:rsidR="00590E24" w:rsidRPr="00EC1AB2" w:rsidRDefault="00590E24" w:rsidP="007A02A8">
      <w:pPr>
        <w:autoSpaceDE w:val="0"/>
        <w:autoSpaceDN w:val="0"/>
        <w:adjustRightInd w:val="0"/>
        <w:spacing w:after="0" w:line="360" w:lineRule="auto"/>
        <w:ind w:firstLine="720"/>
        <w:jc w:val="both"/>
        <w:rPr>
          <w:rFonts w:ascii="Times New Roman" w:hAnsi="Times New Roman" w:cs="Times New Roman"/>
          <w:sz w:val="24"/>
          <w:szCs w:val="24"/>
        </w:rPr>
      </w:pPr>
    </w:p>
    <w:p w:rsidR="00E41A12" w:rsidRPr="00EC1AB2" w:rsidRDefault="001B54BB" w:rsidP="00812D85">
      <w:pPr>
        <w:pStyle w:val="Heading1"/>
        <w:numPr>
          <w:ilvl w:val="0"/>
          <w:numId w:val="32"/>
        </w:numPr>
        <w:spacing w:before="0" w:after="0" w:line="360" w:lineRule="auto"/>
        <w:rPr>
          <w:sz w:val="28"/>
          <w:szCs w:val="28"/>
        </w:rPr>
      </w:pPr>
      <w:bookmarkStart w:id="127" w:name="_Toc320566999"/>
      <w:bookmarkStart w:id="128" w:name="_Toc320567039"/>
      <w:bookmarkStart w:id="129" w:name="_Toc320567186"/>
      <w:bookmarkStart w:id="130" w:name="_Toc320761769"/>
      <w:bookmarkStart w:id="131" w:name="_Toc320761926"/>
      <w:bookmarkStart w:id="132" w:name="_Toc320762161"/>
      <w:bookmarkStart w:id="133" w:name="_Toc320762563"/>
      <w:bookmarkStart w:id="134" w:name="_Toc321092702"/>
      <w:r w:rsidRPr="00EC1AB2">
        <w:rPr>
          <w:sz w:val="28"/>
          <w:szCs w:val="28"/>
        </w:rPr>
        <w:lastRenderedPageBreak/>
        <w:t>RIZIKOS KAPITALO FONDŲ</w:t>
      </w:r>
      <w:r w:rsidR="004F1C44" w:rsidRPr="00EC1AB2">
        <w:rPr>
          <w:sz w:val="28"/>
          <w:szCs w:val="28"/>
        </w:rPr>
        <w:t xml:space="preserve"> </w:t>
      </w:r>
      <w:r w:rsidR="00590E24" w:rsidRPr="00EC1AB2">
        <w:rPr>
          <w:sz w:val="28"/>
          <w:szCs w:val="28"/>
        </w:rPr>
        <w:t xml:space="preserve">PLĖTROS </w:t>
      </w:r>
      <w:bookmarkEnd w:id="127"/>
      <w:bookmarkEnd w:id="128"/>
      <w:bookmarkEnd w:id="129"/>
      <w:bookmarkEnd w:id="130"/>
      <w:bookmarkEnd w:id="131"/>
      <w:bookmarkEnd w:id="132"/>
      <w:bookmarkEnd w:id="133"/>
      <w:r w:rsidRPr="00EC1AB2">
        <w:rPr>
          <w:sz w:val="28"/>
          <w:szCs w:val="28"/>
        </w:rPr>
        <w:t>PROBLEMOS BEI JŲ ŠALINIMO GAIRĖS</w:t>
      </w:r>
      <w:bookmarkEnd w:id="134"/>
    </w:p>
    <w:p w:rsidR="003B4694" w:rsidRPr="00EC1AB2" w:rsidRDefault="003B4694" w:rsidP="007A02A8">
      <w:pPr>
        <w:pStyle w:val="Heading1"/>
        <w:spacing w:before="0" w:after="0" w:line="360" w:lineRule="auto"/>
        <w:rPr>
          <w:sz w:val="28"/>
          <w:szCs w:val="28"/>
        </w:rPr>
      </w:pPr>
    </w:p>
    <w:p w:rsidR="003B4694" w:rsidRPr="00EC1AB2" w:rsidRDefault="003B4694"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Pirmoje šio s</w:t>
      </w:r>
      <w:r w:rsidR="0092195B" w:rsidRPr="00EC1AB2">
        <w:rPr>
          <w:rFonts w:ascii="Times New Roman" w:hAnsi="Times New Roman" w:cs="Times New Roman"/>
          <w:sz w:val="24"/>
          <w:szCs w:val="24"/>
        </w:rPr>
        <w:t>kyriaus dalyje bus analizuojami Lietuvoje pasiekti rezultatai diegiant inovacijas</w:t>
      </w:r>
      <w:r w:rsidRPr="00EC1AB2">
        <w:rPr>
          <w:rFonts w:ascii="Times New Roman" w:hAnsi="Times New Roman" w:cs="Times New Roman"/>
          <w:sz w:val="24"/>
          <w:szCs w:val="24"/>
        </w:rPr>
        <w:t xml:space="preserve"> </w:t>
      </w:r>
      <w:r w:rsidR="0092195B" w:rsidRPr="00EC1AB2">
        <w:rPr>
          <w:rFonts w:ascii="Times New Roman" w:hAnsi="Times New Roman" w:cs="Times New Roman"/>
          <w:sz w:val="24"/>
          <w:szCs w:val="24"/>
        </w:rPr>
        <w:t>bei</w:t>
      </w:r>
      <w:r w:rsidR="00AC3DC3" w:rsidRPr="00EC1AB2">
        <w:rPr>
          <w:rFonts w:ascii="Times New Roman" w:hAnsi="Times New Roman" w:cs="Times New Roman"/>
          <w:sz w:val="24"/>
          <w:szCs w:val="24"/>
        </w:rPr>
        <w:t xml:space="preserve">, siekiant </w:t>
      </w:r>
      <w:r w:rsidRPr="00EC1AB2">
        <w:rPr>
          <w:rFonts w:ascii="Times New Roman" w:hAnsi="Times New Roman" w:cs="Times New Roman"/>
          <w:sz w:val="24"/>
          <w:szCs w:val="24"/>
        </w:rPr>
        <w:t xml:space="preserve"> identifikuoti</w:t>
      </w:r>
      <w:r w:rsidR="00AC3DC3" w:rsidRPr="00EC1AB2">
        <w:rPr>
          <w:rFonts w:ascii="Times New Roman" w:hAnsi="Times New Roman" w:cs="Times New Roman"/>
          <w:sz w:val="24"/>
          <w:szCs w:val="24"/>
        </w:rPr>
        <w:t xml:space="preserve"> Lietuvos</w:t>
      </w:r>
      <w:r w:rsidRPr="00EC1AB2">
        <w:rPr>
          <w:rFonts w:ascii="Times New Roman" w:hAnsi="Times New Roman" w:cs="Times New Roman"/>
          <w:sz w:val="24"/>
          <w:szCs w:val="24"/>
        </w:rPr>
        <w:t xml:space="preserve"> s</w:t>
      </w:r>
      <w:r w:rsidR="004918CF" w:rsidRPr="00EC1AB2">
        <w:rPr>
          <w:rFonts w:ascii="Times New Roman" w:hAnsi="Times New Roman" w:cs="Times New Roman"/>
          <w:sz w:val="24"/>
          <w:szCs w:val="24"/>
        </w:rPr>
        <w:t xml:space="preserve">tipriąsias bei silpnąsias </w:t>
      </w:r>
      <w:r w:rsidR="0092195B" w:rsidRPr="00EC1AB2">
        <w:rPr>
          <w:rFonts w:ascii="Times New Roman" w:hAnsi="Times New Roman" w:cs="Times New Roman"/>
          <w:sz w:val="24"/>
          <w:szCs w:val="24"/>
        </w:rPr>
        <w:t xml:space="preserve">puses šioje </w:t>
      </w:r>
      <w:r w:rsidR="00DF3D61" w:rsidRPr="00EC1AB2">
        <w:rPr>
          <w:rFonts w:ascii="Times New Roman" w:hAnsi="Times New Roman" w:cs="Times New Roman"/>
          <w:sz w:val="24"/>
          <w:szCs w:val="24"/>
        </w:rPr>
        <w:t>srityje</w:t>
      </w:r>
      <w:r w:rsidR="004918CF" w:rsidRPr="00EC1AB2">
        <w:rPr>
          <w:rFonts w:ascii="Times New Roman" w:hAnsi="Times New Roman" w:cs="Times New Roman"/>
          <w:sz w:val="24"/>
          <w:szCs w:val="24"/>
        </w:rPr>
        <w:t>.</w:t>
      </w:r>
      <w:r w:rsidR="00AC3DC3" w:rsidRPr="00EC1AB2">
        <w:rPr>
          <w:rFonts w:ascii="Times New Roman" w:hAnsi="Times New Roman" w:cs="Times New Roman"/>
          <w:sz w:val="24"/>
          <w:szCs w:val="24"/>
        </w:rPr>
        <w:t xml:space="preserve"> Antrame skyriuje bus atliekama RKF apimties ir suminio inovatyvumo indekso koreliacinė analizė, siekiant nustatyti RKF įtaką šalies pasiekimams inovacijų srityje.</w:t>
      </w:r>
      <w:r w:rsidR="009C497D" w:rsidRPr="00EC1AB2">
        <w:rPr>
          <w:rFonts w:ascii="Times New Roman" w:hAnsi="Times New Roman" w:cs="Times New Roman"/>
          <w:sz w:val="24"/>
          <w:szCs w:val="24"/>
        </w:rPr>
        <w:t xml:space="preserve"> Pa</w:t>
      </w:r>
      <w:r w:rsidR="0092195B" w:rsidRPr="00EC1AB2">
        <w:rPr>
          <w:rFonts w:ascii="Times New Roman" w:hAnsi="Times New Roman" w:cs="Times New Roman"/>
          <w:sz w:val="24"/>
          <w:szCs w:val="24"/>
        </w:rPr>
        <w:t>s</w:t>
      </w:r>
      <w:r w:rsidR="009C497D" w:rsidRPr="00EC1AB2">
        <w:rPr>
          <w:rFonts w:ascii="Times New Roman" w:hAnsi="Times New Roman" w:cs="Times New Roman"/>
          <w:sz w:val="24"/>
          <w:szCs w:val="24"/>
        </w:rPr>
        <w:t>kutiniame</w:t>
      </w:r>
      <w:r w:rsidR="006747DA" w:rsidRPr="00EC1AB2">
        <w:rPr>
          <w:rFonts w:ascii="Times New Roman" w:hAnsi="Times New Roman" w:cs="Times New Roman"/>
          <w:sz w:val="24"/>
          <w:szCs w:val="24"/>
        </w:rPr>
        <w:t xml:space="preserve"> šio skyriaus poskyryje </w:t>
      </w:r>
      <w:r w:rsidR="009C497D" w:rsidRPr="00EC1AB2">
        <w:rPr>
          <w:rFonts w:ascii="Times New Roman" w:hAnsi="Times New Roman" w:cs="Times New Roman"/>
          <w:sz w:val="24"/>
          <w:szCs w:val="24"/>
        </w:rPr>
        <w:t xml:space="preserve">bus </w:t>
      </w:r>
      <w:r w:rsidR="006747DA" w:rsidRPr="00EC1AB2">
        <w:rPr>
          <w:rFonts w:ascii="Times New Roman" w:hAnsi="Times New Roman" w:cs="Times New Roman"/>
          <w:sz w:val="24"/>
          <w:szCs w:val="24"/>
        </w:rPr>
        <w:t>ana</w:t>
      </w:r>
      <w:r w:rsidR="009C497D" w:rsidRPr="00EC1AB2">
        <w:rPr>
          <w:rFonts w:ascii="Times New Roman" w:hAnsi="Times New Roman" w:cs="Times New Roman"/>
          <w:sz w:val="24"/>
          <w:szCs w:val="24"/>
        </w:rPr>
        <w:t>lizuojamos RKF plėtrai Lietuvoje kylančios kliūtys bei pateikiamos jų šalinimo gairės.</w:t>
      </w:r>
    </w:p>
    <w:p w:rsidR="00E41A12" w:rsidRPr="00EC1AB2" w:rsidRDefault="00E41A12" w:rsidP="007A02A8">
      <w:pPr>
        <w:autoSpaceDE w:val="0"/>
        <w:autoSpaceDN w:val="0"/>
        <w:adjustRightInd w:val="0"/>
        <w:spacing w:after="0" w:line="360" w:lineRule="auto"/>
        <w:rPr>
          <w:rFonts w:ascii="Times New Roman" w:hAnsi="Times New Roman" w:cs="Times New Roman"/>
          <w:b/>
          <w:sz w:val="28"/>
          <w:szCs w:val="28"/>
        </w:rPr>
      </w:pPr>
    </w:p>
    <w:p w:rsidR="005C0646" w:rsidRPr="00EC1AB2" w:rsidRDefault="0092195B" w:rsidP="00812D85">
      <w:pPr>
        <w:pStyle w:val="Heading2"/>
        <w:numPr>
          <w:ilvl w:val="1"/>
          <w:numId w:val="32"/>
        </w:numPr>
        <w:spacing w:before="0" w:after="0" w:line="360" w:lineRule="auto"/>
        <w:rPr>
          <w:i w:val="0"/>
          <w:sz w:val="24"/>
          <w:szCs w:val="24"/>
        </w:rPr>
      </w:pPr>
      <w:bookmarkStart w:id="135" w:name="_Toc320567000"/>
      <w:bookmarkStart w:id="136" w:name="_Toc320567040"/>
      <w:bookmarkStart w:id="137" w:name="_Toc320567187"/>
      <w:bookmarkStart w:id="138" w:name="_Toc320761770"/>
      <w:bookmarkStart w:id="139" w:name="_Toc320761927"/>
      <w:bookmarkStart w:id="140" w:name="_Toc320762162"/>
      <w:bookmarkStart w:id="141" w:name="_Toc320762564"/>
      <w:bookmarkStart w:id="142" w:name="_Toc321092703"/>
      <w:r w:rsidRPr="00EC1AB2">
        <w:rPr>
          <w:i w:val="0"/>
          <w:sz w:val="24"/>
          <w:szCs w:val="24"/>
        </w:rPr>
        <w:t xml:space="preserve">Lietuvos suminio inovatyvumo </w:t>
      </w:r>
      <w:r w:rsidR="00BC1B73" w:rsidRPr="00EC1AB2">
        <w:rPr>
          <w:i w:val="0"/>
          <w:sz w:val="24"/>
          <w:szCs w:val="24"/>
        </w:rPr>
        <w:t xml:space="preserve">indekso </w:t>
      </w:r>
      <w:r w:rsidRPr="00EC1AB2">
        <w:rPr>
          <w:i w:val="0"/>
          <w:sz w:val="24"/>
          <w:szCs w:val="24"/>
        </w:rPr>
        <w:t>analizė</w:t>
      </w:r>
      <w:r w:rsidR="00F0507B" w:rsidRPr="00EC1AB2">
        <w:rPr>
          <w:i w:val="0"/>
          <w:sz w:val="24"/>
          <w:szCs w:val="24"/>
        </w:rPr>
        <w:t xml:space="preserve"> </w:t>
      </w:r>
      <w:r w:rsidR="003B4694" w:rsidRPr="00EC1AB2">
        <w:rPr>
          <w:i w:val="0"/>
          <w:sz w:val="24"/>
          <w:szCs w:val="24"/>
        </w:rPr>
        <w:t>ES</w:t>
      </w:r>
      <w:r w:rsidR="007F5B0E" w:rsidRPr="00EC1AB2">
        <w:rPr>
          <w:i w:val="0"/>
          <w:sz w:val="24"/>
          <w:szCs w:val="24"/>
        </w:rPr>
        <w:t xml:space="preserve"> kontekste</w:t>
      </w:r>
      <w:bookmarkEnd w:id="135"/>
      <w:bookmarkEnd w:id="136"/>
      <w:bookmarkEnd w:id="137"/>
      <w:bookmarkEnd w:id="138"/>
      <w:bookmarkEnd w:id="139"/>
      <w:bookmarkEnd w:id="140"/>
      <w:bookmarkEnd w:id="141"/>
      <w:bookmarkEnd w:id="142"/>
    </w:p>
    <w:p w:rsidR="0037762C" w:rsidRPr="00EC1AB2" w:rsidRDefault="0037762C" w:rsidP="007A02A8">
      <w:pPr>
        <w:pStyle w:val="Heading2"/>
        <w:spacing w:before="0" w:after="0" w:line="360" w:lineRule="auto"/>
        <w:jc w:val="center"/>
        <w:rPr>
          <w:i w:val="0"/>
          <w:sz w:val="28"/>
          <w:szCs w:val="28"/>
        </w:rPr>
      </w:pPr>
    </w:p>
    <w:p w:rsidR="00687340" w:rsidRPr="00EC1AB2" w:rsidRDefault="0037762C"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Ekonomikos konkurencing</w:t>
      </w:r>
      <w:r w:rsidR="002B7B1F" w:rsidRPr="00EC1AB2">
        <w:rPr>
          <w:rFonts w:ascii="Times New Roman" w:hAnsi="Times New Roman" w:cs="Times New Roman"/>
          <w:sz w:val="24"/>
          <w:szCs w:val="24"/>
        </w:rPr>
        <w:t>umas ir augimas glaudžiai susiję</w:t>
      </w:r>
      <w:r w:rsidRPr="00EC1AB2">
        <w:rPr>
          <w:rFonts w:ascii="Times New Roman" w:hAnsi="Times New Roman" w:cs="Times New Roman"/>
          <w:sz w:val="24"/>
          <w:szCs w:val="24"/>
        </w:rPr>
        <w:t>s su inovacijomis – jos leidžia pasiekti didesnį verslo našumą ir pelningumą. Be to, sunkmečio laikot</w:t>
      </w:r>
      <w:r w:rsidR="002B7B1F" w:rsidRPr="00EC1AB2">
        <w:rPr>
          <w:rFonts w:ascii="Times New Roman" w:hAnsi="Times New Roman" w:cs="Times New Roman"/>
          <w:sz w:val="24"/>
          <w:szCs w:val="24"/>
        </w:rPr>
        <w:t>arpiu lengviau išlikti ir verslą</w:t>
      </w:r>
      <w:r w:rsidRPr="00EC1AB2">
        <w:rPr>
          <w:rFonts w:ascii="Times New Roman" w:hAnsi="Times New Roman" w:cs="Times New Roman"/>
          <w:sz w:val="24"/>
          <w:szCs w:val="24"/>
        </w:rPr>
        <w:t xml:space="preserve"> plėtoti dides</w:t>
      </w:r>
      <w:r w:rsidR="002B7B1F" w:rsidRPr="00EC1AB2">
        <w:rPr>
          <w:rFonts w:ascii="Times New Roman" w:hAnsi="Times New Roman" w:cs="Times New Roman"/>
          <w:sz w:val="24"/>
          <w:szCs w:val="24"/>
        </w:rPr>
        <w:t>nę pridėtinę vertę kuriančioms į</w:t>
      </w:r>
      <w:r w:rsidRPr="00EC1AB2">
        <w:rPr>
          <w:rFonts w:ascii="Times New Roman" w:hAnsi="Times New Roman" w:cs="Times New Roman"/>
          <w:sz w:val="24"/>
          <w:szCs w:val="24"/>
        </w:rPr>
        <w:t>monėms, diegiančioms naujas technologijas, pažangius metodus ir kit</w:t>
      </w:r>
      <w:r w:rsidR="008D4B1F" w:rsidRPr="00EC1AB2">
        <w:rPr>
          <w:rFonts w:ascii="Times New Roman" w:hAnsi="Times New Roman" w:cs="Times New Roman"/>
          <w:sz w:val="24"/>
          <w:szCs w:val="24"/>
        </w:rPr>
        <w:t>as inovacijas, kurios sąlygo</w:t>
      </w:r>
      <w:r w:rsidR="007B7A6B" w:rsidRPr="00EC1AB2">
        <w:rPr>
          <w:rFonts w:ascii="Times New Roman" w:hAnsi="Times New Roman" w:cs="Times New Roman"/>
          <w:sz w:val="24"/>
          <w:szCs w:val="24"/>
        </w:rPr>
        <w:t xml:space="preserve">ja </w:t>
      </w:r>
      <w:r w:rsidR="008D4B1F" w:rsidRPr="00EC1AB2">
        <w:rPr>
          <w:rFonts w:ascii="Times New Roman" w:hAnsi="Times New Roman" w:cs="Times New Roman"/>
          <w:sz w:val="24"/>
          <w:szCs w:val="24"/>
        </w:rPr>
        <w:t>įmonės veiklos rodiklių didėjimą</w:t>
      </w:r>
      <w:r w:rsidR="007B7A6B" w:rsidRPr="00EC1AB2">
        <w:rPr>
          <w:rFonts w:ascii="Times New Roman" w:hAnsi="Times New Roman" w:cs="Times New Roman"/>
          <w:sz w:val="24"/>
          <w:szCs w:val="24"/>
        </w:rPr>
        <w:t xml:space="preserve"> (tokių</w:t>
      </w:r>
      <w:r w:rsidR="002F34A1" w:rsidRPr="00EC1AB2">
        <w:rPr>
          <w:rFonts w:ascii="Times New Roman" w:hAnsi="Times New Roman" w:cs="Times New Roman"/>
          <w:sz w:val="24"/>
          <w:szCs w:val="24"/>
        </w:rPr>
        <w:t xml:space="preserve"> kaip produktyvumas, </w:t>
      </w:r>
      <w:r w:rsidR="008D4B1F" w:rsidRPr="00EC1AB2">
        <w:rPr>
          <w:rFonts w:ascii="Times New Roman" w:hAnsi="Times New Roman" w:cs="Times New Roman"/>
          <w:sz w:val="24"/>
          <w:szCs w:val="24"/>
        </w:rPr>
        <w:t>pa</w:t>
      </w:r>
      <w:r w:rsidR="002F34A1" w:rsidRPr="00EC1AB2">
        <w:rPr>
          <w:rFonts w:ascii="Times New Roman" w:hAnsi="Times New Roman" w:cs="Times New Roman"/>
          <w:sz w:val="24"/>
          <w:szCs w:val="24"/>
        </w:rPr>
        <w:t xml:space="preserve">rdavimai, </w:t>
      </w:r>
      <w:r w:rsidR="008D4B1F" w:rsidRPr="00EC1AB2">
        <w:rPr>
          <w:rFonts w:ascii="Times New Roman" w:hAnsi="Times New Roman" w:cs="Times New Roman"/>
          <w:sz w:val="24"/>
          <w:szCs w:val="24"/>
        </w:rPr>
        <w:t>peln</w:t>
      </w:r>
      <w:r w:rsidR="007B7A6B" w:rsidRPr="00EC1AB2">
        <w:rPr>
          <w:rFonts w:ascii="Times New Roman" w:hAnsi="Times New Roman" w:cs="Times New Roman"/>
          <w:sz w:val="24"/>
          <w:szCs w:val="24"/>
        </w:rPr>
        <w:t>as).</w:t>
      </w:r>
      <w:r w:rsidR="004218F2" w:rsidRPr="00EC1AB2">
        <w:rPr>
          <w:rFonts w:ascii="Times New Roman" w:hAnsi="Times New Roman" w:cs="Times New Roman"/>
          <w:sz w:val="24"/>
          <w:szCs w:val="24"/>
        </w:rPr>
        <w:t xml:space="preserve"> Taigi, t</w:t>
      </w:r>
      <w:r w:rsidR="00687340" w:rsidRPr="00EC1AB2">
        <w:rPr>
          <w:rFonts w:ascii="Times New Roman" w:hAnsi="Times New Roman" w:cs="Times New Roman"/>
          <w:sz w:val="24"/>
          <w:szCs w:val="24"/>
        </w:rPr>
        <w:t>radiciniais gamybos veiksniais grindžiamas ekonomikos augimas yra trumpalaikis, o aukštą produktyvumą ilguoju laikotarpiu užtikrina tik inovacijomis grindžiama į</w:t>
      </w:r>
      <w:r w:rsidR="009C4F26" w:rsidRPr="00EC1AB2">
        <w:rPr>
          <w:rFonts w:ascii="Times New Roman" w:hAnsi="Times New Roman" w:cs="Times New Roman"/>
          <w:sz w:val="24"/>
          <w:szCs w:val="24"/>
        </w:rPr>
        <w:t>monių</w:t>
      </w:r>
      <w:r w:rsidR="00687340" w:rsidRPr="00EC1AB2">
        <w:rPr>
          <w:rFonts w:ascii="Times New Roman" w:hAnsi="Times New Roman" w:cs="Times New Roman"/>
          <w:sz w:val="24"/>
          <w:szCs w:val="24"/>
        </w:rPr>
        <w:t xml:space="preserve"> veikla.</w:t>
      </w:r>
    </w:p>
    <w:p w:rsidR="00302416" w:rsidRPr="00EC1AB2" w:rsidRDefault="00004960"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Riboto biudžeto, didelių demografinių pokyčių ir didėjančios pasaulinės konkurencijos laikotarpiu ES </w:t>
      </w:r>
      <w:r w:rsidR="00536798" w:rsidRPr="00EC1AB2">
        <w:rPr>
          <w:rFonts w:ascii="Times New Roman" w:hAnsi="Times New Roman" w:cs="Times New Roman"/>
          <w:sz w:val="24"/>
          <w:szCs w:val="24"/>
        </w:rPr>
        <w:t xml:space="preserve">ypač didelį dėmesį skiria </w:t>
      </w:r>
      <w:r w:rsidRPr="00EC1AB2">
        <w:rPr>
          <w:rFonts w:ascii="Times New Roman" w:hAnsi="Times New Roman" w:cs="Times New Roman"/>
          <w:sz w:val="24"/>
          <w:szCs w:val="24"/>
        </w:rPr>
        <w:t>produktų, paslaugų, verslo ir socialinių procesų</w:t>
      </w:r>
      <w:r w:rsidR="00536798" w:rsidRPr="00EC1AB2">
        <w:rPr>
          <w:rFonts w:ascii="Times New Roman" w:hAnsi="Times New Roman" w:cs="Times New Roman"/>
          <w:sz w:val="24"/>
          <w:szCs w:val="24"/>
        </w:rPr>
        <w:t xml:space="preserve"> bei </w:t>
      </w:r>
      <w:r w:rsidRPr="00EC1AB2">
        <w:rPr>
          <w:rFonts w:ascii="Times New Roman" w:hAnsi="Times New Roman" w:cs="Times New Roman"/>
          <w:sz w:val="24"/>
          <w:szCs w:val="24"/>
        </w:rPr>
        <w:t>modelių</w:t>
      </w:r>
      <w:r w:rsidR="00536798" w:rsidRPr="00EC1AB2">
        <w:rPr>
          <w:rFonts w:ascii="Times New Roman" w:hAnsi="Times New Roman" w:cs="Times New Roman"/>
          <w:sz w:val="24"/>
          <w:szCs w:val="24"/>
        </w:rPr>
        <w:t xml:space="preserve"> inovacijų skatinimui</w:t>
      </w:r>
      <w:r w:rsidR="00302416" w:rsidRPr="00EC1AB2">
        <w:rPr>
          <w:rFonts w:ascii="Times New Roman" w:hAnsi="Times New Roman" w:cs="Times New Roman"/>
          <w:sz w:val="24"/>
          <w:szCs w:val="24"/>
        </w:rPr>
        <w:t>, todėl s</w:t>
      </w:r>
      <w:r w:rsidR="003A5FE3" w:rsidRPr="00EC1AB2">
        <w:rPr>
          <w:rFonts w:ascii="Times New Roman" w:hAnsi="Times New Roman" w:cs="Times New Roman"/>
          <w:sz w:val="24"/>
          <w:szCs w:val="24"/>
        </w:rPr>
        <w:t>trategijoje „Europa 2020“</w:t>
      </w:r>
      <w:r w:rsidR="0006174C" w:rsidRPr="00EC1AB2">
        <w:rPr>
          <w:rFonts w:ascii="Times New Roman" w:hAnsi="Times New Roman" w:cs="Times New Roman"/>
          <w:sz w:val="24"/>
          <w:szCs w:val="24"/>
        </w:rPr>
        <w:t xml:space="preserve"> </w:t>
      </w:r>
      <w:r w:rsidR="001F723C" w:rsidRPr="00EC1AB2">
        <w:rPr>
          <w:rFonts w:ascii="Times New Roman" w:hAnsi="Times New Roman" w:cs="Times New Roman"/>
          <w:sz w:val="24"/>
          <w:szCs w:val="24"/>
        </w:rPr>
        <w:t>viena iš pagri</w:t>
      </w:r>
      <w:r w:rsidR="009C4F26" w:rsidRPr="00EC1AB2">
        <w:rPr>
          <w:rFonts w:ascii="Times New Roman" w:hAnsi="Times New Roman" w:cs="Times New Roman"/>
          <w:sz w:val="24"/>
          <w:szCs w:val="24"/>
        </w:rPr>
        <w:t>n</w:t>
      </w:r>
      <w:r w:rsidR="001F723C" w:rsidRPr="00EC1AB2">
        <w:rPr>
          <w:rFonts w:ascii="Times New Roman" w:hAnsi="Times New Roman" w:cs="Times New Roman"/>
          <w:sz w:val="24"/>
          <w:szCs w:val="24"/>
        </w:rPr>
        <w:t>dinių</w:t>
      </w:r>
      <w:r w:rsidR="001C798E" w:rsidRPr="00EC1AB2">
        <w:rPr>
          <w:rFonts w:ascii="Times New Roman" w:hAnsi="Times New Roman" w:cs="Times New Roman"/>
          <w:sz w:val="24"/>
          <w:szCs w:val="24"/>
        </w:rPr>
        <w:t xml:space="preserve"> septynių</w:t>
      </w:r>
      <w:r w:rsidR="009C4F26" w:rsidRPr="00EC1AB2">
        <w:rPr>
          <w:rFonts w:ascii="Times New Roman" w:hAnsi="Times New Roman" w:cs="Times New Roman"/>
          <w:sz w:val="24"/>
          <w:szCs w:val="24"/>
        </w:rPr>
        <w:t xml:space="preserve"> inicia</w:t>
      </w:r>
      <w:r w:rsidR="001F723C" w:rsidRPr="00EC1AB2">
        <w:rPr>
          <w:rFonts w:ascii="Times New Roman" w:hAnsi="Times New Roman" w:cs="Times New Roman"/>
          <w:sz w:val="24"/>
          <w:szCs w:val="24"/>
        </w:rPr>
        <w:t xml:space="preserve">tyvų yra „Inovacijų sąjunga“. </w:t>
      </w:r>
    </w:p>
    <w:p w:rsidR="00DE1171" w:rsidRPr="00EC1AB2" w:rsidRDefault="00091CC5"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„Inovacijų sąjungos“ tikslas – pagerinti mokslinių tyrimų ir inovacijų finansavimo sąlygas bei galimybes ir užtikrinti, kad novatoriškos idėjos taptų produktais ir paslaugomis, kuriais skatinamas a</w:t>
      </w:r>
      <w:r w:rsidR="00733CAF" w:rsidRPr="00EC1AB2">
        <w:rPr>
          <w:rFonts w:ascii="Times New Roman" w:hAnsi="Times New Roman" w:cs="Times New Roman"/>
          <w:sz w:val="24"/>
          <w:szCs w:val="24"/>
        </w:rPr>
        <w:t xml:space="preserve">ugimas ir sukuriama darbo vietų. </w:t>
      </w:r>
    </w:p>
    <w:p w:rsidR="00D047FD" w:rsidRPr="00EC1AB2" w:rsidRDefault="00837BF2" w:rsidP="007A02A8">
      <w:pPr>
        <w:pStyle w:val="NormalWeb"/>
        <w:spacing w:line="360" w:lineRule="auto"/>
        <w:ind w:firstLine="567"/>
        <w:jc w:val="both"/>
      </w:pPr>
      <w:r w:rsidRPr="00EC1AB2">
        <w:t>Lietuvoje inovacijų politiką formuoja ir jos įgyvendinimą a</w:t>
      </w:r>
      <w:r w:rsidR="005F67F2" w:rsidRPr="00EC1AB2">
        <w:t>dministruoja Švietimo ir mokslo bei Ūkio ministerijos.</w:t>
      </w:r>
      <w:r w:rsidRPr="00EC1AB2">
        <w:t xml:space="preserve"> Švietimo ir mokslo ministerija atsakinga už mokslinių tyrimų ir eksperimentinės pl</w:t>
      </w:r>
      <w:r w:rsidR="00D262BA" w:rsidRPr="00EC1AB2">
        <w:t xml:space="preserve">ėtros politiką, </w:t>
      </w:r>
      <w:r w:rsidR="000F64C4" w:rsidRPr="00EC1AB2">
        <w:t xml:space="preserve">Ūkio ministerija savo ruožtu – </w:t>
      </w:r>
      <w:r w:rsidR="00D262BA" w:rsidRPr="00EC1AB2">
        <w:t>už inovacijų aplinkos gerinimo politiką</w:t>
      </w:r>
      <w:r w:rsidR="00DE1171" w:rsidRPr="00EC1AB2">
        <w:t>.</w:t>
      </w:r>
      <w:r w:rsidR="00D047FD" w:rsidRPr="00EC1AB2">
        <w:t xml:space="preserve"> </w:t>
      </w:r>
    </w:p>
    <w:p w:rsidR="00CB7CB5" w:rsidRPr="00EC1AB2" w:rsidRDefault="00F1404D" w:rsidP="007A02A8">
      <w:pPr>
        <w:pStyle w:val="NormalWeb"/>
        <w:spacing w:line="360" w:lineRule="auto"/>
        <w:ind w:firstLine="567"/>
        <w:jc w:val="both"/>
      </w:pPr>
      <w:r w:rsidRPr="00EC1AB2">
        <w:t>Atsižvelgiant į strategijos „Europa 2020</w:t>
      </w:r>
      <w:r w:rsidR="00AC099F" w:rsidRPr="00EC1AB2">
        <w:t xml:space="preserve">“ iniciatyvą „Inovacijų sąjunga“ Lietuvoje buvo parengta </w:t>
      </w:r>
      <w:hyperlink r:id="rId26" w:tgtFrame="_parent" w:history="1">
        <w:r w:rsidR="00837BF2" w:rsidRPr="00EC1AB2">
          <w:rPr>
            <w:rStyle w:val="Hyperlink"/>
            <w:color w:val="auto"/>
          </w:rPr>
          <w:t>Lietuvos inovacijų 2010–2020 metų strategija</w:t>
        </w:r>
      </w:hyperlink>
      <w:r w:rsidR="00DE1171" w:rsidRPr="00EC1AB2">
        <w:t>, o s</w:t>
      </w:r>
      <w:r w:rsidR="00883BAC" w:rsidRPr="00EC1AB2">
        <w:t xml:space="preserve">iekiant užtikrinti veiksmingą strategijos tikslų įgyvendinimą, patvirtintas </w:t>
      </w:r>
      <w:hyperlink r:id="rId27" w:tgtFrame="_parent" w:history="1">
        <w:r w:rsidR="00883BAC" w:rsidRPr="00EC1AB2">
          <w:rPr>
            <w:rStyle w:val="Hyperlink"/>
            <w:color w:val="auto"/>
          </w:rPr>
          <w:t>strategijos įgyvendinimo 2010–2013 metų priemonių planas</w:t>
        </w:r>
      </w:hyperlink>
      <w:r w:rsidR="00461EA7" w:rsidRPr="00EC1AB2">
        <w:t>.</w:t>
      </w:r>
      <w:r w:rsidR="004D6C53" w:rsidRPr="00EC1AB2">
        <w:t xml:space="preserve"> Pažymėtina, kad </w:t>
      </w:r>
      <w:r w:rsidR="00CB7CB5" w:rsidRPr="00EC1AB2">
        <w:t xml:space="preserve">Lietuvos strategijos įgyvendinimo rezultatai, kaip ir kitų </w:t>
      </w:r>
      <w:r w:rsidR="001E3C2B" w:rsidRPr="00EC1AB2">
        <w:t>šalių narių rezultatai inovacijų srityje</w:t>
      </w:r>
      <w:r w:rsidR="00EB600D" w:rsidRPr="00EC1AB2">
        <w:t>,</w:t>
      </w:r>
      <w:r w:rsidR="00CB7CB5" w:rsidRPr="00EC1AB2">
        <w:t xml:space="preserve"> vertinami</w:t>
      </w:r>
      <w:r w:rsidR="00EB600D" w:rsidRPr="00EC1AB2">
        <w:t xml:space="preserve"> pagal</w:t>
      </w:r>
      <w:r w:rsidR="00CB7CB5" w:rsidRPr="00EC1AB2">
        <w:t xml:space="preserve"> </w:t>
      </w:r>
      <w:hyperlink r:id="rId28" w:history="1">
        <w:r w:rsidR="00CB7CB5" w:rsidRPr="00EC1AB2">
          <w:rPr>
            <w:rStyle w:val="Hyperlink"/>
            <w:color w:val="auto"/>
          </w:rPr>
          <w:t>Inovacijų sąjungos švieslentės</w:t>
        </w:r>
        <w:r w:rsidR="009522A9" w:rsidRPr="00EC1AB2">
          <w:rPr>
            <w:rStyle w:val="Hyperlink"/>
            <w:color w:val="auto"/>
          </w:rPr>
          <w:t xml:space="preserve"> (</w:t>
        </w:r>
        <w:r w:rsidR="009522A9" w:rsidRPr="00EC1AB2">
          <w:t>rezultatų suvestinės)</w:t>
        </w:r>
        <w:r w:rsidR="00CB7CB5" w:rsidRPr="00EC1AB2">
          <w:rPr>
            <w:rStyle w:val="Hyperlink"/>
            <w:color w:val="auto"/>
          </w:rPr>
          <w:t xml:space="preserve"> </w:t>
        </w:r>
      </w:hyperlink>
      <w:r w:rsidR="00CC662F" w:rsidRPr="00EC1AB2">
        <w:t>rodiklius.</w:t>
      </w:r>
      <w:r w:rsidR="002B6BA0" w:rsidRPr="00EC1AB2">
        <w:t xml:space="preserve"> </w:t>
      </w:r>
      <w:r w:rsidR="00B05BEB" w:rsidRPr="00EC1AB2">
        <w:t xml:space="preserve"> </w:t>
      </w:r>
    </w:p>
    <w:p w:rsidR="004D6C53" w:rsidRPr="00EC1AB2" w:rsidRDefault="00F82D8C"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lastRenderedPageBreak/>
        <w:t>Nuo 2010 m. UNU-MERIT</w:t>
      </w:r>
      <w:r w:rsidR="000171BB" w:rsidRPr="00EC1AB2">
        <w:rPr>
          <w:rFonts w:ascii="Times New Roman" w:hAnsi="Times New Roman" w:cs="Times New Roman"/>
          <w:sz w:val="24"/>
          <w:szCs w:val="24"/>
        </w:rPr>
        <w:t xml:space="preserve"> </w:t>
      </w:r>
      <w:r w:rsidRPr="00EC1AB2">
        <w:rPr>
          <w:rFonts w:ascii="Times New Roman" w:hAnsi="Times New Roman" w:cs="Times New Roman"/>
          <w:sz w:val="24"/>
          <w:szCs w:val="24"/>
        </w:rPr>
        <w:t xml:space="preserve">kiekvienais metais rengia </w:t>
      </w:r>
      <w:r w:rsidR="00B05BEB" w:rsidRPr="00EC1AB2">
        <w:rPr>
          <w:rFonts w:ascii="Times New Roman" w:hAnsi="Times New Roman" w:cs="Times New Roman"/>
          <w:sz w:val="24"/>
          <w:szCs w:val="24"/>
        </w:rPr>
        <w:t>Inovac</w:t>
      </w:r>
      <w:r w:rsidRPr="00EC1AB2">
        <w:rPr>
          <w:rFonts w:ascii="Times New Roman" w:hAnsi="Times New Roman" w:cs="Times New Roman"/>
          <w:sz w:val="24"/>
          <w:szCs w:val="24"/>
        </w:rPr>
        <w:t>i</w:t>
      </w:r>
      <w:r w:rsidR="00ED7084" w:rsidRPr="00EC1AB2">
        <w:rPr>
          <w:rFonts w:ascii="Times New Roman" w:hAnsi="Times New Roman" w:cs="Times New Roman"/>
          <w:sz w:val="24"/>
          <w:szCs w:val="24"/>
        </w:rPr>
        <w:t>jų sąjungos rezultatų suvestinę, kuri pakeitė Europos inovacijų diegimo rezultatų suvestinę.</w:t>
      </w:r>
      <w:r w:rsidRPr="00EC1AB2">
        <w:rPr>
          <w:rFonts w:ascii="Times New Roman" w:hAnsi="Times New Roman" w:cs="Times New Roman"/>
          <w:sz w:val="24"/>
          <w:szCs w:val="24"/>
        </w:rPr>
        <w:t xml:space="preserve"> </w:t>
      </w:r>
      <w:r w:rsidR="00B05BEB" w:rsidRPr="00EC1AB2">
        <w:rPr>
          <w:rFonts w:ascii="Times New Roman" w:hAnsi="Times New Roman" w:cs="Times New Roman"/>
          <w:sz w:val="24"/>
          <w:szCs w:val="24"/>
        </w:rPr>
        <w:t xml:space="preserve"> </w:t>
      </w:r>
      <w:r w:rsidR="000171BB" w:rsidRPr="00EC1AB2">
        <w:rPr>
          <w:rFonts w:ascii="Times New Roman" w:hAnsi="Times New Roman" w:cs="Times New Roman"/>
          <w:sz w:val="24"/>
          <w:szCs w:val="24"/>
        </w:rPr>
        <w:t xml:space="preserve">2012 m. vasario 7 d. buvo paskelbta </w:t>
      </w:r>
      <w:r w:rsidR="00ED7084" w:rsidRPr="00EC1AB2">
        <w:rPr>
          <w:rFonts w:ascii="Times New Roman" w:hAnsi="Times New Roman" w:cs="Times New Roman"/>
          <w:sz w:val="24"/>
          <w:szCs w:val="24"/>
        </w:rPr>
        <w:t xml:space="preserve"> </w:t>
      </w:r>
      <w:r w:rsidR="000171BB" w:rsidRPr="00EC1AB2">
        <w:rPr>
          <w:rFonts w:ascii="Times New Roman" w:hAnsi="Times New Roman" w:cs="Times New Roman"/>
          <w:sz w:val="24"/>
          <w:szCs w:val="24"/>
        </w:rPr>
        <w:t>2011 m. Inovacijų sąju</w:t>
      </w:r>
      <w:r w:rsidR="009C4F26" w:rsidRPr="00EC1AB2">
        <w:rPr>
          <w:rFonts w:ascii="Times New Roman" w:hAnsi="Times New Roman" w:cs="Times New Roman"/>
          <w:sz w:val="24"/>
          <w:szCs w:val="24"/>
        </w:rPr>
        <w:t>n</w:t>
      </w:r>
      <w:r w:rsidR="000171BB" w:rsidRPr="00EC1AB2">
        <w:rPr>
          <w:rFonts w:ascii="Times New Roman" w:hAnsi="Times New Roman" w:cs="Times New Roman"/>
          <w:sz w:val="24"/>
          <w:szCs w:val="24"/>
        </w:rPr>
        <w:t xml:space="preserve">gos rezultatų suvestinė, kurioje viena iš pagrindinių išvadų buvo ta, kad </w:t>
      </w:r>
      <w:r w:rsidR="00995514" w:rsidRPr="00EC1AB2">
        <w:rPr>
          <w:rFonts w:ascii="Times New Roman" w:hAnsi="Times New Roman" w:cs="Times New Roman"/>
          <w:sz w:val="24"/>
          <w:szCs w:val="24"/>
        </w:rPr>
        <w:t>i</w:t>
      </w:r>
      <w:r w:rsidR="000171BB" w:rsidRPr="00EC1AB2">
        <w:rPr>
          <w:rFonts w:ascii="Times New Roman" w:hAnsi="Times New Roman" w:cs="Times New Roman"/>
          <w:sz w:val="24"/>
          <w:szCs w:val="24"/>
        </w:rPr>
        <w:t>novacijų srityje ES nesugeba padaryti tokios pažangos, kad pasivytų savo pagrindines tarptautines varžoves JAV ir Japoniją. Ir nors net per ekonomikos krizę daugelis ES valstybių narių ėmėsi tinkamų veiksmų, pažanga nepakankamai sparti. ES vis dar gerokai lenkia tokias besiformuojančios rinkos ekonomikos šalis kaip Indija ir Rusija, tačiau stabilią pažangą daro Brazilija, taip pat sparčiai gerėja Kinijos rodikliai.</w:t>
      </w:r>
    </w:p>
    <w:p w:rsidR="00D22FFD" w:rsidRPr="00EC1AB2" w:rsidRDefault="00995514"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Taigi, </w:t>
      </w:r>
      <w:r w:rsidR="004A6D7F" w:rsidRPr="00EC1AB2">
        <w:rPr>
          <w:rFonts w:ascii="Times New Roman" w:hAnsi="Times New Roman" w:cs="Times New Roman"/>
          <w:sz w:val="24"/>
          <w:szCs w:val="24"/>
        </w:rPr>
        <w:t>12</w:t>
      </w:r>
      <w:r w:rsidRPr="00EC1AB2">
        <w:rPr>
          <w:rFonts w:ascii="Times New Roman" w:hAnsi="Times New Roman" w:cs="Times New Roman"/>
          <w:sz w:val="24"/>
          <w:szCs w:val="24"/>
        </w:rPr>
        <w:t xml:space="preserve"> pav. matyti </w:t>
      </w:r>
      <w:r w:rsidR="00131F81" w:rsidRPr="00EC1AB2">
        <w:rPr>
          <w:rFonts w:ascii="Times New Roman" w:hAnsi="Times New Roman" w:cs="Times New Roman"/>
          <w:sz w:val="24"/>
          <w:szCs w:val="24"/>
        </w:rPr>
        <w:t>ki</w:t>
      </w:r>
      <w:r w:rsidRPr="00EC1AB2">
        <w:rPr>
          <w:rFonts w:ascii="Times New Roman" w:hAnsi="Times New Roman" w:cs="Times New Roman"/>
          <w:sz w:val="24"/>
          <w:szCs w:val="24"/>
        </w:rPr>
        <w:t>ekvienos šalies narės rezultatai bei indėlis</w:t>
      </w:r>
      <w:r w:rsidR="00131F81" w:rsidRPr="00EC1AB2">
        <w:rPr>
          <w:rFonts w:ascii="Times New Roman" w:hAnsi="Times New Roman" w:cs="Times New Roman"/>
          <w:sz w:val="24"/>
          <w:szCs w:val="24"/>
        </w:rPr>
        <w:t xml:space="preserve"> inovacijų srityje</w:t>
      </w:r>
      <w:r w:rsidRPr="00EC1AB2">
        <w:rPr>
          <w:rFonts w:ascii="Times New Roman" w:hAnsi="Times New Roman" w:cs="Times New Roman"/>
          <w:sz w:val="24"/>
          <w:szCs w:val="24"/>
        </w:rPr>
        <w:t>, pa</w:t>
      </w:r>
      <w:r w:rsidR="009C4F26" w:rsidRPr="00EC1AB2">
        <w:rPr>
          <w:rFonts w:ascii="Times New Roman" w:hAnsi="Times New Roman" w:cs="Times New Roman"/>
          <w:sz w:val="24"/>
          <w:szCs w:val="24"/>
        </w:rPr>
        <w:t>l</w:t>
      </w:r>
      <w:r w:rsidRPr="00EC1AB2">
        <w:rPr>
          <w:rFonts w:ascii="Times New Roman" w:hAnsi="Times New Roman" w:cs="Times New Roman"/>
          <w:sz w:val="24"/>
          <w:szCs w:val="24"/>
        </w:rPr>
        <w:t>yginti su kitomis šalimis 2011 m</w:t>
      </w:r>
      <w:r w:rsidR="00131F81" w:rsidRPr="00EC1AB2">
        <w:rPr>
          <w:rFonts w:ascii="Times New Roman" w:hAnsi="Times New Roman" w:cs="Times New Roman"/>
          <w:sz w:val="24"/>
          <w:szCs w:val="24"/>
        </w:rPr>
        <w:t>.</w:t>
      </w:r>
    </w:p>
    <w:p w:rsidR="00782239" w:rsidRPr="00EC1AB2" w:rsidRDefault="00782239" w:rsidP="007A02A8">
      <w:pPr>
        <w:autoSpaceDE w:val="0"/>
        <w:autoSpaceDN w:val="0"/>
        <w:adjustRightInd w:val="0"/>
        <w:spacing w:after="0" w:line="360" w:lineRule="auto"/>
        <w:ind w:firstLine="567"/>
        <w:jc w:val="both"/>
        <w:rPr>
          <w:rFonts w:ascii="Times New Roman" w:hAnsi="Times New Roman" w:cs="Times New Roman"/>
          <w:sz w:val="24"/>
          <w:szCs w:val="24"/>
        </w:rPr>
      </w:pPr>
    </w:p>
    <w:p w:rsidR="00C145D8" w:rsidRPr="00EC1AB2" w:rsidRDefault="0010732A" w:rsidP="007A02A8">
      <w:p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noProof/>
          <w:lang w:eastAsia="lt-LT"/>
        </w:rPr>
        <w:drawing>
          <wp:anchor distT="0" distB="0" distL="114300" distR="114300" simplePos="0" relativeHeight="251653120" behindDoc="1" locked="0" layoutInCell="1" allowOverlap="1" wp14:anchorId="4CA6FF85" wp14:editId="3DA58229">
            <wp:simplePos x="0" y="0"/>
            <wp:positionH relativeFrom="column">
              <wp:posOffset>-71755</wp:posOffset>
            </wp:positionH>
            <wp:positionV relativeFrom="paragraph">
              <wp:posOffset>133985</wp:posOffset>
            </wp:positionV>
            <wp:extent cx="6120130" cy="2614295"/>
            <wp:effectExtent l="0" t="0" r="0" b="0"/>
            <wp:wrapTight wrapText="bothSides">
              <wp:wrapPolygon edited="0">
                <wp:start x="134" y="315"/>
                <wp:lineTo x="134" y="7870"/>
                <wp:lineTo x="471" y="8499"/>
                <wp:lineTo x="134" y="8499"/>
                <wp:lineTo x="134" y="12749"/>
                <wp:lineTo x="605" y="13379"/>
                <wp:lineTo x="471" y="13851"/>
                <wp:lineTo x="941" y="15740"/>
                <wp:lineTo x="538" y="16527"/>
                <wp:lineTo x="874" y="18258"/>
                <wp:lineTo x="4572" y="18573"/>
                <wp:lineTo x="4572" y="20304"/>
                <wp:lineTo x="4639" y="21406"/>
                <wp:lineTo x="4908" y="21406"/>
                <wp:lineTo x="4908" y="20776"/>
                <wp:lineTo x="21515" y="20776"/>
                <wp:lineTo x="21515" y="18415"/>
                <wp:lineTo x="16069" y="18258"/>
                <wp:lineTo x="21515" y="17156"/>
                <wp:lineTo x="21515" y="16999"/>
                <wp:lineTo x="20842" y="15740"/>
                <wp:lineTo x="21515" y="15582"/>
                <wp:lineTo x="21515" y="14953"/>
                <wp:lineTo x="10690" y="13221"/>
                <wp:lineTo x="874" y="10703"/>
                <wp:lineTo x="10757" y="8185"/>
                <wp:lineTo x="9480" y="8185"/>
                <wp:lineTo x="874" y="5981"/>
                <wp:lineTo x="874" y="315"/>
                <wp:lineTo x="134" y="315"/>
              </wp:wrapPolygon>
            </wp:wrapTight>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14:sizeRelH relativeFrom="page">
              <wp14:pctWidth>0</wp14:pctWidth>
            </wp14:sizeRelH>
            <wp14:sizeRelV relativeFrom="page">
              <wp14:pctHeight>0</wp14:pctHeight>
            </wp14:sizeRelV>
          </wp:anchor>
        </w:drawing>
      </w:r>
    </w:p>
    <w:p w:rsidR="0010732A" w:rsidRPr="00EC1AB2" w:rsidRDefault="0010732A" w:rsidP="007A02A8">
      <w:pPr>
        <w:autoSpaceDE w:val="0"/>
        <w:autoSpaceDN w:val="0"/>
        <w:adjustRightInd w:val="0"/>
        <w:spacing w:after="0" w:line="360" w:lineRule="auto"/>
        <w:ind w:firstLine="1296"/>
        <w:jc w:val="both"/>
        <w:rPr>
          <w:rFonts w:ascii="Times New Roman" w:hAnsi="Times New Roman" w:cs="Times New Roman"/>
          <w:sz w:val="24"/>
          <w:szCs w:val="24"/>
        </w:rPr>
      </w:pPr>
    </w:p>
    <w:p w:rsidR="0010732A" w:rsidRPr="00EC1AB2" w:rsidRDefault="0010732A" w:rsidP="007A02A8">
      <w:pPr>
        <w:autoSpaceDE w:val="0"/>
        <w:autoSpaceDN w:val="0"/>
        <w:adjustRightInd w:val="0"/>
        <w:spacing w:after="0" w:line="360" w:lineRule="auto"/>
        <w:ind w:firstLine="1296"/>
        <w:jc w:val="both"/>
        <w:rPr>
          <w:rFonts w:ascii="Times New Roman" w:hAnsi="Times New Roman" w:cs="Times New Roman"/>
          <w:sz w:val="24"/>
          <w:szCs w:val="24"/>
        </w:rPr>
      </w:pPr>
    </w:p>
    <w:p w:rsidR="0010732A" w:rsidRPr="00EC1AB2" w:rsidRDefault="0010732A" w:rsidP="007A02A8">
      <w:pPr>
        <w:autoSpaceDE w:val="0"/>
        <w:autoSpaceDN w:val="0"/>
        <w:adjustRightInd w:val="0"/>
        <w:spacing w:after="0" w:line="360" w:lineRule="auto"/>
        <w:ind w:firstLine="1296"/>
        <w:jc w:val="both"/>
        <w:rPr>
          <w:rFonts w:ascii="Times New Roman" w:hAnsi="Times New Roman" w:cs="Times New Roman"/>
          <w:sz w:val="24"/>
          <w:szCs w:val="24"/>
        </w:rPr>
      </w:pPr>
    </w:p>
    <w:p w:rsidR="0010732A" w:rsidRPr="00EC1AB2" w:rsidRDefault="0010732A" w:rsidP="007A02A8">
      <w:pPr>
        <w:autoSpaceDE w:val="0"/>
        <w:autoSpaceDN w:val="0"/>
        <w:adjustRightInd w:val="0"/>
        <w:spacing w:after="0" w:line="360" w:lineRule="auto"/>
        <w:ind w:firstLine="1296"/>
        <w:jc w:val="both"/>
        <w:rPr>
          <w:rFonts w:ascii="Times New Roman" w:hAnsi="Times New Roman" w:cs="Times New Roman"/>
          <w:sz w:val="24"/>
          <w:szCs w:val="24"/>
        </w:rPr>
      </w:pPr>
    </w:p>
    <w:p w:rsidR="0010732A" w:rsidRPr="00EC1AB2" w:rsidRDefault="0010732A" w:rsidP="007A02A8">
      <w:pPr>
        <w:autoSpaceDE w:val="0"/>
        <w:autoSpaceDN w:val="0"/>
        <w:adjustRightInd w:val="0"/>
        <w:spacing w:after="0" w:line="360" w:lineRule="auto"/>
        <w:ind w:firstLine="1296"/>
        <w:jc w:val="both"/>
        <w:rPr>
          <w:rFonts w:ascii="Times New Roman" w:hAnsi="Times New Roman" w:cs="Times New Roman"/>
          <w:sz w:val="24"/>
          <w:szCs w:val="24"/>
        </w:rPr>
      </w:pPr>
    </w:p>
    <w:p w:rsidR="0010732A" w:rsidRPr="00EC1AB2" w:rsidRDefault="0010732A" w:rsidP="007A02A8">
      <w:pPr>
        <w:autoSpaceDE w:val="0"/>
        <w:autoSpaceDN w:val="0"/>
        <w:adjustRightInd w:val="0"/>
        <w:spacing w:after="0" w:line="360" w:lineRule="auto"/>
        <w:ind w:firstLine="1296"/>
        <w:jc w:val="both"/>
        <w:rPr>
          <w:rFonts w:ascii="Times New Roman" w:hAnsi="Times New Roman" w:cs="Times New Roman"/>
          <w:sz w:val="24"/>
          <w:szCs w:val="24"/>
        </w:rPr>
      </w:pPr>
    </w:p>
    <w:p w:rsidR="0010732A" w:rsidRPr="00EC1AB2" w:rsidRDefault="0010732A" w:rsidP="007A02A8">
      <w:pPr>
        <w:autoSpaceDE w:val="0"/>
        <w:autoSpaceDN w:val="0"/>
        <w:adjustRightInd w:val="0"/>
        <w:spacing w:after="0" w:line="360" w:lineRule="auto"/>
        <w:ind w:firstLine="1296"/>
        <w:jc w:val="both"/>
        <w:rPr>
          <w:rFonts w:ascii="Times New Roman" w:hAnsi="Times New Roman" w:cs="Times New Roman"/>
          <w:sz w:val="24"/>
          <w:szCs w:val="24"/>
        </w:rPr>
      </w:pPr>
      <w:r w:rsidRPr="00EC1AB2">
        <w:rPr>
          <w:rFonts w:ascii="Times New Roman" w:hAnsi="Times New Roman" w:cs="Times New Roman"/>
          <w:noProof/>
          <w:sz w:val="24"/>
          <w:szCs w:val="24"/>
          <w:lang w:eastAsia="lt-LT"/>
        </w:rPr>
        <mc:AlternateContent>
          <mc:Choice Requires="wps">
            <w:drawing>
              <wp:anchor distT="0" distB="0" distL="114300" distR="114300" simplePos="0" relativeHeight="251729920" behindDoc="0" locked="0" layoutInCell="1" allowOverlap="1" wp14:anchorId="117F2781" wp14:editId="561B33B6">
                <wp:simplePos x="0" y="0"/>
                <wp:positionH relativeFrom="column">
                  <wp:posOffset>1634490</wp:posOffset>
                </wp:positionH>
                <wp:positionV relativeFrom="paragraph">
                  <wp:posOffset>954405</wp:posOffset>
                </wp:positionV>
                <wp:extent cx="95250" cy="104775"/>
                <wp:effectExtent l="0" t="0" r="0" b="9525"/>
                <wp:wrapNone/>
                <wp:docPr id="34" name="Rectangle 6"/>
                <wp:cNvGraphicFramePr/>
                <a:graphic xmlns:a="http://schemas.openxmlformats.org/drawingml/2006/main">
                  <a:graphicData uri="http://schemas.microsoft.com/office/word/2010/wordprocessingShape">
                    <wps:wsp>
                      <wps:cNvSpPr/>
                      <wps:spPr>
                        <a:xfrm>
                          <a:off x="0" y="0"/>
                          <a:ext cx="95250" cy="104775"/>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rect id="Rectangle 6" o:spid="_x0000_s1026" style="position:absolute;margin-left:128.7pt;margin-top:75.15pt;width:7.5pt;height:8.25pt;z-index:2517299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" fillcolor="#243f60 [1604]" stroked="f" strokeweight="2pt"/>
            </w:pict>
          </mc:Fallback>
        </mc:AlternateContent>
      </w:r>
      <w:r w:rsidRPr="00EC1AB2">
        <w:rPr>
          <w:rFonts w:ascii="Times New Roman" w:hAnsi="Times New Roman" w:cs="Times New Roman"/>
          <w:noProof/>
          <w:sz w:val="24"/>
          <w:szCs w:val="24"/>
          <w:lang w:eastAsia="lt-LT"/>
        </w:rPr>
        <mc:AlternateContent>
          <mc:Choice Requires="wps">
            <w:drawing>
              <wp:anchor distT="0" distB="0" distL="114300" distR="114300" simplePos="0" relativeHeight="251727872" behindDoc="0" locked="0" layoutInCell="1" allowOverlap="1" wp14:anchorId="6C9BC1A1" wp14:editId="2E6028A3">
                <wp:simplePos x="0" y="0"/>
                <wp:positionH relativeFrom="column">
                  <wp:posOffset>1634490</wp:posOffset>
                </wp:positionH>
                <wp:positionV relativeFrom="paragraph">
                  <wp:posOffset>773430</wp:posOffset>
                </wp:positionV>
                <wp:extent cx="95250" cy="104775"/>
                <wp:effectExtent l="0" t="0" r="0" b="9525"/>
                <wp:wrapNone/>
                <wp:docPr id="27" name="Rectangle 4"/>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C0E43C"/>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rect id="Rectangle 4" o:spid="_x0000_s1026" style="position:absolute;margin-left:128.7pt;margin-top:60.9pt;width:7.5pt;height:8.25pt;z-index:2517278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" fillcolor="#c0e43c" stroked="f" strokeweight="2pt"/>
            </w:pict>
          </mc:Fallback>
        </mc:AlternateContent>
      </w:r>
    </w:p>
    <w:p w:rsidR="0010732A" w:rsidRPr="00EC1AB2" w:rsidRDefault="0010732A" w:rsidP="007A02A8">
      <w:pPr>
        <w:autoSpaceDE w:val="0"/>
        <w:autoSpaceDN w:val="0"/>
        <w:adjustRightInd w:val="0"/>
        <w:spacing w:after="0" w:line="360" w:lineRule="auto"/>
        <w:ind w:firstLine="1296"/>
        <w:jc w:val="both"/>
        <w:rPr>
          <w:rFonts w:ascii="Times New Roman" w:hAnsi="Times New Roman" w:cs="Times New Roman"/>
          <w:sz w:val="24"/>
          <w:szCs w:val="24"/>
        </w:rPr>
      </w:pPr>
    </w:p>
    <w:p w:rsidR="0010732A" w:rsidRPr="00EC1AB2" w:rsidRDefault="00090890" w:rsidP="007A02A8">
      <w:pPr>
        <w:autoSpaceDE w:val="0"/>
        <w:autoSpaceDN w:val="0"/>
        <w:adjustRightInd w:val="0"/>
        <w:spacing w:after="0" w:line="360" w:lineRule="auto"/>
        <w:ind w:firstLine="1296"/>
        <w:jc w:val="both"/>
        <w:rPr>
          <w:rFonts w:ascii="Times New Roman" w:hAnsi="Times New Roman" w:cs="Times New Roman"/>
          <w:sz w:val="24"/>
          <w:szCs w:val="24"/>
        </w:rPr>
      </w:pPr>
      <w:r w:rsidRPr="00EC1AB2">
        <w:rPr>
          <w:rFonts w:ascii="Times New Roman" w:hAnsi="Times New Roman" w:cs="Times New Roman"/>
          <w:b/>
          <w:noProof/>
          <w:sz w:val="20"/>
          <w:szCs w:val="20"/>
          <w:lang w:eastAsia="lt-LT"/>
        </w:rPr>
        <mc:AlternateContent>
          <mc:Choice Requires="wps">
            <w:drawing>
              <wp:anchor distT="0" distB="0" distL="114300" distR="114300" simplePos="0" relativeHeight="251948032" behindDoc="0" locked="0" layoutInCell="1" allowOverlap="1" wp14:anchorId="3A03C577" wp14:editId="3DBB2E50">
                <wp:simplePos x="0" y="0"/>
                <wp:positionH relativeFrom="column">
                  <wp:posOffset>175895</wp:posOffset>
                </wp:positionH>
                <wp:positionV relativeFrom="paragraph">
                  <wp:posOffset>130175</wp:posOffset>
                </wp:positionV>
                <wp:extent cx="3286125" cy="857250"/>
                <wp:effectExtent l="0" t="0" r="0" b="0"/>
                <wp:wrapNone/>
                <wp:docPr id="177" name="TextBox 2"/>
                <wp:cNvGraphicFramePr/>
                <a:graphic xmlns:a="http://schemas.openxmlformats.org/drawingml/2006/main">
                  <a:graphicData uri="http://schemas.microsoft.com/office/word/2010/wordprocessingShape">
                    <wps:wsp>
                      <wps:cNvSpPr txBox="1"/>
                      <wps:spPr>
                        <a:xfrm>
                          <a:off x="0" y="0"/>
                          <a:ext cx="3286125" cy="857250"/>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rsidR="00EC1AB2" w:rsidRDefault="00EC1AB2" w:rsidP="00090890">
                            <w:pPr>
                              <w:pStyle w:val="caps"/>
                              <w:spacing w:before="0" w:beforeAutospacing="0" w:after="0" w:afterAutospacing="0"/>
                              <w:rPr>
                                <w:sz w:val="20"/>
                                <w:szCs w:val="20"/>
                              </w:rPr>
                            </w:pPr>
                            <w:r>
                              <w:rPr>
                                <w:rFonts w:asciiTheme="minorHAnsi" w:hAnsi="Calibri" w:cstheme="minorBidi"/>
                                <w:color w:val="000000" w:themeColor="dark1"/>
                                <w:sz w:val="22"/>
                                <w:szCs w:val="22"/>
                              </w:rPr>
                              <w:t xml:space="preserve">     </w:t>
                            </w:r>
                            <w:r w:rsidRPr="00CB652D">
                              <w:rPr>
                                <w:color w:val="000000" w:themeColor="dark1"/>
                                <w:sz w:val="20"/>
                                <w:szCs w:val="20"/>
                              </w:rPr>
                              <w:t>Nuosaikios inovatorės         Inovacijų šalininkės</w:t>
                            </w:r>
                          </w:p>
                          <w:p w:rsidR="00EC1AB2" w:rsidRPr="00CB652D" w:rsidRDefault="00EC1AB2" w:rsidP="00090890">
                            <w:pPr>
                              <w:pStyle w:val="caps"/>
                              <w:spacing w:before="0" w:beforeAutospacing="0" w:after="0" w:afterAutospacing="0"/>
                              <w:rPr>
                                <w:sz w:val="20"/>
                                <w:szCs w:val="20"/>
                              </w:rPr>
                            </w:pPr>
                            <w:r>
                              <w:rPr>
                                <w:color w:val="000000" w:themeColor="dark1"/>
                                <w:sz w:val="20"/>
                                <w:szCs w:val="20"/>
                              </w:rPr>
                              <w:t xml:space="preserve">     </w:t>
                            </w:r>
                            <w:r w:rsidRPr="00CB652D">
                              <w:rPr>
                                <w:color w:val="000000" w:themeColor="dark1"/>
                                <w:sz w:val="20"/>
                                <w:szCs w:val="20"/>
                              </w:rPr>
                              <w:t xml:space="preserve">Vidutinės inovatorės         </w:t>
                            </w:r>
                            <w:r>
                              <w:rPr>
                                <w:color w:val="000000" w:themeColor="dark1"/>
                                <w:sz w:val="20"/>
                                <w:szCs w:val="20"/>
                              </w:rPr>
                              <w:t xml:space="preserve">  </w:t>
                            </w:r>
                            <w:r w:rsidRPr="00CB652D">
                              <w:rPr>
                                <w:color w:val="000000" w:themeColor="dark1"/>
                                <w:sz w:val="20"/>
                                <w:szCs w:val="20"/>
                              </w:rPr>
                              <w:t xml:space="preserve"> Inovacijų lyderės</w:t>
                            </w:r>
                          </w:p>
                        </w:txbxContent>
                      </wps:txbx>
                      <wps:bodyPr vertOverflow="clip" horzOverflow="clip" wrap="square" rtlCol="0" anchor="t">
                        <a:noAutofit/>
                      </wps:bodyPr>
                    </wps:wsp>
                  </a:graphicData>
                </a:graphic>
                <wp14:sizeRelV relativeFrom="margin">
                  <wp14:pctHeight>0</wp14:pctHeight>
                </wp14:sizeRelV>
              </wp:anchor>
            </w:drawing>
          </mc:Choice>
          <mc:Fallback>
            <w:pict>
              <v:shape id="TextBox 2" o:spid="_x0000_s1044" type="#_x0000_t202" style="position:absolute;left:0;text-align:left;margin-left:13.85pt;margin-top:10.25pt;width:258.75pt;height:67.5pt;z-index:2519480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" filled="f" stroked="f">
                <v:textbox>
                  <w:txbxContent>
                    <w:p w:rsidR="00A03476" w:rsidRDefault="00A03476" w:rsidP="00090890">
                      <w:pPr>
                        <w:pStyle w:val="caps"/>
                        <w:spacing w:before="0" w:beforeAutospacing="0" w:after="0" w:afterAutospacing="0"/>
                        <w:rPr>
                          <w:sz w:val="20"/>
                          <w:szCs w:val="20"/>
                        </w:rPr>
                      </w:pPr>
                      <w:r>
                        <w:rPr>
                          <w:rFonts w:asciiTheme="minorHAnsi" w:hAnsi="Calibri" w:cstheme="minorBidi"/>
                          <w:color w:val="000000" w:themeColor="dark1"/>
                          <w:sz w:val="22"/>
                          <w:szCs w:val="22"/>
                        </w:rPr>
                        <w:t xml:space="preserve">     </w:t>
                      </w:r>
                      <w:r w:rsidRPr="00CB652D">
                        <w:rPr>
                          <w:color w:val="000000" w:themeColor="dark1"/>
                          <w:sz w:val="20"/>
                          <w:szCs w:val="20"/>
                        </w:rPr>
                        <w:t>Nuosaikios inovatorės         Inovacijų šalininkės</w:t>
                      </w:r>
                    </w:p>
                    <w:p w:rsidR="00A03476" w:rsidRPr="00CB652D" w:rsidRDefault="00A03476" w:rsidP="00090890">
                      <w:pPr>
                        <w:pStyle w:val="caps"/>
                        <w:spacing w:before="0" w:beforeAutospacing="0" w:after="0" w:afterAutospacing="0"/>
                        <w:rPr>
                          <w:sz w:val="20"/>
                          <w:szCs w:val="20"/>
                        </w:rPr>
                      </w:pPr>
                      <w:r>
                        <w:rPr>
                          <w:color w:val="000000" w:themeColor="dark1"/>
                          <w:sz w:val="20"/>
                          <w:szCs w:val="20"/>
                        </w:rPr>
                        <w:t xml:space="preserve">     </w:t>
                      </w:r>
                      <w:r w:rsidRPr="00CB652D">
                        <w:rPr>
                          <w:color w:val="000000" w:themeColor="dark1"/>
                          <w:sz w:val="20"/>
                          <w:szCs w:val="20"/>
                        </w:rPr>
                        <w:t xml:space="preserve">Vidutinės inovatorės         </w:t>
                      </w:r>
                      <w:r>
                        <w:rPr>
                          <w:color w:val="000000" w:themeColor="dark1"/>
                          <w:sz w:val="20"/>
                          <w:szCs w:val="20"/>
                        </w:rPr>
                        <w:t xml:space="preserve">  </w:t>
                      </w:r>
                      <w:r w:rsidRPr="00CB652D">
                        <w:rPr>
                          <w:color w:val="000000" w:themeColor="dark1"/>
                          <w:sz w:val="20"/>
                          <w:szCs w:val="20"/>
                        </w:rPr>
                        <w:t xml:space="preserve"> Inovacijų lyderės</w:t>
                      </w:r>
                    </w:p>
                  </w:txbxContent>
                </v:textbox>
              </v:shape>
            </w:pict>
          </mc:Fallback>
        </mc:AlternateContent>
      </w:r>
      <w:r w:rsidRPr="00EC1AB2">
        <w:rPr>
          <w:rFonts w:ascii="Times New Roman" w:hAnsi="Times New Roman" w:cs="Times New Roman"/>
          <w:b/>
          <w:noProof/>
          <w:sz w:val="20"/>
          <w:szCs w:val="20"/>
          <w:lang w:eastAsia="lt-LT"/>
        </w:rPr>
        <mc:AlternateContent>
          <mc:Choice Requires="wps">
            <w:drawing>
              <wp:anchor distT="0" distB="0" distL="114300" distR="114300" simplePos="0" relativeHeight="251950080" behindDoc="0" locked="0" layoutInCell="1" allowOverlap="1" wp14:anchorId="50EC82DC" wp14:editId="1C651CEC">
                <wp:simplePos x="0" y="0"/>
                <wp:positionH relativeFrom="column">
                  <wp:posOffset>1727835</wp:posOffset>
                </wp:positionH>
                <wp:positionV relativeFrom="paragraph">
                  <wp:posOffset>158750</wp:posOffset>
                </wp:positionV>
                <wp:extent cx="95250" cy="104775"/>
                <wp:effectExtent l="0" t="0" r="0" b="9525"/>
                <wp:wrapNone/>
                <wp:docPr id="179" name="Rectangle 4"/>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C0E43C"/>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rect id="Rectangle 4" o:spid="_x0000_s1026" style="position:absolute;margin-left:136.05pt;margin-top:12.5pt;width:7.5pt;height:8.25pt;z-index:2519500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" fillcolor="#c0e43c" stroked="f" strokeweight="2pt"/>
            </w:pict>
          </mc:Fallback>
        </mc:AlternateContent>
      </w:r>
      <w:r w:rsidRPr="00EC1AB2">
        <w:rPr>
          <w:rFonts w:ascii="Times New Roman" w:hAnsi="Times New Roman" w:cs="Times New Roman"/>
          <w:b/>
          <w:noProof/>
          <w:sz w:val="20"/>
          <w:szCs w:val="20"/>
          <w:lang w:eastAsia="lt-LT"/>
        </w:rPr>
        <mc:AlternateContent>
          <mc:Choice Requires="wps">
            <w:drawing>
              <wp:anchor distT="0" distB="0" distL="114300" distR="114300" simplePos="0" relativeHeight="251949056" behindDoc="0" locked="0" layoutInCell="1" allowOverlap="1" wp14:anchorId="6E134BE5" wp14:editId="755378F0">
                <wp:simplePos x="0" y="0"/>
                <wp:positionH relativeFrom="column">
                  <wp:posOffset>289560</wp:posOffset>
                </wp:positionH>
                <wp:positionV relativeFrom="paragraph">
                  <wp:posOffset>155575</wp:posOffset>
                </wp:positionV>
                <wp:extent cx="95250" cy="104775"/>
                <wp:effectExtent l="0" t="0" r="0" b="9525"/>
                <wp:wrapNone/>
                <wp:docPr id="178" name="Rectangle 3"/>
                <wp:cNvGraphicFramePr/>
                <a:graphic xmlns:a="http://schemas.openxmlformats.org/drawingml/2006/main">
                  <a:graphicData uri="http://schemas.microsoft.com/office/word/2010/wordprocessingShape">
                    <wps:wsp>
                      <wps:cNvSpPr/>
                      <wps:spPr>
                        <a:xfrm>
                          <a:off x="0" y="0"/>
                          <a:ext cx="95250" cy="10477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rect id="Rectangle 3" o:spid="_x0000_s1026" style="position:absolute;margin-left:22.8pt;margin-top:12.25pt;width:7.5pt;height:8.25pt;z-index:251949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" fillcolor="#e36c0a [2409]" stroked="f" strokeweight="2pt"/>
            </w:pict>
          </mc:Fallback>
        </mc:AlternateContent>
      </w:r>
    </w:p>
    <w:p w:rsidR="00090890" w:rsidRPr="00EC1AB2" w:rsidRDefault="00090890" w:rsidP="007A02A8">
      <w:pPr>
        <w:autoSpaceDE w:val="0"/>
        <w:autoSpaceDN w:val="0"/>
        <w:adjustRightInd w:val="0"/>
        <w:spacing w:after="0" w:line="360" w:lineRule="auto"/>
        <w:ind w:firstLine="1296"/>
        <w:jc w:val="both"/>
        <w:rPr>
          <w:rFonts w:ascii="Times New Roman" w:hAnsi="Times New Roman" w:cs="Times New Roman"/>
          <w:b/>
          <w:sz w:val="20"/>
          <w:szCs w:val="20"/>
        </w:rPr>
      </w:pPr>
      <w:r w:rsidRPr="00EC1AB2">
        <w:rPr>
          <w:rFonts w:ascii="Times New Roman" w:hAnsi="Times New Roman" w:cs="Times New Roman"/>
          <w:b/>
          <w:noProof/>
          <w:sz w:val="20"/>
          <w:szCs w:val="20"/>
          <w:lang w:eastAsia="lt-LT"/>
        </w:rPr>
        <mc:AlternateContent>
          <mc:Choice Requires="wps">
            <w:drawing>
              <wp:anchor distT="0" distB="0" distL="114300" distR="114300" simplePos="0" relativeHeight="251952128" behindDoc="0" locked="0" layoutInCell="1" allowOverlap="1" wp14:anchorId="1E538CFF" wp14:editId="0654C538">
                <wp:simplePos x="0" y="0"/>
                <wp:positionH relativeFrom="column">
                  <wp:posOffset>1727835</wp:posOffset>
                </wp:positionH>
                <wp:positionV relativeFrom="paragraph">
                  <wp:posOffset>56515</wp:posOffset>
                </wp:positionV>
                <wp:extent cx="95250" cy="104775"/>
                <wp:effectExtent l="0" t="0" r="0" b="9525"/>
                <wp:wrapNone/>
                <wp:docPr id="181" name="Rectangle 6"/>
                <wp:cNvGraphicFramePr/>
                <a:graphic xmlns:a="http://schemas.openxmlformats.org/drawingml/2006/main">
                  <a:graphicData uri="http://schemas.microsoft.com/office/word/2010/wordprocessingShape">
                    <wps:wsp>
                      <wps:cNvSpPr/>
                      <wps:spPr>
                        <a:xfrm>
                          <a:off x="0" y="0"/>
                          <a:ext cx="95250" cy="104775"/>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rect id="Rectangle 6" o:spid="_x0000_s1026" style="position:absolute;margin-left:136.05pt;margin-top:4.45pt;width:7.5pt;height:8.25pt;z-index:251952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" fillcolor="#243f60 [1604]" stroked="f" strokeweight="2pt"/>
            </w:pict>
          </mc:Fallback>
        </mc:AlternateContent>
      </w:r>
      <w:r w:rsidRPr="00EC1AB2">
        <w:rPr>
          <w:rFonts w:ascii="Times New Roman" w:hAnsi="Times New Roman" w:cs="Times New Roman"/>
          <w:b/>
          <w:noProof/>
          <w:sz w:val="20"/>
          <w:szCs w:val="20"/>
          <w:lang w:eastAsia="lt-LT"/>
        </w:rPr>
        <mc:AlternateContent>
          <mc:Choice Requires="wps">
            <w:drawing>
              <wp:anchor distT="0" distB="0" distL="114300" distR="114300" simplePos="0" relativeHeight="251951104" behindDoc="0" locked="0" layoutInCell="1" allowOverlap="1" wp14:anchorId="7D1E99C1" wp14:editId="19FD8BF5">
                <wp:simplePos x="0" y="0"/>
                <wp:positionH relativeFrom="column">
                  <wp:posOffset>289560</wp:posOffset>
                </wp:positionH>
                <wp:positionV relativeFrom="paragraph">
                  <wp:posOffset>85090</wp:posOffset>
                </wp:positionV>
                <wp:extent cx="95250" cy="104775"/>
                <wp:effectExtent l="0" t="0" r="0" b="9525"/>
                <wp:wrapNone/>
                <wp:docPr id="180" name="Rectangle 5"/>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9BE5E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rect id="Rectangle 5" o:spid="_x0000_s1026" style="position:absolute;margin-left:22.8pt;margin-top:6.7pt;width:7.5pt;height:8.25pt;z-index:2519511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" fillcolor="#9be5ef" stroked="f" strokeweight="2pt"/>
            </w:pict>
          </mc:Fallback>
        </mc:AlternateContent>
      </w:r>
    </w:p>
    <w:p w:rsidR="00090890" w:rsidRPr="00EC1AB2" w:rsidRDefault="00090890" w:rsidP="007A02A8">
      <w:pPr>
        <w:autoSpaceDE w:val="0"/>
        <w:autoSpaceDN w:val="0"/>
        <w:adjustRightInd w:val="0"/>
        <w:spacing w:after="0" w:line="360" w:lineRule="auto"/>
        <w:ind w:firstLine="1296"/>
        <w:jc w:val="both"/>
        <w:rPr>
          <w:rFonts w:ascii="Times New Roman" w:hAnsi="Times New Roman" w:cs="Times New Roman"/>
          <w:b/>
          <w:sz w:val="20"/>
          <w:szCs w:val="20"/>
        </w:rPr>
      </w:pPr>
    </w:p>
    <w:p w:rsidR="0010732A" w:rsidRPr="00EC1AB2" w:rsidRDefault="0010732A" w:rsidP="007A02A8">
      <w:pPr>
        <w:autoSpaceDE w:val="0"/>
        <w:autoSpaceDN w:val="0"/>
        <w:adjustRightInd w:val="0"/>
        <w:spacing w:after="0" w:line="360" w:lineRule="auto"/>
        <w:ind w:firstLine="1296"/>
        <w:jc w:val="both"/>
        <w:rPr>
          <w:rFonts w:ascii="Times New Roman" w:hAnsi="Times New Roman" w:cs="Times New Roman"/>
          <w:sz w:val="20"/>
          <w:szCs w:val="20"/>
        </w:rPr>
      </w:pPr>
      <w:r w:rsidRPr="00EC1AB2">
        <w:rPr>
          <w:rFonts w:ascii="Times New Roman" w:hAnsi="Times New Roman" w:cs="Times New Roman"/>
          <w:b/>
          <w:sz w:val="20"/>
          <w:szCs w:val="20"/>
        </w:rPr>
        <w:t>Šaltinis:</w:t>
      </w:r>
      <w:r w:rsidRPr="00EC1AB2">
        <w:rPr>
          <w:rFonts w:ascii="Times New Roman" w:hAnsi="Times New Roman" w:cs="Times New Roman"/>
          <w:sz w:val="20"/>
          <w:szCs w:val="20"/>
        </w:rPr>
        <w:t xml:space="preserve"> Innovation Union Scoreboard, 2011</w:t>
      </w:r>
    </w:p>
    <w:p w:rsidR="0010732A" w:rsidRPr="00EC1AB2" w:rsidRDefault="0010732A" w:rsidP="007A02A8">
      <w:pPr>
        <w:pStyle w:val="Heading5"/>
        <w:spacing w:before="0" w:line="360" w:lineRule="auto"/>
        <w:jc w:val="center"/>
        <w:rPr>
          <w:rFonts w:ascii="Times New Roman" w:hAnsi="Times New Roman" w:cs="Times New Roman"/>
          <w:b/>
          <w:color w:val="auto"/>
          <w:sz w:val="24"/>
          <w:szCs w:val="24"/>
        </w:rPr>
      </w:pPr>
      <w:bookmarkStart w:id="143" w:name="_Toc320761928"/>
      <w:bookmarkStart w:id="144" w:name="_Toc320762163"/>
      <w:bookmarkStart w:id="145" w:name="_Toc320762565"/>
      <w:r w:rsidRPr="00EC1AB2">
        <w:rPr>
          <w:rFonts w:ascii="Times New Roman" w:hAnsi="Times New Roman" w:cs="Times New Roman"/>
          <w:color w:val="auto"/>
          <w:sz w:val="24"/>
          <w:szCs w:val="24"/>
        </w:rPr>
        <w:t>1</w:t>
      </w:r>
      <w:r w:rsidR="004A6D7F" w:rsidRPr="00EC1AB2">
        <w:rPr>
          <w:rFonts w:ascii="Times New Roman" w:hAnsi="Times New Roman" w:cs="Times New Roman"/>
          <w:color w:val="auto"/>
          <w:sz w:val="24"/>
          <w:szCs w:val="24"/>
        </w:rPr>
        <w:t>2</w:t>
      </w:r>
      <w:r w:rsidRPr="00EC1AB2">
        <w:rPr>
          <w:rFonts w:ascii="Times New Roman" w:hAnsi="Times New Roman" w:cs="Times New Roman"/>
          <w:color w:val="auto"/>
          <w:sz w:val="24"/>
          <w:szCs w:val="24"/>
        </w:rPr>
        <w:t xml:space="preserve"> pav.</w:t>
      </w:r>
      <w:r w:rsidRPr="00EC1AB2">
        <w:rPr>
          <w:rFonts w:ascii="Times New Roman" w:hAnsi="Times New Roman" w:cs="Times New Roman"/>
          <w:b/>
          <w:color w:val="auto"/>
          <w:sz w:val="24"/>
          <w:szCs w:val="24"/>
        </w:rPr>
        <w:t xml:space="preserve"> Suminis inovatyvumo indeksas ES 2011 m.</w:t>
      </w:r>
      <w:bookmarkEnd w:id="143"/>
      <w:bookmarkEnd w:id="144"/>
      <w:bookmarkEnd w:id="145"/>
    </w:p>
    <w:p w:rsidR="00D22FFD" w:rsidRPr="00EC1AB2" w:rsidRDefault="00D22FFD" w:rsidP="007A02A8">
      <w:pPr>
        <w:pStyle w:val="Heading5"/>
        <w:spacing w:before="0" w:line="360" w:lineRule="auto"/>
        <w:jc w:val="center"/>
        <w:rPr>
          <w:rFonts w:ascii="Times New Roman" w:hAnsi="Times New Roman" w:cs="Times New Roman"/>
          <w:b/>
          <w:color w:val="auto"/>
          <w:sz w:val="24"/>
          <w:szCs w:val="24"/>
        </w:rPr>
      </w:pPr>
    </w:p>
    <w:p w:rsidR="00991A80" w:rsidRPr="00EC1AB2" w:rsidRDefault="00D22FFD"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Kaip matyti iš 1</w:t>
      </w:r>
      <w:r w:rsidR="004A6D7F" w:rsidRPr="00EC1AB2">
        <w:rPr>
          <w:rFonts w:ascii="Times New Roman" w:hAnsi="Times New Roman" w:cs="Times New Roman"/>
          <w:sz w:val="24"/>
          <w:szCs w:val="24"/>
        </w:rPr>
        <w:t>2</w:t>
      </w:r>
      <w:r w:rsidRPr="00EC1AB2">
        <w:rPr>
          <w:rFonts w:ascii="Times New Roman" w:hAnsi="Times New Roman" w:cs="Times New Roman"/>
          <w:sz w:val="24"/>
          <w:szCs w:val="24"/>
        </w:rPr>
        <w:t xml:space="preserve"> pav. </w:t>
      </w:r>
      <w:r w:rsidR="00064480" w:rsidRPr="00EC1AB2">
        <w:rPr>
          <w:rFonts w:ascii="Times New Roman" w:hAnsi="Times New Roman" w:cs="Times New Roman"/>
          <w:sz w:val="24"/>
          <w:szCs w:val="24"/>
        </w:rPr>
        <w:t>š</w:t>
      </w:r>
      <w:r w:rsidR="00CD58F6" w:rsidRPr="00EC1AB2">
        <w:rPr>
          <w:rFonts w:ascii="Times New Roman" w:hAnsi="Times New Roman" w:cs="Times New Roman"/>
          <w:sz w:val="24"/>
          <w:szCs w:val="24"/>
        </w:rPr>
        <w:t xml:space="preserve">alys suskirstytos į keturias grupes, t.y. šalis nuosaikias </w:t>
      </w:r>
      <w:r w:rsidR="009C4F26" w:rsidRPr="00EC1AB2">
        <w:rPr>
          <w:rFonts w:ascii="Times New Roman" w:hAnsi="Times New Roman" w:cs="Times New Roman"/>
          <w:sz w:val="24"/>
          <w:szCs w:val="24"/>
        </w:rPr>
        <w:t>inovatores, vidutines inovatores</w:t>
      </w:r>
      <w:r w:rsidR="00CD58F6" w:rsidRPr="00EC1AB2">
        <w:rPr>
          <w:rFonts w:ascii="Times New Roman" w:hAnsi="Times New Roman" w:cs="Times New Roman"/>
          <w:sz w:val="24"/>
          <w:szCs w:val="24"/>
        </w:rPr>
        <w:t>, inovacijų šalininkes ir inovacijų lyderes.</w:t>
      </w:r>
      <w:r w:rsidR="00AE584E" w:rsidRPr="00EC1AB2">
        <w:rPr>
          <w:rFonts w:ascii="Times New Roman" w:hAnsi="Times New Roman" w:cs="Times New Roman"/>
          <w:sz w:val="24"/>
          <w:szCs w:val="24"/>
        </w:rPr>
        <w:t xml:space="preserve"> Geriausių</w:t>
      </w:r>
      <w:r w:rsidR="00577514" w:rsidRPr="00EC1AB2">
        <w:rPr>
          <w:rFonts w:ascii="Times New Roman" w:hAnsi="Times New Roman" w:cs="Times New Roman"/>
          <w:sz w:val="24"/>
          <w:szCs w:val="24"/>
        </w:rPr>
        <w:t xml:space="preserve"> rezultatų 2011 m. pasi</w:t>
      </w:r>
      <w:r w:rsidR="00561346" w:rsidRPr="00EC1AB2">
        <w:rPr>
          <w:rFonts w:ascii="Times New Roman" w:hAnsi="Times New Roman" w:cs="Times New Roman"/>
          <w:sz w:val="24"/>
          <w:szCs w:val="24"/>
        </w:rPr>
        <w:t xml:space="preserve">ekė Suomija, Vokietija, Danija ir </w:t>
      </w:r>
      <w:r w:rsidR="006625A8" w:rsidRPr="00EC1AB2">
        <w:rPr>
          <w:rFonts w:ascii="Times New Roman" w:hAnsi="Times New Roman" w:cs="Times New Roman"/>
          <w:sz w:val="24"/>
          <w:szCs w:val="24"/>
        </w:rPr>
        <w:t xml:space="preserve">Švedija. </w:t>
      </w:r>
      <w:r w:rsidR="00577514" w:rsidRPr="00EC1AB2">
        <w:rPr>
          <w:rFonts w:ascii="Times New Roman" w:hAnsi="Times New Roman" w:cs="Times New Roman"/>
          <w:sz w:val="24"/>
          <w:szCs w:val="24"/>
        </w:rPr>
        <w:t xml:space="preserve">Baltijos </w:t>
      </w:r>
      <w:r w:rsidR="006625A8" w:rsidRPr="00EC1AB2">
        <w:rPr>
          <w:rFonts w:ascii="Times New Roman" w:hAnsi="Times New Roman" w:cs="Times New Roman"/>
          <w:sz w:val="24"/>
          <w:szCs w:val="24"/>
        </w:rPr>
        <w:t>regione</w:t>
      </w:r>
      <w:r w:rsidR="00302FEC" w:rsidRPr="00EC1AB2">
        <w:rPr>
          <w:rFonts w:ascii="Times New Roman" w:hAnsi="Times New Roman" w:cs="Times New Roman"/>
          <w:sz w:val="24"/>
          <w:szCs w:val="24"/>
        </w:rPr>
        <w:t xml:space="preserve"> </w:t>
      </w:r>
      <w:r w:rsidR="008247A0" w:rsidRPr="00EC1AB2">
        <w:rPr>
          <w:rFonts w:ascii="Times New Roman" w:hAnsi="Times New Roman" w:cs="Times New Roman"/>
          <w:sz w:val="24"/>
          <w:szCs w:val="24"/>
        </w:rPr>
        <w:t>didžiausią pažangą</w:t>
      </w:r>
      <w:r w:rsidR="00577514" w:rsidRPr="00EC1AB2">
        <w:rPr>
          <w:rFonts w:ascii="Times New Roman" w:hAnsi="Times New Roman" w:cs="Times New Roman"/>
          <w:sz w:val="24"/>
          <w:szCs w:val="24"/>
        </w:rPr>
        <w:t xml:space="preserve"> pavyko pasiekti Estija</w:t>
      </w:r>
      <w:r w:rsidR="00302FEC" w:rsidRPr="00EC1AB2">
        <w:rPr>
          <w:rFonts w:ascii="Times New Roman" w:hAnsi="Times New Roman" w:cs="Times New Roman"/>
          <w:sz w:val="24"/>
          <w:szCs w:val="24"/>
        </w:rPr>
        <w:t>i</w:t>
      </w:r>
      <w:r w:rsidR="00611C89" w:rsidRPr="00EC1AB2">
        <w:rPr>
          <w:rFonts w:ascii="Times New Roman" w:hAnsi="Times New Roman" w:cs="Times New Roman"/>
          <w:sz w:val="24"/>
          <w:szCs w:val="24"/>
        </w:rPr>
        <w:t>. Ji pateko į š</w:t>
      </w:r>
      <w:r w:rsidR="00425D79" w:rsidRPr="00EC1AB2">
        <w:rPr>
          <w:rFonts w:ascii="Times New Roman" w:hAnsi="Times New Roman" w:cs="Times New Roman"/>
          <w:sz w:val="24"/>
          <w:szCs w:val="24"/>
        </w:rPr>
        <w:t xml:space="preserve">alių inovacijų šalininkių grupę ir palyginti nedaug atsiliko nuo ES vidurkio. </w:t>
      </w:r>
      <w:r w:rsidR="00577514" w:rsidRPr="00EC1AB2">
        <w:rPr>
          <w:rFonts w:ascii="Times New Roman" w:hAnsi="Times New Roman" w:cs="Times New Roman"/>
          <w:sz w:val="24"/>
          <w:szCs w:val="24"/>
        </w:rPr>
        <w:t xml:space="preserve"> Deja, </w:t>
      </w:r>
      <w:r w:rsidR="00DE50B5" w:rsidRPr="00EC1AB2">
        <w:rPr>
          <w:rFonts w:ascii="Times New Roman" w:hAnsi="Times New Roman" w:cs="Times New Roman"/>
          <w:sz w:val="24"/>
          <w:szCs w:val="24"/>
        </w:rPr>
        <w:t>Latvijos suminio inovatyvumo indeksas buvo mažiausias</w:t>
      </w:r>
      <w:r w:rsidR="000C5D41" w:rsidRPr="00EC1AB2">
        <w:rPr>
          <w:rFonts w:ascii="Times New Roman" w:hAnsi="Times New Roman" w:cs="Times New Roman"/>
          <w:sz w:val="24"/>
          <w:szCs w:val="24"/>
        </w:rPr>
        <w:t xml:space="preserve"> visoje ES, o Lietuv</w:t>
      </w:r>
      <w:r w:rsidR="00155078" w:rsidRPr="00EC1AB2">
        <w:rPr>
          <w:rFonts w:ascii="Times New Roman" w:hAnsi="Times New Roman" w:cs="Times New Roman"/>
          <w:sz w:val="24"/>
          <w:szCs w:val="24"/>
        </w:rPr>
        <w:t>a parodė</w:t>
      </w:r>
      <w:r w:rsidR="000C5D41" w:rsidRPr="00EC1AB2">
        <w:rPr>
          <w:rFonts w:ascii="Times New Roman" w:hAnsi="Times New Roman" w:cs="Times New Roman"/>
          <w:sz w:val="24"/>
          <w:szCs w:val="24"/>
        </w:rPr>
        <w:t xml:space="preserve"> nežymiai didesnę pažangą</w:t>
      </w:r>
      <w:r w:rsidR="00385DD2" w:rsidRPr="00EC1AB2">
        <w:rPr>
          <w:rFonts w:ascii="Times New Roman" w:hAnsi="Times New Roman" w:cs="Times New Roman"/>
          <w:sz w:val="24"/>
          <w:szCs w:val="24"/>
        </w:rPr>
        <w:t xml:space="preserve"> ir smarkiai atsiliko nuo ES vidurkio.</w:t>
      </w:r>
      <w:r w:rsidR="000C5D41" w:rsidRPr="00EC1AB2">
        <w:rPr>
          <w:rFonts w:ascii="Times New Roman" w:hAnsi="Times New Roman" w:cs="Times New Roman"/>
          <w:sz w:val="24"/>
          <w:szCs w:val="24"/>
        </w:rPr>
        <w:t xml:space="preserve"> </w:t>
      </w:r>
    </w:p>
    <w:p w:rsidR="00EC1D96" w:rsidRPr="00EC1AB2" w:rsidRDefault="00926F5A"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2011 m. </w:t>
      </w:r>
      <w:r w:rsidR="00B61357" w:rsidRPr="00EC1AB2">
        <w:rPr>
          <w:rFonts w:ascii="Times New Roman" w:hAnsi="Times New Roman" w:cs="Times New Roman"/>
          <w:sz w:val="24"/>
          <w:szCs w:val="24"/>
        </w:rPr>
        <w:t>Inovacijų sąjungos</w:t>
      </w:r>
      <w:r w:rsidR="00AF03DC" w:rsidRPr="00EC1AB2">
        <w:rPr>
          <w:rFonts w:ascii="Times New Roman" w:hAnsi="Times New Roman" w:cs="Times New Roman"/>
          <w:sz w:val="24"/>
          <w:szCs w:val="24"/>
        </w:rPr>
        <w:t xml:space="preserve"> rezultatų suvestinėje </w:t>
      </w:r>
      <w:r w:rsidR="004B6F64" w:rsidRPr="00EC1AB2">
        <w:rPr>
          <w:rFonts w:ascii="Times New Roman" w:hAnsi="Times New Roman" w:cs="Times New Roman"/>
          <w:sz w:val="24"/>
          <w:szCs w:val="24"/>
        </w:rPr>
        <w:t xml:space="preserve">taip pat </w:t>
      </w:r>
      <w:r w:rsidR="00B61357" w:rsidRPr="00EC1AB2">
        <w:rPr>
          <w:rFonts w:ascii="Times New Roman" w:hAnsi="Times New Roman" w:cs="Times New Roman"/>
          <w:sz w:val="24"/>
          <w:szCs w:val="24"/>
        </w:rPr>
        <w:t>pateikti</w:t>
      </w:r>
      <w:r w:rsidRPr="00EC1AB2">
        <w:rPr>
          <w:rFonts w:ascii="Times New Roman" w:hAnsi="Times New Roman" w:cs="Times New Roman"/>
          <w:sz w:val="24"/>
          <w:szCs w:val="24"/>
        </w:rPr>
        <w:t xml:space="preserve"> </w:t>
      </w:r>
      <w:r w:rsidR="004B6F64" w:rsidRPr="00EC1AB2">
        <w:rPr>
          <w:rFonts w:ascii="Times New Roman" w:hAnsi="Times New Roman" w:cs="Times New Roman"/>
          <w:sz w:val="24"/>
          <w:szCs w:val="24"/>
        </w:rPr>
        <w:t xml:space="preserve">ir </w:t>
      </w:r>
      <w:r w:rsidRPr="00EC1AB2">
        <w:rPr>
          <w:rFonts w:ascii="Times New Roman" w:hAnsi="Times New Roman" w:cs="Times New Roman"/>
          <w:sz w:val="24"/>
          <w:szCs w:val="24"/>
        </w:rPr>
        <w:t>suminiai in</w:t>
      </w:r>
      <w:r w:rsidR="00EF28B3" w:rsidRPr="00EC1AB2">
        <w:rPr>
          <w:rFonts w:ascii="Times New Roman" w:hAnsi="Times New Roman" w:cs="Times New Roman"/>
          <w:sz w:val="24"/>
          <w:szCs w:val="24"/>
        </w:rPr>
        <w:t>ovatyvumo indeksai už praėjusiu</w:t>
      </w:r>
      <w:r w:rsidRPr="00EC1AB2">
        <w:rPr>
          <w:rFonts w:ascii="Times New Roman" w:hAnsi="Times New Roman" w:cs="Times New Roman"/>
          <w:sz w:val="24"/>
          <w:szCs w:val="24"/>
        </w:rPr>
        <w:t>s laikotarpius, t.y. perskaičiuoti pagal naują metodiką.</w:t>
      </w:r>
      <w:r w:rsidR="00452979" w:rsidRPr="00EC1AB2">
        <w:rPr>
          <w:rFonts w:ascii="Times New Roman" w:hAnsi="Times New Roman" w:cs="Times New Roman"/>
          <w:sz w:val="24"/>
          <w:szCs w:val="24"/>
        </w:rPr>
        <w:t xml:space="preserve"> </w:t>
      </w:r>
    </w:p>
    <w:p w:rsidR="00111A5D" w:rsidRPr="00EC1AB2" w:rsidRDefault="00111A5D"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Lietuvos rezult</w:t>
      </w:r>
      <w:r w:rsidR="009C4F26" w:rsidRPr="00EC1AB2">
        <w:rPr>
          <w:rFonts w:ascii="Times New Roman" w:hAnsi="Times New Roman" w:cs="Times New Roman"/>
          <w:sz w:val="24"/>
          <w:szCs w:val="24"/>
        </w:rPr>
        <w:t>at</w:t>
      </w:r>
      <w:r w:rsidRPr="00EC1AB2">
        <w:rPr>
          <w:rFonts w:ascii="Times New Roman" w:hAnsi="Times New Roman" w:cs="Times New Roman"/>
          <w:sz w:val="24"/>
          <w:szCs w:val="24"/>
        </w:rPr>
        <w:t xml:space="preserve">ai laikotarpiu 2007-2011 m. </w:t>
      </w:r>
      <w:r w:rsidR="003979CC" w:rsidRPr="00EC1AB2">
        <w:rPr>
          <w:rFonts w:ascii="Times New Roman" w:hAnsi="Times New Roman" w:cs="Times New Roman"/>
          <w:sz w:val="24"/>
          <w:szCs w:val="24"/>
        </w:rPr>
        <w:t xml:space="preserve">kitų šalių atžvilgiu </w:t>
      </w:r>
      <w:r w:rsidRPr="00EC1AB2">
        <w:rPr>
          <w:rFonts w:ascii="Times New Roman" w:hAnsi="Times New Roman" w:cs="Times New Roman"/>
          <w:sz w:val="24"/>
          <w:szCs w:val="24"/>
        </w:rPr>
        <w:t xml:space="preserve">prastėjo (žr. 1 priedą.). </w:t>
      </w:r>
      <w:r w:rsidR="0018443E" w:rsidRPr="00EC1AB2">
        <w:rPr>
          <w:rFonts w:ascii="Times New Roman" w:hAnsi="Times New Roman" w:cs="Times New Roman"/>
          <w:sz w:val="24"/>
          <w:szCs w:val="24"/>
        </w:rPr>
        <w:t xml:space="preserve">2007 m. </w:t>
      </w:r>
      <w:r w:rsidR="001B7B43" w:rsidRPr="00EC1AB2">
        <w:rPr>
          <w:rFonts w:ascii="Times New Roman" w:hAnsi="Times New Roman" w:cs="Times New Roman"/>
          <w:sz w:val="24"/>
          <w:szCs w:val="24"/>
        </w:rPr>
        <w:t xml:space="preserve">Lietuva </w:t>
      </w:r>
      <w:r w:rsidR="0018443E" w:rsidRPr="00EC1AB2">
        <w:rPr>
          <w:rFonts w:ascii="Times New Roman" w:hAnsi="Times New Roman" w:cs="Times New Roman"/>
          <w:sz w:val="24"/>
          <w:szCs w:val="24"/>
        </w:rPr>
        <w:t>pagal suminio inovatyvumo indeksą buvo 23</w:t>
      </w:r>
      <w:r w:rsidR="00024B49" w:rsidRPr="00EC1AB2">
        <w:rPr>
          <w:rFonts w:ascii="Times New Roman" w:hAnsi="Times New Roman" w:cs="Times New Roman"/>
          <w:sz w:val="24"/>
          <w:szCs w:val="24"/>
        </w:rPr>
        <w:t>-oje</w:t>
      </w:r>
      <w:r w:rsidR="0018443E" w:rsidRPr="00EC1AB2">
        <w:rPr>
          <w:rFonts w:ascii="Times New Roman" w:hAnsi="Times New Roman" w:cs="Times New Roman"/>
          <w:sz w:val="24"/>
          <w:szCs w:val="24"/>
        </w:rPr>
        <w:t xml:space="preserve"> vietoje iš 27 šalių narių</w:t>
      </w:r>
      <w:r w:rsidR="001B7B43" w:rsidRPr="00EC1AB2">
        <w:rPr>
          <w:rFonts w:ascii="Times New Roman" w:hAnsi="Times New Roman" w:cs="Times New Roman"/>
          <w:sz w:val="24"/>
          <w:szCs w:val="24"/>
        </w:rPr>
        <w:t xml:space="preserve"> ir lenkė tokias</w:t>
      </w:r>
      <w:r w:rsidR="00024B49" w:rsidRPr="00EC1AB2">
        <w:rPr>
          <w:rFonts w:ascii="Times New Roman" w:hAnsi="Times New Roman" w:cs="Times New Roman"/>
          <w:sz w:val="24"/>
          <w:szCs w:val="24"/>
        </w:rPr>
        <w:t xml:space="preserve"> šalis, </w:t>
      </w:r>
      <w:r w:rsidR="00024B49" w:rsidRPr="00EC1AB2">
        <w:rPr>
          <w:rFonts w:ascii="Times New Roman" w:hAnsi="Times New Roman" w:cs="Times New Roman"/>
          <w:sz w:val="24"/>
          <w:szCs w:val="24"/>
        </w:rPr>
        <w:lastRenderedPageBreak/>
        <w:t>kaip Bulgarija, Latvija</w:t>
      </w:r>
      <w:r w:rsidR="001B7B43" w:rsidRPr="00EC1AB2">
        <w:rPr>
          <w:rFonts w:ascii="Times New Roman" w:hAnsi="Times New Roman" w:cs="Times New Roman"/>
          <w:sz w:val="24"/>
          <w:szCs w:val="24"/>
        </w:rPr>
        <w:t xml:space="preserve">, </w:t>
      </w:r>
      <w:r w:rsidR="00024B49" w:rsidRPr="00EC1AB2">
        <w:rPr>
          <w:rFonts w:ascii="Times New Roman" w:hAnsi="Times New Roman" w:cs="Times New Roman"/>
          <w:sz w:val="24"/>
          <w:szCs w:val="24"/>
        </w:rPr>
        <w:t>Rumunija bei Slovakija</w:t>
      </w:r>
      <w:r w:rsidR="001B7B43" w:rsidRPr="00EC1AB2">
        <w:rPr>
          <w:rFonts w:ascii="Times New Roman" w:hAnsi="Times New Roman" w:cs="Times New Roman"/>
          <w:sz w:val="24"/>
          <w:szCs w:val="24"/>
        </w:rPr>
        <w:t>.</w:t>
      </w:r>
      <w:r w:rsidR="00024B49" w:rsidRPr="00EC1AB2">
        <w:rPr>
          <w:rFonts w:ascii="Times New Roman" w:hAnsi="Times New Roman" w:cs="Times New Roman"/>
          <w:sz w:val="24"/>
          <w:szCs w:val="24"/>
        </w:rPr>
        <w:t xml:space="preserve"> Kiekvienais metais jos padėtis, lyginant su kitomis ES valstybėmis blogėjo </w:t>
      </w:r>
      <w:r w:rsidR="00C914F9" w:rsidRPr="00EC1AB2">
        <w:rPr>
          <w:rFonts w:ascii="Times New Roman" w:hAnsi="Times New Roman" w:cs="Times New Roman"/>
          <w:sz w:val="24"/>
          <w:szCs w:val="24"/>
        </w:rPr>
        <w:t xml:space="preserve">ir galiausiai 2011 m. ji </w:t>
      </w:r>
      <w:r w:rsidR="00BC4408" w:rsidRPr="00EC1AB2">
        <w:rPr>
          <w:rFonts w:ascii="Times New Roman" w:hAnsi="Times New Roman" w:cs="Times New Roman"/>
          <w:sz w:val="24"/>
          <w:szCs w:val="24"/>
        </w:rPr>
        <w:t>atsidūrė 25-oje vietoje ir parodė ger</w:t>
      </w:r>
      <w:r w:rsidR="00C914F9" w:rsidRPr="00EC1AB2">
        <w:rPr>
          <w:rFonts w:ascii="Times New Roman" w:hAnsi="Times New Roman" w:cs="Times New Roman"/>
          <w:sz w:val="24"/>
          <w:szCs w:val="24"/>
        </w:rPr>
        <w:t>esnius rezultatus tik už Latviją ir Bulgariją</w:t>
      </w:r>
      <w:r w:rsidR="00BC4408" w:rsidRPr="00EC1AB2">
        <w:rPr>
          <w:rFonts w:ascii="Times New Roman" w:hAnsi="Times New Roman" w:cs="Times New Roman"/>
          <w:sz w:val="24"/>
          <w:szCs w:val="24"/>
        </w:rPr>
        <w:t xml:space="preserve">. </w:t>
      </w:r>
      <w:r w:rsidR="0063481D" w:rsidRPr="00EC1AB2">
        <w:rPr>
          <w:rFonts w:ascii="Times New Roman" w:hAnsi="Times New Roman" w:cs="Times New Roman"/>
          <w:sz w:val="24"/>
          <w:szCs w:val="24"/>
        </w:rPr>
        <w:t>Paminėtina, kad nagrinėtu laikotarpiu Lietuvos suminis inovatyvumo indeksas didėjo, tačiau jo augimas buvo žymiai mažesnis nei kitų ES šalių, kas ir lėmė Lietuvo</w:t>
      </w:r>
      <w:r w:rsidR="004C2962" w:rsidRPr="00EC1AB2">
        <w:rPr>
          <w:rFonts w:ascii="Times New Roman" w:hAnsi="Times New Roman" w:cs="Times New Roman"/>
          <w:sz w:val="24"/>
          <w:szCs w:val="24"/>
        </w:rPr>
        <w:t>s padėties blog</w:t>
      </w:r>
      <w:r w:rsidR="00ED6EAB" w:rsidRPr="00EC1AB2">
        <w:rPr>
          <w:rFonts w:ascii="Times New Roman" w:hAnsi="Times New Roman" w:cs="Times New Roman"/>
          <w:sz w:val="24"/>
          <w:szCs w:val="24"/>
        </w:rPr>
        <w:t>ėjimą ES kontekste.</w:t>
      </w:r>
    </w:p>
    <w:p w:rsidR="004748E7" w:rsidRPr="00EC1AB2" w:rsidRDefault="00D60049" w:rsidP="007A02A8">
      <w:pPr>
        <w:autoSpaceDE w:val="0"/>
        <w:autoSpaceDN w:val="0"/>
        <w:adjustRightInd w:val="0"/>
        <w:spacing w:after="0" w:line="360" w:lineRule="auto"/>
        <w:ind w:firstLine="567"/>
        <w:contextualSpacing/>
        <w:jc w:val="both"/>
        <w:rPr>
          <w:rFonts w:ascii="Times New Roman" w:hAnsi="Times New Roman" w:cs="Times New Roman"/>
          <w:sz w:val="24"/>
          <w:szCs w:val="24"/>
        </w:rPr>
      </w:pPr>
      <w:r w:rsidRPr="00EC1AB2">
        <w:rPr>
          <w:rFonts w:ascii="Times New Roman" w:hAnsi="Times New Roman" w:cs="Times New Roman"/>
          <w:sz w:val="24"/>
          <w:szCs w:val="24"/>
        </w:rPr>
        <w:t xml:space="preserve">Rezultatų suvestinė grindžiama </w:t>
      </w:r>
      <w:r w:rsidRPr="00EC1AB2">
        <w:rPr>
          <w:rFonts w:ascii="Times New Roman" w:hAnsi="Times New Roman" w:cs="Times New Roman"/>
          <w:bCs/>
          <w:sz w:val="24"/>
          <w:szCs w:val="24"/>
        </w:rPr>
        <w:t>25 rodikliais</w:t>
      </w:r>
      <w:r w:rsidR="00B91ECD" w:rsidRPr="00EC1AB2">
        <w:rPr>
          <w:rFonts w:ascii="Times New Roman" w:hAnsi="Times New Roman" w:cs="Times New Roman"/>
          <w:bCs/>
          <w:sz w:val="24"/>
          <w:szCs w:val="24"/>
        </w:rPr>
        <w:t>, k</w:t>
      </w:r>
      <w:r w:rsidR="009C4F26" w:rsidRPr="00EC1AB2">
        <w:rPr>
          <w:rFonts w:ascii="Times New Roman" w:hAnsi="Times New Roman" w:cs="Times New Roman"/>
          <w:bCs/>
          <w:sz w:val="24"/>
          <w:szCs w:val="24"/>
        </w:rPr>
        <w:t>u</w:t>
      </w:r>
      <w:r w:rsidR="00B91ECD" w:rsidRPr="00EC1AB2">
        <w:rPr>
          <w:rFonts w:ascii="Times New Roman" w:hAnsi="Times New Roman" w:cs="Times New Roman"/>
          <w:bCs/>
          <w:sz w:val="24"/>
          <w:szCs w:val="24"/>
        </w:rPr>
        <w:t>rie yra suskirstyti</w:t>
      </w:r>
      <w:r w:rsidR="00B91ECD" w:rsidRPr="00EC1AB2">
        <w:rPr>
          <w:rFonts w:ascii="Times New Roman" w:hAnsi="Times New Roman" w:cs="Times New Roman"/>
          <w:sz w:val="24"/>
          <w:szCs w:val="24"/>
        </w:rPr>
        <w:t xml:space="preserve"> </w:t>
      </w:r>
      <w:r w:rsidR="005C6DFA" w:rsidRPr="00EC1AB2">
        <w:rPr>
          <w:rFonts w:ascii="Times New Roman" w:hAnsi="Times New Roman" w:cs="Times New Roman"/>
          <w:sz w:val="24"/>
          <w:szCs w:val="24"/>
        </w:rPr>
        <w:t xml:space="preserve">į </w:t>
      </w:r>
      <w:r w:rsidR="00B91ECD" w:rsidRPr="00EC1AB2">
        <w:rPr>
          <w:rFonts w:ascii="Times New Roman" w:hAnsi="Times New Roman" w:cs="Times New Roman"/>
          <w:sz w:val="24"/>
          <w:szCs w:val="24"/>
        </w:rPr>
        <w:t xml:space="preserve">tris </w:t>
      </w:r>
      <w:r w:rsidRPr="00EC1AB2">
        <w:rPr>
          <w:rFonts w:ascii="Times New Roman" w:hAnsi="Times New Roman" w:cs="Times New Roman"/>
          <w:sz w:val="24"/>
          <w:szCs w:val="24"/>
        </w:rPr>
        <w:t>pagrindines kategorijas:</w:t>
      </w:r>
    </w:p>
    <w:p w:rsidR="004748E7" w:rsidRPr="00EC1AB2" w:rsidRDefault="00D60049" w:rsidP="007A02A8">
      <w:pPr>
        <w:pStyle w:val="ListParagraph"/>
        <w:numPr>
          <w:ilvl w:val="0"/>
          <w:numId w:val="40"/>
        </w:num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bCs/>
          <w:sz w:val="24"/>
          <w:szCs w:val="24"/>
        </w:rPr>
        <w:t xml:space="preserve">Priemonės </w:t>
      </w:r>
      <w:r w:rsidRPr="00EC1AB2">
        <w:rPr>
          <w:rFonts w:ascii="Times New Roman" w:hAnsi="Times New Roman" w:cs="Times New Roman"/>
          <w:sz w:val="24"/>
          <w:szCs w:val="24"/>
        </w:rPr>
        <w:t>– pagrindiniai elementai, kurie padeda sud</w:t>
      </w:r>
      <w:r w:rsidR="00934FEA" w:rsidRPr="00EC1AB2">
        <w:rPr>
          <w:rFonts w:ascii="Times New Roman" w:hAnsi="Times New Roman" w:cs="Times New Roman"/>
          <w:sz w:val="24"/>
          <w:szCs w:val="24"/>
        </w:rPr>
        <w:t>aryti sąlygas diegti inovacijas;</w:t>
      </w:r>
    </w:p>
    <w:p w:rsidR="00934FEA" w:rsidRPr="00EC1AB2" w:rsidRDefault="00D60049" w:rsidP="007A02A8">
      <w:pPr>
        <w:pStyle w:val="ListParagraph"/>
        <w:numPr>
          <w:ilvl w:val="0"/>
          <w:numId w:val="40"/>
        </w:num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bCs/>
          <w:sz w:val="24"/>
          <w:szCs w:val="24"/>
        </w:rPr>
        <w:t xml:space="preserve">Verslo subjektų veikla </w:t>
      </w:r>
      <w:r w:rsidRPr="00EC1AB2">
        <w:rPr>
          <w:rFonts w:ascii="Times New Roman" w:hAnsi="Times New Roman" w:cs="Times New Roman"/>
          <w:sz w:val="24"/>
          <w:szCs w:val="24"/>
        </w:rPr>
        <w:t>– rodikliai, pagal kuriuos galima spręsti, kiek inovatyvūs yra Europos</w:t>
      </w:r>
      <w:r w:rsidR="004748E7" w:rsidRPr="00EC1AB2">
        <w:rPr>
          <w:rFonts w:ascii="Times New Roman" w:hAnsi="Times New Roman" w:cs="Times New Roman"/>
          <w:sz w:val="24"/>
          <w:szCs w:val="24"/>
        </w:rPr>
        <w:t xml:space="preserve"> </w:t>
      </w:r>
      <w:r w:rsidR="005C6DFA" w:rsidRPr="00EC1AB2">
        <w:rPr>
          <w:rFonts w:ascii="Times New Roman" w:hAnsi="Times New Roman" w:cs="Times New Roman"/>
          <w:sz w:val="24"/>
          <w:szCs w:val="24"/>
        </w:rPr>
        <w:t>verslo subjektai</w:t>
      </w:r>
      <w:r w:rsidR="00934FEA" w:rsidRPr="00EC1AB2">
        <w:rPr>
          <w:rFonts w:ascii="Times New Roman" w:hAnsi="Times New Roman" w:cs="Times New Roman"/>
          <w:sz w:val="24"/>
          <w:szCs w:val="24"/>
        </w:rPr>
        <w:t>;</w:t>
      </w:r>
    </w:p>
    <w:p w:rsidR="0010732A" w:rsidRPr="00EC1AB2" w:rsidRDefault="00D60049" w:rsidP="007A02A8">
      <w:pPr>
        <w:pStyle w:val="ListParagraph"/>
        <w:numPr>
          <w:ilvl w:val="0"/>
          <w:numId w:val="40"/>
        </w:num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bCs/>
          <w:sz w:val="24"/>
          <w:szCs w:val="24"/>
        </w:rPr>
        <w:t xml:space="preserve">Rezultatai </w:t>
      </w:r>
      <w:r w:rsidRPr="00EC1AB2">
        <w:rPr>
          <w:rFonts w:ascii="Times New Roman" w:hAnsi="Times New Roman" w:cs="Times New Roman"/>
          <w:sz w:val="24"/>
          <w:szCs w:val="24"/>
        </w:rPr>
        <w:t>– rodikliai, pagal kuriuos galima spręsti, kokią naudą iš to gauna ekonomika apskritai</w:t>
      </w:r>
      <w:r w:rsidR="002A347E" w:rsidRPr="00EC1AB2">
        <w:rPr>
          <w:rFonts w:ascii="Times New Roman" w:hAnsi="Times New Roman" w:cs="Times New Roman"/>
          <w:sz w:val="24"/>
          <w:szCs w:val="24"/>
        </w:rPr>
        <w:t xml:space="preserve"> </w:t>
      </w:r>
      <w:r w:rsidR="00CE4F9A" w:rsidRPr="00EC1AB2">
        <w:rPr>
          <w:rFonts w:ascii="Times New Roman" w:hAnsi="Times New Roman" w:cs="Times New Roman"/>
          <w:sz w:val="24"/>
          <w:szCs w:val="24"/>
        </w:rPr>
        <w:t xml:space="preserve"> (plačiau žr. 2 priedą).</w:t>
      </w:r>
    </w:p>
    <w:p w:rsidR="00D76904" w:rsidRPr="00EC1AB2" w:rsidRDefault="00167F49"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Siekiant išskirti Lietuvos silpnąsias ir stipriąsias puses verta panagrinėti suminio inovatyvumo indekso s</w:t>
      </w:r>
      <w:r w:rsidR="001E4726" w:rsidRPr="00EC1AB2">
        <w:rPr>
          <w:rFonts w:ascii="Times New Roman" w:hAnsi="Times New Roman" w:cs="Times New Roman"/>
          <w:sz w:val="24"/>
          <w:szCs w:val="24"/>
        </w:rPr>
        <w:t>u</w:t>
      </w:r>
      <w:r w:rsidR="00343E77" w:rsidRPr="00EC1AB2">
        <w:rPr>
          <w:rFonts w:ascii="Times New Roman" w:hAnsi="Times New Roman" w:cs="Times New Roman"/>
          <w:sz w:val="24"/>
          <w:szCs w:val="24"/>
        </w:rPr>
        <w:t xml:space="preserve">dedamąsias dalis. </w:t>
      </w:r>
    </w:p>
    <w:p w:rsidR="001E2637" w:rsidRPr="00EC1AB2" w:rsidRDefault="00167F49"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b/>
          <w:sz w:val="24"/>
          <w:szCs w:val="24"/>
        </w:rPr>
        <w:t>Žmogiškųjų išteklių</w:t>
      </w:r>
      <w:r w:rsidRPr="00EC1AB2">
        <w:rPr>
          <w:rFonts w:ascii="Times New Roman" w:hAnsi="Times New Roman" w:cs="Times New Roman"/>
          <w:sz w:val="24"/>
          <w:szCs w:val="24"/>
        </w:rPr>
        <w:t xml:space="preserve"> rodiklių </w:t>
      </w:r>
      <w:r w:rsidR="001E4726" w:rsidRPr="00EC1AB2">
        <w:rPr>
          <w:rFonts w:ascii="Times New Roman" w:hAnsi="Times New Roman" w:cs="Times New Roman"/>
          <w:sz w:val="24"/>
          <w:szCs w:val="24"/>
        </w:rPr>
        <w:t>grupėje, kuri priklauso priemonių kategorijai</w:t>
      </w:r>
      <w:r w:rsidR="00130E12" w:rsidRPr="00EC1AB2">
        <w:rPr>
          <w:rFonts w:ascii="Times New Roman" w:hAnsi="Times New Roman" w:cs="Times New Roman"/>
          <w:sz w:val="24"/>
          <w:szCs w:val="24"/>
        </w:rPr>
        <w:t xml:space="preserve"> </w:t>
      </w:r>
      <w:r w:rsidRPr="00EC1AB2">
        <w:rPr>
          <w:rFonts w:ascii="Times New Roman" w:hAnsi="Times New Roman" w:cs="Times New Roman"/>
          <w:sz w:val="24"/>
          <w:szCs w:val="24"/>
        </w:rPr>
        <w:t xml:space="preserve">Lietuva </w:t>
      </w:r>
      <w:r w:rsidR="00DD513D" w:rsidRPr="00EC1AB2">
        <w:rPr>
          <w:rFonts w:ascii="Times New Roman" w:hAnsi="Times New Roman" w:cs="Times New Roman"/>
          <w:sz w:val="24"/>
          <w:szCs w:val="24"/>
        </w:rPr>
        <w:t>užima geras pozicijas</w:t>
      </w:r>
      <w:r w:rsidR="001E4726" w:rsidRPr="00EC1AB2">
        <w:rPr>
          <w:rFonts w:ascii="Times New Roman" w:hAnsi="Times New Roman" w:cs="Times New Roman"/>
          <w:sz w:val="24"/>
          <w:szCs w:val="24"/>
        </w:rPr>
        <w:t xml:space="preserve"> ir smarkiai lenkia ES vidurkį (žr. 3 priedą).</w:t>
      </w:r>
      <w:r w:rsidR="003B5F54" w:rsidRPr="00EC1AB2">
        <w:rPr>
          <w:rFonts w:ascii="Times New Roman" w:hAnsi="Times New Roman" w:cs="Times New Roman"/>
          <w:sz w:val="24"/>
          <w:szCs w:val="24"/>
        </w:rPr>
        <w:t xml:space="preserve"> </w:t>
      </w:r>
      <w:r w:rsidR="00222F9E" w:rsidRPr="00EC1AB2">
        <w:rPr>
          <w:rFonts w:ascii="Times New Roman" w:hAnsi="Times New Roman" w:cs="Times New Roman"/>
          <w:sz w:val="24"/>
          <w:szCs w:val="24"/>
        </w:rPr>
        <w:t>Tai daugia</w:t>
      </w:r>
      <w:r w:rsidR="009C4F26" w:rsidRPr="00EC1AB2">
        <w:rPr>
          <w:rFonts w:ascii="Times New Roman" w:hAnsi="Times New Roman" w:cs="Times New Roman"/>
          <w:sz w:val="24"/>
          <w:szCs w:val="24"/>
        </w:rPr>
        <w:t>u</w:t>
      </w:r>
      <w:r w:rsidR="00222F9E" w:rsidRPr="00EC1AB2">
        <w:rPr>
          <w:rFonts w:ascii="Times New Roman" w:hAnsi="Times New Roman" w:cs="Times New Roman"/>
          <w:sz w:val="24"/>
          <w:szCs w:val="24"/>
        </w:rPr>
        <w:t>siai įtakojo rodikliai – aukštąjį išsilavinimą turinčių gyventojų, kurių amžius 25-34 m., procentinė dalis, bei 20-24 m. jaunuolių, įgijusių bent vidurinį išsilavinimą, procentinė dalis.</w:t>
      </w:r>
      <w:r w:rsidR="001E2637" w:rsidRPr="00EC1AB2">
        <w:rPr>
          <w:rFonts w:ascii="Times New Roman" w:hAnsi="Times New Roman" w:cs="Times New Roman"/>
          <w:sz w:val="24"/>
          <w:szCs w:val="24"/>
        </w:rPr>
        <w:t xml:space="preserve"> </w:t>
      </w:r>
      <w:r w:rsidR="00262184" w:rsidRPr="00EC1AB2">
        <w:rPr>
          <w:rFonts w:ascii="Times New Roman" w:hAnsi="Times New Roman" w:cs="Times New Roman"/>
          <w:sz w:val="24"/>
          <w:szCs w:val="24"/>
        </w:rPr>
        <w:t>Lietuvoje išsilavinusių žmonių skaičiaus augimą didžia dalimi lėmė tai, kad a</w:t>
      </w:r>
      <w:r w:rsidR="00CA23C7" w:rsidRPr="00EC1AB2">
        <w:rPr>
          <w:rFonts w:ascii="Times New Roman" w:hAnsi="Times New Roman" w:cs="Times New Roman"/>
          <w:sz w:val="24"/>
          <w:szCs w:val="24"/>
        </w:rPr>
        <w:t>u</w:t>
      </w:r>
      <w:r w:rsidR="00262184" w:rsidRPr="00EC1AB2">
        <w:rPr>
          <w:rFonts w:ascii="Times New Roman" w:hAnsi="Times New Roman" w:cs="Times New Roman"/>
          <w:sz w:val="24"/>
          <w:szCs w:val="24"/>
        </w:rPr>
        <w:t>kštasis išsilavinimas ilgą laikotarpį praktiškai buvo nemo</w:t>
      </w:r>
      <w:r w:rsidR="0055670E" w:rsidRPr="00EC1AB2">
        <w:rPr>
          <w:rFonts w:ascii="Times New Roman" w:hAnsi="Times New Roman" w:cs="Times New Roman"/>
          <w:sz w:val="24"/>
          <w:szCs w:val="24"/>
        </w:rPr>
        <w:t>kamas. V</w:t>
      </w:r>
      <w:r w:rsidR="00876206" w:rsidRPr="00EC1AB2">
        <w:rPr>
          <w:rFonts w:ascii="Times New Roman" w:hAnsi="Times New Roman" w:cs="Times New Roman"/>
          <w:sz w:val="24"/>
          <w:szCs w:val="24"/>
        </w:rPr>
        <w:t>alstybės politika didinant finansavimą šioje srityje</w:t>
      </w:r>
      <w:r w:rsidR="0055670E" w:rsidRPr="00EC1AB2">
        <w:rPr>
          <w:rFonts w:ascii="Times New Roman" w:hAnsi="Times New Roman" w:cs="Times New Roman"/>
          <w:sz w:val="24"/>
          <w:szCs w:val="24"/>
        </w:rPr>
        <w:t xml:space="preserve"> įtakojo jaunimą masiškai rinktis aukštąjį išsilavinimą, negalvojant apie profesinio išsilavinimo galimybę. </w:t>
      </w:r>
      <w:r w:rsidR="00934EC4" w:rsidRPr="00EC1AB2">
        <w:rPr>
          <w:rFonts w:ascii="Times New Roman" w:hAnsi="Times New Roman" w:cs="Times New Roman"/>
          <w:sz w:val="24"/>
          <w:szCs w:val="24"/>
        </w:rPr>
        <w:t xml:space="preserve"> </w:t>
      </w:r>
      <w:r w:rsidR="001248CF" w:rsidRPr="00EC1AB2">
        <w:rPr>
          <w:rFonts w:ascii="Times New Roman" w:hAnsi="Times New Roman" w:cs="Times New Roman"/>
          <w:sz w:val="24"/>
          <w:szCs w:val="24"/>
        </w:rPr>
        <w:t>Todėl galima tik svarstyti ar s</w:t>
      </w:r>
      <w:r w:rsidR="00876206" w:rsidRPr="00EC1AB2">
        <w:rPr>
          <w:rFonts w:ascii="Times New Roman" w:hAnsi="Times New Roman" w:cs="Times New Roman"/>
          <w:sz w:val="24"/>
          <w:szCs w:val="24"/>
        </w:rPr>
        <w:t>tatistik</w:t>
      </w:r>
      <w:r w:rsidR="001248CF" w:rsidRPr="00EC1AB2">
        <w:rPr>
          <w:rFonts w:ascii="Times New Roman" w:hAnsi="Times New Roman" w:cs="Times New Roman"/>
          <w:sz w:val="24"/>
          <w:szCs w:val="24"/>
        </w:rPr>
        <w:t>a iki galo</w:t>
      </w:r>
      <w:r w:rsidR="008C39CA" w:rsidRPr="00EC1AB2">
        <w:rPr>
          <w:rFonts w:ascii="Times New Roman" w:hAnsi="Times New Roman" w:cs="Times New Roman"/>
          <w:sz w:val="24"/>
          <w:szCs w:val="24"/>
        </w:rPr>
        <w:t xml:space="preserve"> atspindi</w:t>
      </w:r>
      <w:r w:rsidR="001248CF" w:rsidRPr="00EC1AB2">
        <w:rPr>
          <w:rFonts w:ascii="Times New Roman" w:hAnsi="Times New Roman" w:cs="Times New Roman"/>
          <w:sz w:val="24"/>
          <w:szCs w:val="24"/>
        </w:rPr>
        <w:t xml:space="preserve"> išsilavinimo kokybę</w:t>
      </w:r>
      <w:r w:rsidR="00A51D84" w:rsidRPr="00EC1AB2">
        <w:rPr>
          <w:rFonts w:ascii="Times New Roman" w:hAnsi="Times New Roman" w:cs="Times New Roman"/>
          <w:sz w:val="24"/>
          <w:szCs w:val="24"/>
        </w:rPr>
        <w:t xml:space="preserve"> bei </w:t>
      </w:r>
      <w:r w:rsidR="004C4C8D" w:rsidRPr="00EC1AB2">
        <w:rPr>
          <w:rFonts w:ascii="Times New Roman" w:hAnsi="Times New Roman" w:cs="Times New Roman"/>
          <w:sz w:val="24"/>
          <w:szCs w:val="24"/>
        </w:rPr>
        <w:t>įgūdžius, juolab, kad World Competitiveness Report 2010–2011 m. Lietuva pagal švietimo sistemos kokybę</w:t>
      </w:r>
      <w:r w:rsidR="00415D10" w:rsidRPr="00EC1AB2">
        <w:rPr>
          <w:rFonts w:ascii="Times New Roman" w:hAnsi="Times New Roman" w:cs="Times New Roman"/>
          <w:sz w:val="24"/>
          <w:szCs w:val="24"/>
        </w:rPr>
        <w:t xml:space="preserve"> užėmė</w:t>
      </w:r>
      <w:r w:rsidR="004C4C8D" w:rsidRPr="00EC1AB2">
        <w:rPr>
          <w:rFonts w:ascii="Times New Roman" w:hAnsi="Times New Roman" w:cs="Times New Roman"/>
          <w:sz w:val="24"/>
          <w:szCs w:val="24"/>
        </w:rPr>
        <w:t xml:space="preserve"> 70</w:t>
      </w:r>
      <w:r w:rsidR="00FF7B87" w:rsidRPr="00EC1AB2">
        <w:rPr>
          <w:rFonts w:ascii="Times New Roman" w:hAnsi="Times New Roman" w:cs="Times New Roman"/>
          <w:sz w:val="24"/>
          <w:szCs w:val="24"/>
        </w:rPr>
        <w:t xml:space="preserve"> vie</w:t>
      </w:r>
      <w:r w:rsidR="00415D10" w:rsidRPr="00EC1AB2">
        <w:rPr>
          <w:rFonts w:ascii="Times New Roman" w:hAnsi="Times New Roman" w:cs="Times New Roman"/>
          <w:sz w:val="24"/>
          <w:szCs w:val="24"/>
        </w:rPr>
        <w:t>tą iš 139 galimų</w:t>
      </w:r>
      <w:r w:rsidR="004C4C8D" w:rsidRPr="00EC1AB2">
        <w:rPr>
          <w:rFonts w:ascii="Times New Roman" w:hAnsi="Times New Roman" w:cs="Times New Roman"/>
          <w:sz w:val="24"/>
          <w:szCs w:val="24"/>
        </w:rPr>
        <w:t>, tačiau</w:t>
      </w:r>
      <w:r w:rsidR="00C16458" w:rsidRPr="00EC1AB2">
        <w:rPr>
          <w:rFonts w:ascii="Times New Roman" w:hAnsi="Times New Roman" w:cs="Times New Roman"/>
          <w:sz w:val="24"/>
          <w:szCs w:val="24"/>
        </w:rPr>
        <w:t>, reikia paminėti, kad</w:t>
      </w:r>
      <w:r w:rsidR="004C4C8D" w:rsidRPr="00EC1AB2">
        <w:rPr>
          <w:rFonts w:ascii="Times New Roman" w:hAnsi="Times New Roman" w:cs="Times New Roman"/>
          <w:sz w:val="24"/>
          <w:szCs w:val="24"/>
        </w:rPr>
        <w:t xml:space="preserve"> </w:t>
      </w:r>
      <w:r w:rsidR="00D46FBD" w:rsidRPr="00EC1AB2">
        <w:rPr>
          <w:rFonts w:ascii="Times New Roman" w:hAnsi="Times New Roman" w:cs="Times New Roman"/>
          <w:sz w:val="24"/>
          <w:szCs w:val="24"/>
        </w:rPr>
        <w:t>specialistų paruošimo kokybė</w:t>
      </w:r>
      <w:r w:rsidR="00C16458" w:rsidRPr="00EC1AB2">
        <w:rPr>
          <w:rFonts w:ascii="Times New Roman" w:hAnsi="Times New Roman" w:cs="Times New Roman"/>
          <w:sz w:val="24"/>
          <w:szCs w:val="24"/>
        </w:rPr>
        <w:t xml:space="preserve"> tiksliųjų mokslų srityje </w:t>
      </w:r>
      <w:r w:rsidR="00D46FBD" w:rsidRPr="00EC1AB2">
        <w:rPr>
          <w:rFonts w:ascii="Times New Roman" w:hAnsi="Times New Roman" w:cs="Times New Roman"/>
          <w:sz w:val="24"/>
          <w:szCs w:val="24"/>
        </w:rPr>
        <w:t xml:space="preserve">įvertinta </w:t>
      </w:r>
      <w:r w:rsidR="003B169F" w:rsidRPr="00EC1AB2">
        <w:rPr>
          <w:rFonts w:ascii="Times New Roman" w:hAnsi="Times New Roman" w:cs="Times New Roman"/>
          <w:sz w:val="24"/>
          <w:szCs w:val="24"/>
        </w:rPr>
        <w:t xml:space="preserve">29 </w:t>
      </w:r>
      <w:r w:rsidR="00D46FBD" w:rsidRPr="00EC1AB2">
        <w:rPr>
          <w:rFonts w:ascii="Times New Roman" w:hAnsi="Times New Roman" w:cs="Times New Roman"/>
          <w:sz w:val="24"/>
          <w:szCs w:val="24"/>
        </w:rPr>
        <w:t>vieta</w:t>
      </w:r>
      <w:r w:rsidR="00C16458" w:rsidRPr="00EC1AB2">
        <w:rPr>
          <w:rFonts w:ascii="Times New Roman" w:hAnsi="Times New Roman" w:cs="Times New Roman"/>
          <w:sz w:val="24"/>
          <w:szCs w:val="24"/>
        </w:rPr>
        <w:t>.</w:t>
      </w:r>
    </w:p>
    <w:p w:rsidR="00123E83" w:rsidRPr="00EC1AB2" w:rsidRDefault="00934EC4"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Naujų daktaro laipsnį (ISCED 6) įgijusių asmenų, kurių amžius 25–34 m., 1000 gyventojų skai</w:t>
      </w:r>
      <w:r w:rsidR="00082E41" w:rsidRPr="00EC1AB2">
        <w:rPr>
          <w:rFonts w:ascii="Times New Roman" w:hAnsi="Times New Roman" w:cs="Times New Roman"/>
          <w:sz w:val="24"/>
          <w:szCs w:val="24"/>
        </w:rPr>
        <w:t xml:space="preserve">čius </w:t>
      </w:r>
      <w:r w:rsidR="005F75C8" w:rsidRPr="00EC1AB2">
        <w:rPr>
          <w:rFonts w:ascii="Times New Roman" w:hAnsi="Times New Roman" w:cs="Times New Roman"/>
          <w:sz w:val="24"/>
          <w:szCs w:val="24"/>
        </w:rPr>
        <w:t xml:space="preserve">Lietuvoje </w:t>
      </w:r>
      <w:r w:rsidR="00082E41" w:rsidRPr="00EC1AB2">
        <w:rPr>
          <w:rFonts w:ascii="Times New Roman" w:hAnsi="Times New Roman" w:cs="Times New Roman"/>
          <w:sz w:val="24"/>
          <w:szCs w:val="24"/>
        </w:rPr>
        <w:t>yra 1,5 karto mažesnis už ES vidurkį</w:t>
      </w:r>
      <w:r w:rsidR="00082E41" w:rsidRPr="00EC1AB2">
        <w:rPr>
          <w:rFonts w:ascii="Times New Roman" w:hAnsi="Times New Roman" w:cs="Times New Roman"/>
          <w:sz w:val="20"/>
          <w:szCs w:val="20"/>
        </w:rPr>
        <w:t>.</w:t>
      </w:r>
      <w:r w:rsidR="00733B7D" w:rsidRPr="00EC1AB2">
        <w:rPr>
          <w:rFonts w:ascii="Times New Roman" w:hAnsi="Times New Roman" w:cs="Times New Roman"/>
          <w:sz w:val="24"/>
          <w:szCs w:val="24"/>
        </w:rPr>
        <w:t xml:space="preserve"> </w:t>
      </w:r>
      <w:r w:rsidR="005D063F" w:rsidRPr="00EC1AB2">
        <w:rPr>
          <w:rFonts w:ascii="Times New Roman" w:hAnsi="Times New Roman" w:cs="Times New Roman"/>
          <w:sz w:val="24"/>
          <w:szCs w:val="24"/>
        </w:rPr>
        <w:t xml:space="preserve">Reikia paminėti, kad </w:t>
      </w:r>
      <w:r w:rsidR="009C4F26" w:rsidRPr="00EC1AB2">
        <w:rPr>
          <w:rFonts w:ascii="Times New Roman" w:hAnsi="Times New Roman" w:cs="Times New Roman"/>
          <w:sz w:val="24"/>
          <w:szCs w:val="24"/>
        </w:rPr>
        <w:t>Lietuvoje daktaro lai</w:t>
      </w:r>
      <w:r w:rsidR="00934FEA" w:rsidRPr="00EC1AB2">
        <w:rPr>
          <w:rFonts w:ascii="Times New Roman" w:hAnsi="Times New Roman" w:cs="Times New Roman"/>
          <w:sz w:val="24"/>
          <w:szCs w:val="24"/>
        </w:rPr>
        <w:t xml:space="preserve">psnį turinčių asmenų atlyginimai išlieka vieni mažiausių (žr. </w:t>
      </w:r>
      <w:r w:rsidR="004A6D7F" w:rsidRPr="00EC1AB2">
        <w:rPr>
          <w:rFonts w:ascii="Times New Roman" w:hAnsi="Times New Roman" w:cs="Times New Roman"/>
          <w:sz w:val="24"/>
          <w:szCs w:val="24"/>
        </w:rPr>
        <w:t>13</w:t>
      </w:r>
      <w:r w:rsidR="00934FEA" w:rsidRPr="00EC1AB2">
        <w:rPr>
          <w:rFonts w:ascii="Times New Roman" w:hAnsi="Times New Roman" w:cs="Times New Roman"/>
          <w:sz w:val="24"/>
          <w:szCs w:val="24"/>
        </w:rPr>
        <w:t xml:space="preserve"> pav.).</w:t>
      </w:r>
    </w:p>
    <w:p w:rsidR="00123E83" w:rsidRPr="00EC1AB2" w:rsidRDefault="00123E83"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noProof/>
          <w:lang w:eastAsia="lt-LT"/>
        </w:rPr>
        <w:lastRenderedPageBreak/>
        <w:drawing>
          <wp:anchor distT="0" distB="0" distL="114300" distR="114300" simplePos="0" relativeHeight="251736064" behindDoc="0" locked="0" layoutInCell="1" allowOverlap="1" wp14:anchorId="2EEEFFCF" wp14:editId="21D87ED2">
            <wp:simplePos x="0" y="0"/>
            <wp:positionH relativeFrom="column">
              <wp:posOffset>5715</wp:posOffset>
            </wp:positionH>
            <wp:positionV relativeFrom="paragraph">
              <wp:posOffset>91440</wp:posOffset>
            </wp:positionV>
            <wp:extent cx="6038850" cy="2871470"/>
            <wp:effectExtent l="0" t="0" r="0" b="5080"/>
            <wp:wrapSquare wrapText="bothSides"/>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14:sizeRelH relativeFrom="page">
              <wp14:pctWidth>0</wp14:pctWidth>
            </wp14:sizeRelH>
            <wp14:sizeRelV relativeFrom="page">
              <wp14:pctHeight>0</wp14:pctHeight>
            </wp14:sizeRelV>
          </wp:anchor>
        </w:drawing>
      </w:r>
    </w:p>
    <w:p w:rsidR="00435F48" w:rsidRPr="00EC1AB2" w:rsidRDefault="00EC3A83" w:rsidP="007A02A8">
      <w:pPr>
        <w:autoSpaceDE w:val="0"/>
        <w:autoSpaceDN w:val="0"/>
        <w:adjustRightInd w:val="0"/>
        <w:spacing w:after="0" w:line="360" w:lineRule="auto"/>
        <w:ind w:firstLine="567"/>
        <w:jc w:val="both"/>
        <w:rPr>
          <w:rFonts w:ascii="Times New Roman" w:hAnsi="Times New Roman" w:cs="Times New Roman"/>
          <w:sz w:val="20"/>
          <w:szCs w:val="20"/>
        </w:rPr>
      </w:pPr>
      <w:r w:rsidRPr="00EC1AB2">
        <w:rPr>
          <w:rFonts w:ascii="Times New Roman" w:hAnsi="Times New Roman" w:cs="Times New Roman"/>
          <w:b/>
          <w:sz w:val="20"/>
          <w:szCs w:val="20"/>
        </w:rPr>
        <w:t>Šaltinis:</w:t>
      </w:r>
      <w:r w:rsidRPr="00EC1AB2">
        <w:rPr>
          <w:rFonts w:ascii="Times New Roman" w:hAnsi="Times New Roman" w:cs="Times New Roman"/>
          <w:sz w:val="20"/>
          <w:szCs w:val="20"/>
        </w:rPr>
        <w:t xml:space="preserve"> sudaryta pagal European University Institute skelbiamą informaciją</w:t>
      </w:r>
    </w:p>
    <w:p w:rsidR="00142EDF" w:rsidRPr="00EC1AB2" w:rsidRDefault="004A6D7F" w:rsidP="007A02A8">
      <w:pPr>
        <w:pStyle w:val="Heading5"/>
        <w:spacing w:before="0" w:line="360" w:lineRule="auto"/>
        <w:jc w:val="center"/>
        <w:rPr>
          <w:rFonts w:ascii="Times New Roman" w:hAnsi="Times New Roman" w:cs="Times New Roman"/>
          <w:b/>
          <w:color w:val="auto"/>
          <w:sz w:val="24"/>
          <w:szCs w:val="24"/>
        </w:rPr>
      </w:pPr>
      <w:bookmarkStart w:id="146" w:name="_Toc320761929"/>
      <w:bookmarkStart w:id="147" w:name="_Toc320762164"/>
      <w:bookmarkStart w:id="148" w:name="_Toc320762566"/>
      <w:r w:rsidRPr="00EC1AB2">
        <w:rPr>
          <w:rFonts w:ascii="Times New Roman" w:hAnsi="Times New Roman" w:cs="Times New Roman"/>
          <w:color w:val="auto"/>
          <w:sz w:val="24"/>
          <w:szCs w:val="24"/>
        </w:rPr>
        <w:t>13</w:t>
      </w:r>
      <w:r w:rsidR="00EC3A83" w:rsidRPr="00EC1AB2">
        <w:rPr>
          <w:rFonts w:ascii="Times New Roman" w:hAnsi="Times New Roman" w:cs="Times New Roman"/>
          <w:color w:val="auto"/>
          <w:sz w:val="24"/>
          <w:szCs w:val="24"/>
        </w:rPr>
        <w:t xml:space="preserve"> pav.</w:t>
      </w:r>
      <w:r w:rsidR="00EC3A83" w:rsidRPr="00EC1AB2">
        <w:rPr>
          <w:rFonts w:ascii="Times New Roman" w:hAnsi="Times New Roman" w:cs="Times New Roman"/>
          <w:b/>
          <w:color w:val="auto"/>
          <w:sz w:val="24"/>
          <w:szCs w:val="24"/>
        </w:rPr>
        <w:t xml:space="preserve"> </w:t>
      </w:r>
      <w:r w:rsidR="00142EDF" w:rsidRPr="00EC1AB2">
        <w:rPr>
          <w:rFonts w:ascii="Times New Roman" w:hAnsi="Times New Roman" w:cs="Times New Roman"/>
          <w:b/>
          <w:color w:val="auto"/>
          <w:sz w:val="24"/>
          <w:szCs w:val="24"/>
        </w:rPr>
        <w:t>Vidutinis metinis mokslininko atlyginimas</w:t>
      </w:r>
      <w:r w:rsidR="00B34AA6" w:rsidRPr="00EC1AB2">
        <w:rPr>
          <w:rFonts w:ascii="Times New Roman" w:hAnsi="Times New Roman" w:cs="Times New Roman"/>
          <w:b/>
          <w:color w:val="auto"/>
          <w:sz w:val="24"/>
          <w:szCs w:val="24"/>
        </w:rPr>
        <w:t xml:space="preserve"> išreikštas</w:t>
      </w:r>
      <w:r w:rsidR="00935B77" w:rsidRPr="00EC1AB2">
        <w:rPr>
          <w:rFonts w:ascii="Times New Roman" w:hAnsi="Times New Roman" w:cs="Times New Roman"/>
          <w:b/>
          <w:color w:val="auto"/>
          <w:sz w:val="24"/>
          <w:szCs w:val="24"/>
        </w:rPr>
        <w:t xml:space="preserve"> PGS,</w:t>
      </w:r>
      <w:r w:rsidR="00646935" w:rsidRPr="00EC1AB2">
        <w:rPr>
          <w:rFonts w:ascii="Times New Roman" w:hAnsi="Times New Roman" w:cs="Times New Roman"/>
          <w:b/>
          <w:color w:val="auto"/>
          <w:sz w:val="24"/>
          <w:szCs w:val="24"/>
        </w:rPr>
        <w:t xml:space="preserve"> 2006 m.</w:t>
      </w:r>
      <w:bookmarkEnd w:id="146"/>
      <w:bookmarkEnd w:id="147"/>
      <w:bookmarkEnd w:id="148"/>
    </w:p>
    <w:p w:rsidR="007D6F73" w:rsidRPr="00EC1AB2" w:rsidRDefault="007D6F73" w:rsidP="007A02A8">
      <w:pPr>
        <w:pStyle w:val="Heading5"/>
        <w:spacing w:before="0" w:line="360" w:lineRule="auto"/>
        <w:jc w:val="center"/>
        <w:rPr>
          <w:rFonts w:ascii="Times New Roman" w:hAnsi="Times New Roman" w:cs="Times New Roman"/>
          <w:b/>
          <w:color w:val="auto"/>
          <w:sz w:val="24"/>
          <w:szCs w:val="24"/>
        </w:rPr>
      </w:pPr>
    </w:p>
    <w:p w:rsidR="00435F48" w:rsidRPr="00EC1AB2" w:rsidRDefault="001074E1"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Lyginant Lietuvos m</w:t>
      </w:r>
      <w:r w:rsidR="00FC43BC" w:rsidRPr="00EC1AB2">
        <w:rPr>
          <w:rFonts w:ascii="Times New Roman" w:hAnsi="Times New Roman" w:cs="Times New Roman"/>
          <w:sz w:val="24"/>
          <w:szCs w:val="24"/>
        </w:rPr>
        <w:t xml:space="preserve">okslininkų </w:t>
      </w:r>
      <w:r w:rsidRPr="00EC1AB2">
        <w:rPr>
          <w:rFonts w:ascii="Times New Roman" w:hAnsi="Times New Roman" w:cs="Times New Roman"/>
          <w:sz w:val="24"/>
          <w:szCs w:val="24"/>
        </w:rPr>
        <w:t xml:space="preserve">atlyginimus su kitų šalių nuosaikių inovatorių </w:t>
      </w:r>
      <w:r w:rsidR="00FC43BC" w:rsidRPr="00EC1AB2">
        <w:rPr>
          <w:rFonts w:ascii="Times New Roman" w:hAnsi="Times New Roman" w:cs="Times New Roman"/>
          <w:sz w:val="24"/>
          <w:szCs w:val="24"/>
        </w:rPr>
        <w:t>(Bulgarija, Rumunija ir Latvija)</w:t>
      </w:r>
      <w:r w:rsidRPr="00EC1AB2">
        <w:rPr>
          <w:rFonts w:ascii="Times New Roman" w:hAnsi="Times New Roman" w:cs="Times New Roman"/>
          <w:sz w:val="24"/>
          <w:szCs w:val="24"/>
        </w:rPr>
        <w:t xml:space="preserve"> </w:t>
      </w:r>
      <w:r w:rsidR="00F60A0A" w:rsidRPr="00EC1AB2">
        <w:rPr>
          <w:rFonts w:ascii="Times New Roman" w:hAnsi="Times New Roman" w:cs="Times New Roman"/>
          <w:sz w:val="24"/>
          <w:szCs w:val="24"/>
        </w:rPr>
        <w:t>didesni skirt</w:t>
      </w:r>
      <w:r w:rsidR="009C4F26" w:rsidRPr="00EC1AB2">
        <w:rPr>
          <w:rFonts w:ascii="Times New Roman" w:hAnsi="Times New Roman" w:cs="Times New Roman"/>
          <w:sz w:val="24"/>
          <w:szCs w:val="24"/>
        </w:rPr>
        <w:t>u</w:t>
      </w:r>
      <w:r w:rsidR="00F60A0A" w:rsidRPr="00EC1AB2">
        <w:rPr>
          <w:rFonts w:ascii="Times New Roman" w:hAnsi="Times New Roman" w:cs="Times New Roman"/>
          <w:sz w:val="24"/>
          <w:szCs w:val="24"/>
        </w:rPr>
        <w:t xml:space="preserve">mai pastebimi tik Latvijos </w:t>
      </w:r>
      <w:r w:rsidR="009D512D" w:rsidRPr="00EC1AB2">
        <w:rPr>
          <w:rFonts w:ascii="Times New Roman" w:hAnsi="Times New Roman" w:cs="Times New Roman"/>
          <w:sz w:val="24"/>
          <w:szCs w:val="24"/>
        </w:rPr>
        <w:t>atžvilgiu. V</w:t>
      </w:r>
      <w:r w:rsidRPr="00EC1AB2">
        <w:rPr>
          <w:rFonts w:ascii="Times New Roman" w:hAnsi="Times New Roman" w:cs="Times New Roman"/>
          <w:sz w:val="24"/>
          <w:szCs w:val="24"/>
        </w:rPr>
        <w:t>isos šios</w:t>
      </w:r>
      <w:r w:rsidR="009D512D" w:rsidRPr="00EC1AB2">
        <w:rPr>
          <w:rFonts w:ascii="Times New Roman" w:hAnsi="Times New Roman" w:cs="Times New Roman"/>
          <w:sz w:val="24"/>
          <w:szCs w:val="24"/>
        </w:rPr>
        <w:t xml:space="preserve"> grupės</w:t>
      </w:r>
      <w:r w:rsidRPr="00EC1AB2">
        <w:rPr>
          <w:rFonts w:ascii="Times New Roman" w:hAnsi="Times New Roman" w:cs="Times New Roman"/>
          <w:sz w:val="24"/>
          <w:szCs w:val="24"/>
        </w:rPr>
        <w:t xml:space="preserve"> šalys </w:t>
      </w:r>
      <w:r w:rsidR="00C579FA" w:rsidRPr="00EC1AB2">
        <w:rPr>
          <w:rFonts w:ascii="Times New Roman" w:hAnsi="Times New Roman" w:cs="Times New Roman"/>
          <w:sz w:val="24"/>
          <w:szCs w:val="24"/>
        </w:rPr>
        <w:t>stipriai atsilieka nuo ES vidurkio, jau nekalbant apie šalis inovacijų lyderes</w:t>
      </w:r>
      <w:r w:rsidR="009D512D" w:rsidRPr="00EC1AB2">
        <w:rPr>
          <w:rFonts w:ascii="Times New Roman" w:hAnsi="Times New Roman" w:cs="Times New Roman"/>
          <w:sz w:val="24"/>
          <w:szCs w:val="24"/>
        </w:rPr>
        <w:t xml:space="preserve"> (Suomija, Danija, Vokietija, Švedija)</w:t>
      </w:r>
      <w:r w:rsidR="00C579FA" w:rsidRPr="00EC1AB2">
        <w:rPr>
          <w:rFonts w:ascii="Times New Roman" w:hAnsi="Times New Roman" w:cs="Times New Roman"/>
          <w:sz w:val="24"/>
          <w:szCs w:val="24"/>
        </w:rPr>
        <w:t xml:space="preserve">. </w:t>
      </w:r>
      <w:r w:rsidR="00F60A0A" w:rsidRPr="00EC1AB2">
        <w:rPr>
          <w:rFonts w:ascii="Times New Roman" w:hAnsi="Times New Roman" w:cs="Times New Roman"/>
          <w:sz w:val="24"/>
          <w:szCs w:val="24"/>
        </w:rPr>
        <w:t xml:space="preserve">Taip pat galima pastebėti, kad šalyse inovacijų lyderėse </w:t>
      </w:r>
      <w:r w:rsidR="001310BF" w:rsidRPr="00EC1AB2">
        <w:rPr>
          <w:rFonts w:ascii="Times New Roman" w:hAnsi="Times New Roman" w:cs="Times New Roman"/>
          <w:sz w:val="24"/>
          <w:szCs w:val="24"/>
        </w:rPr>
        <w:t>atlyginimo dydis</w:t>
      </w:r>
      <w:r w:rsidR="007229F0" w:rsidRPr="00EC1AB2">
        <w:rPr>
          <w:rFonts w:ascii="Times New Roman" w:hAnsi="Times New Roman" w:cs="Times New Roman"/>
          <w:sz w:val="24"/>
          <w:szCs w:val="24"/>
        </w:rPr>
        <w:t xml:space="preserve"> sparčiai</w:t>
      </w:r>
      <w:r w:rsidR="001310BF" w:rsidRPr="00EC1AB2">
        <w:rPr>
          <w:rFonts w:ascii="Times New Roman" w:hAnsi="Times New Roman" w:cs="Times New Roman"/>
          <w:sz w:val="24"/>
          <w:szCs w:val="24"/>
        </w:rPr>
        <w:t xml:space="preserve"> didėja augant patirčiai, kas nebūdinga Lietuvai</w:t>
      </w:r>
      <w:r w:rsidR="000C4C8C" w:rsidRPr="00EC1AB2">
        <w:rPr>
          <w:rFonts w:ascii="Times New Roman" w:hAnsi="Times New Roman" w:cs="Times New Roman"/>
          <w:sz w:val="24"/>
          <w:szCs w:val="24"/>
        </w:rPr>
        <w:t xml:space="preserve">. </w:t>
      </w:r>
      <w:r w:rsidR="005E073A" w:rsidRPr="00EC1AB2">
        <w:rPr>
          <w:rFonts w:ascii="Times New Roman" w:hAnsi="Times New Roman" w:cs="Times New Roman"/>
          <w:sz w:val="24"/>
          <w:szCs w:val="24"/>
        </w:rPr>
        <w:t>Verta paminėti</w:t>
      </w:r>
      <w:r w:rsidR="00934FEA" w:rsidRPr="00EC1AB2">
        <w:rPr>
          <w:rFonts w:ascii="Times New Roman" w:hAnsi="Times New Roman" w:cs="Times New Roman"/>
          <w:sz w:val="24"/>
          <w:szCs w:val="24"/>
        </w:rPr>
        <w:t xml:space="preserve">,  jog tik 7,5 </w:t>
      </w:r>
      <w:r w:rsidR="00B36950" w:rsidRPr="00EC1AB2">
        <w:rPr>
          <w:rFonts w:ascii="Times New Roman" w:hAnsi="Times New Roman" w:cs="Times New Roman"/>
          <w:sz w:val="24"/>
          <w:szCs w:val="24"/>
        </w:rPr>
        <w:t xml:space="preserve">proc. </w:t>
      </w:r>
      <w:r w:rsidR="00934FEA" w:rsidRPr="00EC1AB2">
        <w:rPr>
          <w:rFonts w:ascii="Times New Roman" w:hAnsi="Times New Roman" w:cs="Times New Roman"/>
          <w:sz w:val="24"/>
          <w:szCs w:val="24"/>
        </w:rPr>
        <w:t>daktaro laipsnį turinčių asmenų dirba verslo įmonių sektoriuje. Didžioji dalis šį išsilavinimą t</w:t>
      </w:r>
      <w:r w:rsidR="00B36950" w:rsidRPr="00EC1AB2">
        <w:rPr>
          <w:rFonts w:ascii="Times New Roman" w:hAnsi="Times New Roman" w:cs="Times New Roman"/>
          <w:sz w:val="24"/>
          <w:szCs w:val="24"/>
        </w:rPr>
        <w:t>u</w:t>
      </w:r>
      <w:r w:rsidR="00934FEA" w:rsidRPr="00EC1AB2">
        <w:rPr>
          <w:rFonts w:ascii="Times New Roman" w:hAnsi="Times New Roman" w:cs="Times New Roman"/>
          <w:sz w:val="24"/>
          <w:szCs w:val="24"/>
        </w:rPr>
        <w:t>rinčių žmonių dirba a</w:t>
      </w:r>
      <w:r w:rsidR="009C4F26" w:rsidRPr="00EC1AB2">
        <w:rPr>
          <w:rFonts w:ascii="Times New Roman" w:hAnsi="Times New Roman" w:cs="Times New Roman"/>
          <w:sz w:val="24"/>
          <w:szCs w:val="24"/>
        </w:rPr>
        <w:t>u</w:t>
      </w:r>
      <w:r w:rsidR="00934FEA" w:rsidRPr="00EC1AB2">
        <w:rPr>
          <w:rFonts w:ascii="Times New Roman" w:hAnsi="Times New Roman" w:cs="Times New Roman"/>
          <w:sz w:val="24"/>
          <w:szCs w:val="24"/>
        </w:rPr>
        <w:t xml:space="preserve">kštojo mokslo sektoriuje. </w:t>
      </w:r>
      <w:r w:rsidR="00B36950" w:rsidRPr="00EC1AB2">
        <w:rPr>
          <w:rFonts w:ascii="Times New Roman" w:hAnsi="Times New Roman" w:cs="Times New Roman"/>
          <w:sz w:val="24"/>
          <w:szCs w:val="24"/>
        </w:rPr>
        <w:t>Dėl minėtų priežasčių ja</w:t>
      </w:r>
      <w:r w:rsidR="009C4F26" w:rsidRPr="00EC1AB2">
        <w:rPr>
          <w:rFonts w:ascii="Times New Roman" w:hAnsi="Times New Roman" w:cs="Times New Roman"/>
          <w:sz w:val="24"/>
          <w:szCs w:val="24"/>
        </w:rPr>
        <w:t>u</w:t>
      </w:r>
      <w:r w:rsidR="00B36950" w:rsidRPr="00EC1AB2">
        <w:rPr>
          <w:rFonts w:ascii="Times New Roman" w:hAnsi="Times New Roman" w:cs="Times New Roman"/>
          <w:sz w:val="24"/>
          <w:szCs w:val="24"/>
        </w:rPr>
        <w:t xml:space="preserve">nimui nėra patraukli </w:t>
      </w:r>
      <w:r w:rsidR="00B65696" w:rsidRPr="00EC1AB2">
        <w:rPr>
          <w:rFonts w:ascii="Times New Roman" w:hAnsi="Times New Roman" w:cs="Times New Roman"/>
          <w:sz w:val="24"/>
          <w:szCs w:val="24"/>
        </w:rPr>
        <w:t>moks</w:t>
      </w:r>
      <w:r w:rsidR="009C4F26" w:rsidRPr="00EC1AB2">
        <w:rPr>
          <w:rFonts w:ascii="Times New Roman" w:hAnsi="Times New Roman" w:cs="Times New Roman"/>
          <w:sz w:val="24"/>
          <w:szCs w:val="24"/>
        </w:rPr>
        <w:t>l</w:t>
      </w:r>
      <w:r w:rsidR="00B65696" w:rsidRPr="00EC1AB2">
        <w:rPr>
          <w:rFonts w:ascii="Times New Roman" w:hAnsi="Times New Roman" w:cs="Times New Roman"/>
          <w:sz w:val="24"/>
          <w:szCs w:val="24"/>
        </w:rPr>
        <w:t>inė karjera.</w:t>
      </w:r>
    </w:p>
    <w:p w:rsidR="00DB2337" w:rsidRPr="00EC1AB2" w:rsidRDefault="00DB2337"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Rodiklių grupėje </w:t>
      </w:r>
      <w:r w:rsidRPr="00EC1AB2">
        <w:rPr>
          <w:rFonts w:ascii="Times New Roman" w:hAnsi="Times New Roman" w:cs="Times New Roman"/>
          <w:b/>
          <w:sz w:val="24"/>
          <w:szCs w:val="24"/>
        </w:rPr>
        <w:t xml:space="preserve">atviros, itin geros ir patrauklios mokslinių tyrimų sistemos </w:t>
      </w:r>
      <w:r w:rsidR="00537EA7" w:rsidRPr="00EC1AB2">
        <w:rPr>
          <w:rFonts w:ascii="Times New Roman" w:hAnsi="Times New Roman" w:cs="Times New Roman"/>
          <w:sz w:val="24"/>
          <w:szCs w:val="24"/>
        </w:rPr>
        <w:t>Lietuva lenkia ti</w:t>
      </w:r>
      <w:r w:rsidR="00DA471D" w:rsidRPr="00EC1AB2">
        <w:rPr>
          <w:rFonts w:ascii="Times New Roman" w:hAnsi="Times New Roman" w:cs="Times New Roman"/>
          <w:sz w:val="24"/>
          <w:szCs w:val="24"/>
        </w:rPr>
        <w:t>k Latviją, Lenkiją ir Rumuniją, tačiau lyginant su praėjusiais metais, šioje rodiklių grupėje pastebimas augimas.</w:t>
      </w:r>
    </w:p>
    <w:p w:rsidR="00777460" w:rsidRPr="00EC1AB2" w:rsidRDefault="004627EB"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Paskutinė</w:t>
      </w:r>
      <w:r w:rsidR="00F8492A" w:rsidRPr="00EC1AB2">
        <w:rPr>
          <w:rFonts w:ascii="Times New Roman" w:hAnsi="Times New Roman" w:cs="Times New Roman"/>
          <w:sz w:val="24"/>
          <w:szCs w:val="24"/>
        </w:rPr>
        <w:t xml:space="preserve">je priemonių kategorijoje esančioje rodiklių grupėje, t.y. </w:t>
      </w:r>
      <w:r w:rsidR="00F8492A" w:rsidRPr="00EC1AB2">
        <w:rPr>
          <w:rFonts w:ascii="Times New Roman" w:hAnsi="Times New Roman" w:cs="Times New Roman"/>
          <w:b/>
          <w:sz w:val="24"/>
          <w:szCs w:val="24"/>
        </w:rPr>
        <w:t>finansavime ir rėmime</w:t>
      </w:r>
      <w:r w:rsidR="00E93384" w:rsidRPr="00EC1AB2">
        <w:rPr>
          <w:rFonts w:ascii="Times New Roman" w:hAnsi="Times New Roman" w:cs="Times New Roman"/>
          <w:sz w:val="24"/>
          <w:szCs w:val="24"/>
        </w:rPr>
        <w:t xml:space="preserve"> Lietuva </w:t>
      </w:r>
      <w:r w:rsidR="00F8492A" w:rsidRPr="00EC1AB2">
        <w:rPr>
          <w:rFonts w:ascii="Times New Roman" w:hAnsi="Times New Roman" w:cs="Times New Roman"/>
          <w:sz w:val="24"/>
          <w:szCs w:val="24"/>
        </w:rPr>
        <w:t>atsilieka nuo ES vidurkio, tačiau</w:t>
      </w:r>
      <w:r w:rsidR="005B2EC4" w:rsidRPr="00EC1AB2">
        <w:rPr>
          <w:rFonts w:ascii="Times New Roman" w:hAnsi="Times New Roman" w:cs="Times New Roman"/>
          <w:sz w:val="24"/>
          <w:szCs w:val="24"/>
        </w:rPr>
        <w:t xml:space="preserve"> yra 15-oje vietoje iš 27 valstybių narių.</w:t>
      </w:r>
      <w:r w:rsidR="00A6487A" w:rsidRPr="00EC1AB2">
        <w:rPr>
          <w:rFonts w:ascii="Times New Roman" w:hAnsi="Times New Roman" w:cs="Times New Roman"/>
          <w:sz w:val="24"/>
          <w:szCs w:val="24"/>
        </w:rPr>
        <w:t xml:space="preserve"> Šią rodiklių grupę sudaro du rodikliai, t.y. v</w:t>
      </w:r>
      <w:r w:rsidR="00096D67" w:rsidRPr="00EC1AB2">
        <w:rPr>
          <w:rFonts w:ascii="Times New Roman" w:hAnsi="Times New Roman" w:cs="Times New Roman"/>
          <w:sz w:val="24"/>
          <w:szCs w:val="24"/>
        </w:rPr>
        <w:t>alstybės išlaidos MTE</w:t>
      </w:r>
      <w:r w:rsidR="00A6487A" w:rsidRPr="00EC1AB2">
        <w:rPr>
          <w:rFonts w:ascii="Times New Roman" w:hAnsi="Times New Roman" w:cs="Times New Roman"/>
          <w:sz w:val="24"/>
          <w:szCs w:val="24"/>
        </w:rPr>
        <w:t xml:space="preserve">P procentais nuo BVP ir </w:t>
      </w:r>
      <w:r w:rsidR="00FF66F8" w:rsidRPr="00EC1AB2">
        <w:rPr>
          <w:rFonts w:ascii="Times New Roman" w:hAnsi="Times New Roman" w:cs="Times New Roman"/>
          <w:sz w:val="24"/>
          <w:szCs w:val="24"/>
        </w:rPr>
        <w:t>r</w:t>
      </w:r>
      <w:r w:rsidR="00A6487A" w:rsidRPr="00EC1AB2">
        <w:rPr>
          <w:rFonts w:ascii="Times New Roman" w:hAnsi="Times New Roman" w:cs="Times New Roman"/>
          <w:sz w:val="24"/>
          <w:szCs w:val="24"/>
        </w:rPr>
        <w:t>izikos kapitalas</w:t>
      </w:r>
      <w:r w:rsidR="007D6F73" w:rsidRPr="00EC1AB2">
        <w:rPr>
          <w:rFonts w:ascii="Times New Roman" w:hAnsi="Times New Roman" w:cs="Times New Roman"/>
          <w:sz w:val="24"/>
          <w:szCs w:val="24"/>
        </w:rPr>
        <w:t xml:space="preserve"> </w:t>
      </w:r>
      <w:r w:rsidR="00A6487A" w:rsidRPr="00EC1AB2">
        <w:rPr>
          <w:rFonts w:ascii="Times New Roman" w:hAnsi="Times New Roman" w:cs="Times New Roman"/>
          <w:sz w:val="24"/>
          <w:szCs w:val="24"/>
        </w:rPr>
        <w:t>(ankstyvasis etapas, plėtra ir pakeitimas) procentais nuo BVP</w:t>
      </w:r>
      <w:r w:rsidR="001743EA" w:rsidRPr="00EC1AB2">
        <w:rPr>
          <w:rFonts w:ascii="Times New Roman" w:hAnsi="Times New Roman" w:cs="Times New Roman"/>
          <w:sz w:val="24"/>
          <w:szCs w:val="24"/>
        </w:rPr>
        <w:t xml:space="preserve">. </w:t>
      </w:r>
      <w:r w:rsidR="00484913" w:rsidRPr="00EC1AB2">
        <w:rPr>
          <w:rFonts w:ascii="Times New Roman" w:hAnsi="Times New Roman" w:cs="Times New Roman"/>
          <w:sz w:val="24"/>
          <w:szCs w:val="24"/>
        </w:rPr>
        <w:t>Taigi, finansavimo ir rėmimo rodiklių grupės rezultatus didž</w:t>
      </w:r>
      <w:r w:rsidR="002A1CD2" w:rsidRPr="00EC1AB2">
        <w:rPr>
          <w:rFonts w:ascii="Times New Roman" w:hAnsi="Times New Roman" w:cs="Times New Roman"/>
          <w:sz w:val="24"/>
          <w:szCs w:val="24"/>
        </w:rPr>
        <w:t>ia da</w:t>
      </w:r>
      <w:r w:rsidR="0046428A" w:rsidRPr="00EC1AB2">
        <w:rPr>
          <w:rFonts w:ascii="Times New Roman" w:hAnsi="Times New Roman" w:cs="Times New Roman"/>
          <w:sz w:val="24"/>
          <w:szCs w:val="24"/>
        </w:rPr>
        <w:t>lim įtakojo pirmasis i</w:t>
      </w:r>
      <w:r w:rsidR="00CB645A" w:rsidRPr="00EC1AB2">
        <w:rPr>
          <w:rFonts w:ascii="Times New Roman" w:hAnsi="Times New Roman" w:cs="Times New Roman"/>
          <w:sz w:val="24"/>
          <w:szCs w:val="24"/>
        </w:rPr>
        <w:t>š jų</w:t>
      </w:r>
      <w:r w:rsidR="005D063F" w:rsidRPr="00EC1AB2">
        <w:rPr>
          <w:rFonts w:ascii="Times New Roman" w:hAnsi="Times New Roman" w:cs="Times New Roman"/>
          <w:sz w:val="24"/>
          <w:szCs w:val="24"/>
        </w:rPr>
        <w:t>, nes kaip minėta ankstesniame skyriuje RKF investicijos Lietuvoje yra labai mažos.</w:t>
      </w:r>
      <w:r w:rsidR="004105F7" w:rsidRPr="00EC1AB2">
        <w:rPr>
          <w:rFonts w:ascii="Times New Roman" w:hAnsi="Times New Roman" w:cs="Times New Roman"/>
          <w:sz w:val="24"/>
          <w:szCs w:val="24"/>
        </w:rPr>
        <w:t xml:space="preserve"> </w:t>
      </w:r>
    </w:p>
    <w:p w:rsidR="007D6F73" w:rsidRPr="00EC1AB2" w:rsidRDefault="00096D67"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2002 m. papildžius </w:t>
      </w:r>
      <w:r w:rsidR="00C743F9" w:rsidRPr="00EC1AB2">
        <w:rPr>
          <w:rFonts w:ascii="Times New Roman" w:hAnsi="Times New Roman" w:cs="Times New Roman"/>
          <w:sz w:val="24"/>
          <w:szCs w:val="24"/>
        </w:rPr>
        <w:t>Lisabonos</w:t>
      </w:r>
      <w:r w:rsidRPr="00EC1AB2">
        <w:rPr>
          <w:rFonts w:ascii="Times New Roman" w:hAnsi="Times New Roman" w:cs="Times New Roman"/>
          <w:sz w:val="24"/>
          <w:szCs w:val="24"/>
        </w:rPr>
        <w:t xml:space="preserve"> strategiją buvo</w:t>
      </w:r>
      <w:r w:rsidR="00C743F9" w:rsidRPr="00EC1AB2">
        <w:rPr>
          <w:rFonts w:ascii="Times New Roman" w:hAnsi="Times New Roman" w:cs="Times New Roman"/>
          <w:sz w:val="24"/>
          <w:szCs w:val="24"/>
        </w:rPr>
        <w:t xml:space="preserve"> įtvirtintas tikslas</w:t>
      </w:r>
      <w:r w:rsidR="003B52DA" w:rsidRPr="00EC1AB2">
        <w:rPr>
          <w:rFonts w:ascii="Times New Roman" w:hAnsi="Times New Roman" w:cs="Times New Roman"/>
          <w:sz w:val="24"/>
          <w:szCs w:val="24"/>
        </w:rPr>
        <w:t xml:space="preserve"> </w:t>
      </w:r>
      <w:r w:rsidRPr="00EC1AB2">
        <w:rPr>
          <w:rFonts w:ascii="Times New Roman" w:hAnsi="Times New Roman" w:cs="Times New Roman"/>
          <w:sz w:val="24"/>
          <w:szCs w:val="24"/>
        </w:rPr>
        <w:t>iki 2010 m. į MTE</w:t>
      </w:r>
      <w:r w:rsidR="003B52DA" w:rsidRPr="00EC1AB2">
        <w:rPr>
          <w:rFonts w:ascii="Times New Roman" w:hAnsi="Times New Roman" w:cs="Times New Roman"/>
          <w:sz w:val="24"/>
          <w:szCs w:val="24"/>
        </w:rPr>
        <w:t>P investuoti</w:t>
      </w:r>
      <w:r w:rsidR="0095098F" w:rsidRPr="00EC1AB2">
        <w:rPr>
          <w:rFonts w:ascii="Times New Roman" w:hAnsi="Times New Roman" w:cs="Times New Roman"/>
          <w:sz w:val="24"/>
          <w:szCs w:val="24"/>
        </w:rPr>
        <w:t xml:space="preserve"> 3 proc.</w:t>
      </w:r>
      <w:r w:rsidR="00E91147" w:rsidRPr="00EC1AB2">
        <w:rPr>
          <w:rFonts w:ascii="Times New Roman" w:hAnsi="Times New Roman" w:cs="Times New Roman"/>
          <w:sz w:val="24"/>
          <w:szCs w:val="24"/>
        </w:rPr>
        <w:t xml:space="preserve"> BVP. Daugeliui šalių </w:t>
      </w:r>
      <w:r w:rsidR="00FB0CA0" w:rsidRPr="00EC1AB2">
        <w:rPr>
          <w:rFonts w:ascii="Times New Roman" w:hAnsi="Times New Roman" w:cs="Times New Roman"/>
          <w:sz w:val="24"/>
          <w:szCs w:val="24"/>
        </w:rPr>
        <w:t>ne</w:t>
      </w:r>
      <w:r w:rsidR="00E91147" w:rsidRPr="00EC1AB2">
        <w:rPr>
          <w:rFonts w:ascii="Times New Roman" w:hAnsi="Times New Roman" w:cs="Times New Roman"/>
          <w:sz w:val="24"/>
          <w:szCs w:val="24"/>
        </w:rPr>
        <w:t>pavyko pasiekti šio tikslo</w:t>
      </w:r>
      <w:r w:rsidR="00235845" w:rsidRPr="00EC1AB2">
        <w:rPr>
          <w:rFonts w:ascii="Times New Roman" w:hAnsi="Times New Roman" w:cs="Times New Roman"/>
          <w:sz w:val="24"/>
          <w:szCs w:val="24"/>
        </w:rPr>
        <w:t xml:space="preserve">. </w:t>
      </w:r>
      <w:r w:rsidR="00011C18" w:rsidRPr="00EC1AB2">
        <w:rPr>
          <w:rFonts w:ascii="Times New Roman" w:hAnsi="Times New Roman" w:cs="Times New Roman"/>
          <w:sz w:val="24"/>
          <w:szCs w:val="24"/>
        </w:rPr>
        <w:t>S</w:t>
      </w:r>
      <w:r w:rsidR="00235845" w:rsidRPr="00EC1AB2">
        <w:rPr>
          <w:rFonts w:ascii="Times New Roman" w:hAnsi="Times New Roman" w:cs="Times New Roman"/>
          <w:sz w:val="24"/>
          <w:szCs w:val="24"/>
        </w:rPr>
        <w:t>trategijoje „Europa 2020“ v</w:t>
      </w:r>
      <w:r w:rsidR="00CA64D0" w:rsidRPr="00EC1AB2">
        <w:rPr>
          <w:rFonts w:ascii="Times New Roman" w:hAnsi="Times New Roman" w:cs="Times New Roman"/>
          <w:sz w:val="24"/>
          <w:szCs w:val="24"/>
        </w:rPr>
        <w:t xml:space="preserve">alstybės narės </w:t>
      </w:r>
      <w:r w:rsidR="00011C18" w:rsidRPr="00EC1AB2">
        <w:rPr>
          <w:rFonts w:ascii="Times New Roman" w:hAnsi="Times New Roman" w:cs="Times New Roman"/>
          <w:sz w:val="24"/>
          <w:szCs w:val="24"/>
        </w:rPr>
        <w:t xml:space="preserve">taip pat </w:t>
      </w:r>
      <w:r w:rsidR="00CA64D0" w:rsidRPr="00EC1AB2">
        <w:rPr>
          <w:rFonts w:ascii="Times New Roman" w:hAnsi="Times New Roman" w:cs="Times New Roman"/>
          <w:sz w:val="24"/>
          <w:szCs w:val="24"/>
        </w:rPr>
        <w:t>skatinamo</w:t>
      </w:r>
      <w:r w:rsidR="00011C18" w:rsidRPr="00EC1AB2">
        <w:rPr>
          <w:rFonts w:ascii="Times New Roman" w:hAnsi="Times New Roman" w:cs="Times New Roman"/>
          <w:sz w:val="24"/>
          <w:szCs w:val="24"/>
        </w:rPr>
        <w:t>s iki 2020 m. į MTEP</w:t>
      </w:r>
      <w:r w:rsidR="0095098F" w:rsidRPr="00EC1AB2">
        <w:rPr>
          <w:rFonts w:ascii="Times New Roman" w:hAnsi="Times New Roman" w:cs="Times New Roman"/>
          <w:sz w:val="24"/>
          <w:szCs w:val="24"/>
        </w:rPr>
        <w:t xml:space="preserve"> investuoti 3 proc.</w:t>
      </w:r>
      <w:r w:rsidR="00235845" w:rsidRPr="00EC1AB2">
        <w:rPr>
          <w:rFonts w:ascii="Times New Roman" w:hAnsi="Times New Roman" w:cs="Times New Roman"/>
          <w:sz w:val="24"/>
          <w:szCs w:val="24"/>
        </w:rPr>
        <w:t xml:space="preserve"> BVP.</w:t>
      </w:r>
      <w:r w:rsidR="002E09B1" w:rsidRPr="00EC1AB2">
        <w:rPr>
          <w:rFonts w:ascii="Times New Roman" w:hAnsi="Times New Roman" w:cs="Times New Roman"/>
          <w:sz w:val="24"/>
          <w:szCs w:val="24"/>
        </w:rPr>
        <w:t xml:space="preserve"> </w:t>
      </w:r>
      <w:r w:rsidR="003B52DA" w:rsidRPr="00EC1AB2">
        <w:rPr>
          <w:rFonts w:ascii="Times New Roman" w:hAnsi="Times New Roman" w:cs="Times New Roman"/>
          <w:sz w:val="24"/>
          <w:szCs w:val="24"/>
        </w:rPr>
        <w:t xml:space="preserve">Kai kurios valstybės </w:t>
      </w:r>
      <w:r w:rsidR="00C0151D" w:rsidRPr="00EC1AB2">
        <w:rPr>
          <w:rFonts w:ascii="Times New Roman" w:hAnsi="Times New Roman" w:cs="Times New Roman"/>
          <w:sz w:val="24"/>
          <w:szCs w:val="24"/>
        </w:rPr>
        <w:t xml:space="preserve">jau 2010 m. </w:t>
      </w:r>
      <w:r w:rsidR="003B52DA" w:rsidRPr="00EC1AB2">
        <w:rPr>
          <w:rFonts w:ascii="Times New Roman" w:hAnsi="Times New Roman" w:cs="Times New Roman"/>
          <w:sz w:val="24"/>
          <w:szCs w:val="24"/>
        </w:rPr>
        <w:t>įgyvendino šį tikslą</w:t>
      </w:r>
      <w:r w:rsidR="004A6D7F" w:rsidRPr="00EC1AB2">
        <w:rPr>
          <w:rFonts w:ascii="Times New Roman" w:hAnsi="Times New Roman" w:cs="Times New Roman"/>
          <w:sz w:val="24"/>
          <w:szCs w:val="24"/>
        </w:rPr>
        <w:t xml:space="preserve"> (žr. 14</w:t>
      </w:r>
      <w:r w:rsidR="00E93384" w:rsidRPr="00EC1AB2">
        <w:rPr>
          <w:rFonts w:ascii="Times New Roman" w:hAnsi="Times New Roman" w:cs="Times New Roman"/>
          <w:sz w:val="24"/>
          <w:szCs w:val="24"/>
        </w:rPr>
        <w:t xml:space="preserve"> pav.).</w:t>
      </w:r>
    </w:p>
    <w:p w:rsidR="007D6F73" w:rsidRPr="00EC1AB2" w:rsidRDefault="007D6F73" w:rsidP="007A02A8">
      <w:pPr>
        <w:autoSpaceDE w:val="0"/>
        <w:autoSpaceDN w:val="0"/>
        <w:adjustRightInd w:val="0"/>
        <w:spacing w:after="0" w:line="360" w:lineRule="auto"/>
        <w:ind w:firstLine="360"/>
        <w:jc w:val="both"/>
        <w:rPr>
          <w:rFonts w:ascii="Times New Roman" w:hAnsi="Times New Roman" w:cs="Times New Roman"/>
          <w:sz w:val="24"/>
          <w:szCs w:val="24"/>
        </w:rPr>
      </w:pPr>
      <w:r w:rsidRPr="00EC1AB2">
        <w:rPr>
          <w:rFonts w:ascii="Times New Roman" w:hAnsi="Times New Roman" w:cs="Times New Roman"/>
          <w:noProof/>
          <w:lang w:eastAsia="lt-LT"/>
        </w:rPr>
        <w:lastRenderedPageBreak/>
        <w:drawing>
          <wp:anchor distT="0" distB="0" distL="114300" distR="114300" simplePos="0" relativeHeight="251742208" behindDoc="0" locked="0" layoutInCell="1" allowOverlap="1" wp14:anchorId="0985F0DF" wp14:editId="72763F6D">
            <wp:simplePos x="0" y="0"/>
            <wp:positionH relativeFrom="column">
              <wp:posOffset>91440</wp:posOffset>
            </wp:positionH>
            <wp:positionV relativeFrom="paragraph">
              <wp:posOffset>70485</wp:posOffset>
            </wp:positionV>
            <wp:extent cx="5891530" cy="2734945"/>
            <wp:effectExtent l="0" t="0" r="0" b="8255"/>
            <wp:wrapNone/>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14:sizeRelH relativeFrom="page">
              <wp14:pctWidth>0</wp14:pctWidth>
            </wp14:sizeRelH>
            <wp14:sizeRelV relativeFrom="page">
              <wp14:pctHeight>0</wp14:pctHeight>
            </wp14:sizeRelV>
          </wp:anchor>
        </w:drawing>
      </w:r>
    </w:p>
    <w:p w:rsidR="007D6F73" w:rsidRPr="00EC1AB2" w:rsidRDefault="007D6F73" w:rsidP="007A02A8">
      <w:pPr>
        <w:autoSpaceDE w:val="0"/>
        <w:autoSpaceDN w:val="0"/>
        <w:adjustRightInd w:val="0"/>
        <w:spacing w:after="0" w:line="360" w:lineRule="auto"/>
        <w:ind w:firstLine="360"/>
        <w:jc w:val="both"/>
        <w:rPr>
          <w:rFonts w:ascii="Times New Roman" w:hAnsi="Times New Roman" w:cs="Times New Roman"/>
          <w:sz w:val="24"/>
          <w:szCs w:val="24"/>
        </w:rPr>
      </w:pPr>
    </w:p>
    <w:p w:rsidR="007D6F73" w:rsidRPr="00EC1AB2" w:rsidRDefault="007D6F73" w:rsidP="007A02A8">
      <w:pPr>
        <w:autoSpaceDE w:val="0"/>
        <w:autoSpaceDN w:val="0"/>
        <w:adjustRightInd w:val="0"/>
        <w:spacing w:after="0" w:line="360" w:lineRule="auto"/>
        <w:ind w:firstLine="360"/>
        <w:jc w:val="both"/>
        <w:rPr>
          <w:rFonts w:ascii="Times New Roman" w:hAnsi="Times New Roman" w:cs="Times New Roman"/>
          <w:sz w:val="24"/>
          <w:szCs w:val="24"/>
        </w:rPr>
      </w:pPr>
    </w:p>
    <w:p w:rsidR="007D6F73" w:rsidRPr="00EC1AB2" w:rsidRDefault="007D6F73" w:rsidP="007A02A8">
      <w:pPr>
        <w:autoSpaceDE w:val="0"/>
        <w:autoSpaceDN w:val="0"/>
        <w:adjustRightInd w:val="0"/>
        <w:spacing w:after="0" w:line="360" w:lineRule="auto"/>
        <w:ind w:firstLine="360"/>
        <w:jc w:val="both"/>
        <w:rPr>
          <w:rFonts w:ascii="Times New Roman" w:hAnsi="Times New Roman" w:cs="Times New Roman"/>
          <w:sz w:val="24"/>
          <w:szCs w:val="24"/>
        </w:rPr>
      </w:pPr>
    </w:p>
    <w:p w:rsidR="007D6F73" w:rsidRPr="00EC1AB2" w:rsidRDefault="007D6F73" w:rsidP="007A02A8">
      <w:pPr>
        <w:autoSpaceDE w:val="0"/>
        <w:autoSpaceDN w:val="0"/>
        <w:adjustRightInd w:val="0"/>
        <w:spacing w:after="0" w:line="360" w:lineRule="auto"/>
        <w:ind w:firstLine="360"/>
        <w:jc w:val="both"/>
        <w:rPr>
          <w:rFonts w:ascii="Times New Roman" w:hAnsi="Times New Roman" w:cs="Times New Roman"/>
          <w:sz w:val="24"/>
          <w:szCs w:val="24"/>
        </w:rPr>
      </w:pPr>
    </w:p>
    <w:p w:rsidR="007D6F73" w:rsidRPr="00EC1AB2" w:rsidRDefault="007D6F73" w:rsidP="007A02A8">
      <w:pPr>
        <w:autoSpaceDE w:val="0"/>
        <w:autoSpaceDN w:val="0"/>
        <w:adjustRightInd w:val="0"/>
        <w:spacing w:after="0" w:line="360" w:lineRule="auto"/>
        <w:ind w:firstLine="360"/>
        <w:jc w:val="both"/>
        <w:rPr>
          <w:rFonts w:ascii="Times New Roman" w:hAnsi="Times New Roman" w:cs="Times New Roman"/>
          <w:sz w:val="24"/>
          <w:szCs w:val="24"/>
        </w:rPr>
      </w:pPr>
    </w:p>
    <w:p w:rsidR="007D6F73" w:rsidRPr="00EC1AB2" w:rsidRDefault="007D6F73" w:rsidP="007A02A8">
      <w:pPr>
        <w:autoSpaceDE w:val="0"/>
        <w:autoSpaceDN w:val="0"/>
        <w:adjustRightInd w:val="0"/>
        <w:spacing w:after="0" w:line="360" w:lineRule="auto"/>
        <w:ind w:firstLine="360"/>
        <w:jc w:val="both"/>
        <w:rPr>
          <w:rFonts w:ascii="Times New Roman" w:hAnsi="Times New Roman" w:cs="Times New Roman"/>
          <w:sz w:val="24"/>
          <w:szCs w:val="24"/>
        </w:rPr>
      </w:pPr>
    </w:p>
    <w:p w:rsidR="00E93384" w:rsidRPr="00EC1AB2" w:rsidRDefault="00E93384" w:rsidP="007A02A8">
      <w:pPr>
        <w:autoSpaceDE w:val="0"/>
        <w:autoSpaceDN w:val="0"/>
        <w:adjustRightInd w:val="0"/>
        <w:spacing w:after="0" w:line="360" w:lineRule="auto"/>
        <w:jc w:val="both"/>
        <w:rPr>
          <w:rFonts w:ascii="Times New Roman" w:hAnsi="Times New Roman" w:cs="Times New Roman"/>
          <w:sz w:val="24"/>
          <w:szCs w:val="24"/>
        </w:rPr>
      </w:pPr>
    </w:p>
    <w:p w:rsidR="007D6F73" w:rsidRPr="00EC1AB2" w:rsidRDefault="007D6F73" w:rsidP="007A02A8">
      <w:pPr>
        <w:autoSpaceDE w:val="0"/>
        <w:autoSpaceDN w:val="0"/>
        <w:adjustRightInd w:val="0"/>
        <w:spacing w:after="0" w:line="360" w:lineRule="auto"/>
        <w:jc w:val="both"/>
        <w:rPr>
          <w:rFonts w:ascii="Times New Roman" w:hAnsi="Times New Roman" w:cs="Times New Roman"/>
          <w:b/>
          <w:sz w:val="20"/>
          <w:szCs w:val="20"/>
        </w:rPr>
      </w:pPr>
    </w:p>
    <w:p w:rsidR="007D6F73" w:rsidRPr="00EC1AB2" w:rsidRDefault="007D6F73" w:rsidP="007A02A8">
      <w:pPr>
        <w:autoSpaceDE w:val="0"/>
        <w:autoSpaceDN w:val="0"/>
        <w:adjustRightInd w:val="0"/>
        <w:spacing w:after="0" w:line="360" w:lineRule="auto"/>
        <w:jc w:val="both"/>
        <w:rPr>
          <w:rFonts w:ascii="Times New Roman" w:hAnsi="Times New Roman" w:cs="Times New Roman"/>
          <w:b/>
          <w:sz w:val="20"/>
          <w:szCs w:val="20"/>
        </w:rPr>
      </w:pPr>
      <w:r w:rsidRPr="00EC1AB2">
        <w:rPr>
          <w:rFonts w:ascii="Times New Roman" w:hAnsi="Times New Roman" w:cs="Times New Roman"/>
          <w:noProof/>
          <w:sz w:val="24"/>
          <w:szCs w:val="24"/>
          <w:lang w:eastAsia="lt-LT"/>
        </w:rPr>
        <mc:AlternateContent>
          <mc:Choice Requires="wps">
            <w:drawing>
              <wp:anchor distT="0" distB="0" distL="114300" distR="114300" simplePos="0" relativeHeight="251732992" behindDoc="0" locked="0" layoutInCell="1" allowOverlap="1" wp14:anchorId="3D6C1D14" wp14:editId="77A45211">
                <wp:simplePos x="0" y="0"/>
                <wp:positionH relativeFrom="column">
                  <wp:posOffset>412115</wp:posOffset>
                </wp:positionH>
                <wp:positionV relativeFrom="paragraph">
                  <wp:posOffset>188595</wp:posOffset>
                </wp:positionV>
                <wp:extent cx="95250" cy="104775"/>
                <wp:effectExtent l="0" t="0" r="0" b="9525"/>
                <wp:wrapNone/>
                <wp:docPr id="10" name="Rectangle 12"/>
                <wp:cNvGraphicFramePr/>
                <a:graphic xmlns:a="http://schemas.openxmlformats.org/drawingml/2006/main">
                  <a:graphicData uri="http://schemas.microsoft.com/office/word/2010/wordprocessingShape">
                    <wps:wsp>
                      <wps:cNvSpPr/>
                      <wps:spPr>
                        <a:xfrm>
                          <a:off x="0" y="0"/>
                          <a:ext cx="95250" cy="104775"/>
                        </a:xfrm>
                        <a:prstGeom prst="rect">
                          <a:avLst/>
                        </a:prstGeom>
                        <a:solidFill>
                          <a:schemeClr val="accent6">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rect id="Rectangle 12" o:spid="_x0000_s1026" style="position:absolute;margin-left:32.45pt;margin-top:14.85pt;width:7.5pt;height:8.25pt;z-index:2517329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" fillcolor="#fabf8f [1945]" stroked="f" strokeweight="2pt"/>
            </w:pict>
          </mc:Fallback>
        </mc:AlternateContent>
      </w:r>
      <w:r w:rsidRPr="00EC1AB2">
        <w:rPr>
          <w:rFonts w:ascii="Times New Roman" w:hAnsi="Times New Roman" w:cs="Times New Roman"/>
          <w:noProof/>
          <w:sz w:val="24"/>
          <w:szCs w:val="24"/>
          <w:lang w:eastAsia="lt-LT"/>
        </w:rPr>
        <mc:AlternateContent>
          <mc:Choice Requires="wps">
            <w:drawing>
              <wp:anchor distT="0" distB="0" distL="114300" distR="114300" simplePos="0" relativeHeight="251731968" behindDoc="0" locked="0" layoutInCell="1" allowOverlap="1" wp14:anchorId="75ED5327" wp14:editId="2C9BFE79">
                <wp:simplePos x="0" y="0"/>
                <wp:positionH relativeFrom="column">
                  <wp:posOffset>310515</wp:posOffset>
                </wp:positionH>
                <wp:positionV relativeFrom="paragraph">
                  <wp:posOffset>118745</wp:posOffset>
                </wp:positionV>
                <wp:extent cx="2781300" cy="419100"/>
                <wp:effectExtent l="0" t="0" r="0" b="0"/>
                <wp:wrapNone/>
                <wp:docPr id="7" name="TextBox 4"/>
                <wp:cNvGraphicFramePr/>
                <a:graphic xmlns:a="http://schemas.openxmlformats.org/drawingml/2006/main">
                  <a:graphicData uri="http://schemas.microsoft.com/office/word/2010/wordprocessingShape">
                    <wps:wsp>
                      <wps:cNvSpPr txBox="1"/>
                      <wps:spPr>
                        <a:xfrm>
                          <a:off x="0" y="0"/>
                          <a:ext cx="2781300" cy="419100"/>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rsidR="00EC1AB2" w:rsidRPr="00805B87" w:rsidRDefault="00EC1AB2" w:rsidP="00A12A25">
                            <w:pPr>
                              <w:pStyle w:val="NormalWeb"/>
                              <w:rPr>
                                <w:sz w:val="20"/>
                                <w:szCs w:val="20"/>
                              </w:rPr>
                            </w:pPr>
                            <w:r w:rsidRPr="00805B87">
                              <w:rPr>
                                <w:rFonts w:asciiTheme="minorHAnsi" w:hAnsi="Calibri" w:cstheme="minorBidi"/>
                                <w:color w:val="000000" w:themeColor="dark1"/>
                                <w:sz w:val="20"/>
                                <w:szCs w:val="20"/>
                              </w:rPr>
                              <w:t xml:space="preserve">    </w:t>
                            </w:r>
                            <w:r>
                              <w:rPr>
                                <w:rFonts w:asciiTheme="minorHAnsi" w:hAnsi="Calibri" w:cstheme="minorBidi"/>
                                <w:color w:val="000000" w:themeColor="dark1"/>
                                <w:sz w:val="20"/>
                                <w:szCs w:val="20"/>
                              </w:rPr>
                              <w:t xml:space="preserve">  </w:t>
                            </w:r>
                            <w:r w:rsidRPr="00805B87">
                              <w:rPr>
                                <w:color w:val="000000" w:themeColor="dark1"/>
                                <w:sz w:val="20"/>
                                <w:szCs w:val="20"/>
                              </w:rPr>
                              <w:t>Išlaidų MTEP santykis su BVP, proc.</w:t>
                            </w:r>
                          </w:p>
                          <w:p w:rsidR="00EC1AB2" w:rsidRPr="00805B87" w:rsidRDefault="00EC1AB2" w:rsidP="00A12A25">
                            <w:pPr>
                              <w:pStyle w:val="NormalWeb"/>
                              <w:rPr>
                                <w:sz w:val="20"/>
                                <w:szCs w:val="20"/>
                              </w:rPr>
                            </w:pPr>
                            <w:r>
                              <w:rPr>
                                <w:color w:val="000000" w:themeColor="dark1"/>
                                <w:sz w:val="20"/>
                                <w:szCs w:val="20"/>
                              </w:rPr>
                              <w:t xml:space="preserve">     Strategijoje „Europa 2020“</w:t>
                            </w:r>
                            <w:r w:rsidRPr="00805B87">
                              <w:rPr>
                                <w:color w:val="000000" w:themeColor="dark1"/>
                                <w:sz w:val="20"/>
                                <w:szCs w:val="20"/>
                              </w:rPr>
                              <w:t xml:space="preserve"> numatytas tikslas</w:t>
                            </w:r>
                          </w:p>
                        </w:txbxContent>
                      </wps:txbx>
                      <wps:bodyPr vertOverflow="clip" horzOverflow="clip" wrap="square" rtlCol="0" anchor="t">
                        <a:noAutofit/>
                      </wps:bodyPr>
                    </wps:wsp>
                  </a:graphicData>
                </a:graphic>
                <wp14:sizeRelV relativeFrom="margin">
                  <wp14:pctHeight>0</wp14:pctHeight>
                </wp14:sizeRelV>
              </wp:anchor>
            </w:drawing>
          </mc:Choice>
          <mc:Fallback>
            <w:pict>
              <v:shape id="TextBox 4" o:spid="_x0000_s1045" type="#_x0000_t202" style="position:absolute;left:0;text-align:left;margin-left:24.45pt;margin-top:9.35pt;width:219pt;height:33pt;z-index:2517319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" filled="f" stroked="f">
                <v:textbox>
                  <w:txbxContent>
                    <w:p w:rsidR="00A03476" w:rsidRPr="00805B87" w:rsidRDefault="00A03476" w:rsidP="00A12A25">
                      <w:pPr>
                        <w:pStyle w:val="NormalWeb"/>
                        <w:rPr>
                          <w:sz w:val="20"/>
                          <w:szCs w:val="20"/>
                        </w:rPr>
                      </w:pPr>
                      <w:r w:rsidRPr="00805B87">
                        <w:rPr>
                          <w:rFonts w:asciiTheme="minorHAnsi" w:hAnsi="Calibri" w:cstheme="minorBidi"/>
                          <w:color w:val="000000" w:themeColor="dark1"/>
                          <w:sz w:val="20"/>
                          <w:szCs w:val="20"/>
                        </w:rPr>
                        <w:t xml:space="preserve">    </w:t>
                      </w:r>
                      <w:r>
                        <w:rPr>
                          <w:rFonts w:asciiTheme="minorHAnsi" w:hAnsi="Calibri" w:cstheme="minorBidi"/>
                          <w:color w:val="000000" w:themeColor="dark1"/>
                          <w:sz w:val="20"/>
                          <w:szCs w:val="20"/>
                        </w:rPr>
                        <w:t xml:space="preserve">  </w:t>
                      </w:r>
                      <w:r w:rsidRPr="00805B87">
                        <w:rPr>
                          <w:color w:val="000000" w:themeColor="dark1"/>
                          <w:sz w:val="20"/>
                          <w:szCs w:val="20"/>
                        </w:rPr>
                        <w:t>Išlaidų MTEP santykis su BVP, proc.</w:t>
                      </w:r>
                    </w:p>
                    <w:p w:rsidR="00A03476" w:rsidRPr="00805B87" w:rsidRDefault="00A03476" w:rsidP="00A12A25">
                      <w:pPr>
                        <w:pStyle w:val="NormalWeb"/>
                        <w:rPr>
                          <w:sz w:val="20"/>
                          <w:szCs w:val="20"/>
                        </w:rPr>
                      </w:pPr>
                      <w:r>
                        <w:rPr>
                          <w:color w:val="000000" w:themeColor="dark1"/>
                          <w:sz w:val="20"/>
                          <w:szCs w:val="20"/>
                        </w:rPr>
                        <w:t xml:space="preserve">     Strategijoje „Europa 2020“</w:t>
                      </w:r>
                      <w:r w:rsidRPr="00805B87">
                        <w:rPr>
                          <w:color w:val="000000" w:themeColor="dark1"/>
                          <w:sz w:val="20"/>
                          <w:szCs w:val="20"/>
                        </w:rPr>
                        <w:t xml:space="preserve"> numatytas tikslas</w:t>
                      </w:r>
                    </w:p>
                  </w:txbxContent>
                </v:textbox>
              </v:shape>
            </w:pict>
          </mc:Fallback>
        </mc:AlternateContent>
      </w:r>
    </w:p>
    <w:p w:rsidR="007D6F73" w:rsidRPr="00EC1AB2" w:rsidRDefault="007D6F73" w:rsidP="007A02A8">
      <w:pPr>
        <w:autoSpaceDE w:val="0"/>
        <w:autoSpaceDN w:val="0"/>
        <w:adjustRightInd w:val="0"/>
        <w:spacing w:after="0" w:line="360" w:lineRule="auto"/>
        <w:jc w:val="both"/>
        <w:rPr>
          <w:rFonts w:ascii="Times New Roman" w:hAnsi="Times New Roman" w:cs="Times New Roman"/>
          <w:b/>
          <w:sz w:val="20"/>
          <w:szCs w:val="20"/>
        </w:rPr>
      </w:pPr>
      <w:r w:rsidRPr="00EC1AB2">
        <w:rPr>
          <w:rFonts w:ascii="Times New Roman" w:hAnsi="Times New Roman" w:cs="Times New Roman"/>
          <w:noProof/>
          <w:sz w:val="24"/>
          <w:szCs w:val="24"/>
          <w:lang w:eastAsia="lt-LT"/>
        </w:rPr>
        <mc:AlternateContent>
          <mc:Choice Requires="wps">
            <w:drawing>
              <wp:anchor distT="0" distB="0" distL="114300" distR="114300" simplePos="0" relativeHeight="251734016" behindDoc="0" locked="0" layoutInCell="1" allowOverlap="1" wp14:anchorId="777E32CF" wp14:editId="3F701AA6">
                <wp:simplePos x="0" y="0"/>
                <wp:positionH relativeFrom="column">
                  <wp:posOffset>429260</wp:posOffset>
                </wp:positionH>
                <wp:positionV relativeFrom="paragraph">
                  <wp:posOffset>151765</wp:posOffset>
                </wp:positionV>
                <wp:extent cx="85725" cy="0"/>
                <wp:effectExtent l="38100" t="38100" r="66675" b="95250"/>
                <wp:wrapNone/>
                <wp:docPr id="11" name="Straight Connector 16"/>
                <wp:cNvGraphicFramePr/>
                <a:graphic xmlns:a="http://schemas.openxmlformats.org/drawingml/2006/main">
                  <a:graphicData uri="http://schemas.microsoft.com/office/word/2010/wordprocessingShape">
                    <wps:wsp>
                      <wps:cNvCnPr/>
                      <wps:spPr>
                        <a:xfrm>
                          <a:off x="0" y="0"/>
                          <a:ext cx="85725" cy="0"/>
                        </a:xfrm>
                        <a:prstGeom prst="line">
                          <a:avLst/>
                        </a:prstGeom>
                      </wps:spPr>
                      <wps:style>
                        <a:lnRef idx="2">
                          <a:schemeClr val="accent3"/>
                        </a:lnRef>
                        <a:fillRef idx="0">
                          <a:schemeClr val="accent3"/>
                        </a:fillRef>
                        <a:effectRef idx="1">
                          <a:schemeClr val="accent3"/>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6" o:spid="_x0000_s1026" style="position:absolute;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8pt,11.95pt" to="40.55pt,1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" strokecolor="#9bbb59 [3206]" strokeweight="2pt">
                <v:shadow on="t" color="black" opacity="24903f" origin=",.5" offset="0,.55556mm"/>
              </v:line>
            </w:pict>
          </mc:Fallback>
        </mc:AlternateContent>
      </w:r>
    </w:p>
    <w:p w:rsidR="007D6F73" w:rsidRPr="00EC1AB2" w:rsidRDefault="007D6F73" w:rsidP="007A02A8">
      <w:pPr>
        <w:autoSpaceDE w:val="0"/>
        <w:autoSpaceDN w:val="0"/>
        <w:adjustRightInd w:val="0"/>
        <w:spacing w:after="0" w:line="360" w:lineRule="auto"/>
        <w:jc w:val="both"/>
        <w:rPr>
          <w:rFonts w:ascii="Times New Roman" w:hAnsi="Times New Roman" w:cs="Times New Roman"/>
          <w:b/>
          <w:sz w:val="20"/>
          <w:szCs w:val="20"/>
        </w:rPr>
      </w:pPr>
    </w:p>
    <w:p w:rsidR="00C72A8C" w:rsidRPr="00EC1AB2" w:rsidRDefault="00C72A8C"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b/>
          <w:sz w:val="20"/>
          <w:szCs w:val="20"/>
        </w:rPr>
        <w:t>Šaltinis:</w:t>
      </w:r>
      <w:r w:rsidRPr="00EC1AB2">
        <w:rPr>
          <w:rFonts w:ascii="Times New Roman" w:hAnsi="Times New Roman" w:cs="Times New Roman"/>
          <w:sz w:val="20"/>
          <w:szCs w:val="20"/>
        </w:rPr>
        <w:t xml:space="preserve"> sudaryta pagal </w:t>
      </w:r>
      <w:r w:rsidR="00B71012" w:rsidRPr="00EC1AB2">
        <w:rPr>
          <w:rFonts w:ascii="Times New Roman" w:hAnsi="Times New Roman" w:cs="Times New Roman"/>
          <w:sz w:val="20"/>
          <w:szCs w:val="20"/>
        </w:rPr>
        <w:t>Eurostat duomenis</w:t>
      </w:r>
    </w:p>
    <w:p w:rsidR="00C72A8C" w:rsidRPr="00EC1AB2" w:rsidRDefault="00846CC0" w:rsidP="007A02A8">
      <w:pPr>
        <w:pStyle w:val="Heading5"/>
        <w:spacing w:before="0" w:line="360" w:lineRule="auto"/>
        <w:jc w:val="center"/>
        <w:rPr>
          <w:rFonts w:ascii="Times New Roman" w:hAnsi="Times New Roman" w:cs="Times New Roman"/>
          <w:b/>
          <w:color w:val="auto"/>
          <w:sz w:val="24"/>
          <w:szCs w:val="24"/>
        </w:rPr>
      </w:pPr>
      <w:bookmarkStart w:id="149" w:name="_Toc320761930"/>
      <w:bookmarkStart w:id="150" w:name="_Toc320762165"/>
      <w:bookmarkStart w:id="151" w:name="_Toc320762567"/>
      <w:r w:rsidRPr="00EC1AB2">
        <w:rPr>
          <w:rFonts w:ascii="Times New Roman" w:hAnsi="Times New Roman" w:cs="Times New Roman"/>
          <w:color w:val="auto"/>
          <w:sz w:val="24"/>
          <w:szCs w:val="24"/>
        </w:rPr>
        <w:t>14</w:t>
      </w:r>
      <w:r w:rsidR="00C72A8C" w:rsidRPr="00EC1AB2">
        <w:rPr>
          <w:rFonts w:ascii="Times New Roman" w:hAnsi="Times New Roman" w:cs="Times New Roman"/>
          <w:color w:val="auto"/>
          <w:sz w:val="24"/>
          <w:szCs w:val="24"/>
        </w:rPr>
        <w:t xml:space="preserve"> pav.</w:t>
      </w:r>
      <w:r w:rsidR="008E2F59" w:rsidRPr="00EC1AB2">
        <w:rPr>
          <w:rFonts w:ascii="Times New Roman" w:hAnsi="Times New Roman" w:cs="Times New Roman"/>
          <w:b/>
          <w:color w:val="auto"/>
          <w:sz w:val="24"/>
          <w:szCs w:val="24"/>
        </w:rPr>
        <w:t xml:space="preserve"> Išlaidų moksliniams tyrimams ir eksperimentinei plėtrai</w:t>
      </w:r>
      <w:r w:rsidR="00C72A8C" w:rsidRPr="00EC1AB2">
        <w:rPr>
          <w:rFonts w:ascii="Times New Roman" w:hAnsi="Times New Roman" w:cs="Times New Roman"/>
          <w:b/>
          <w:color w:val="auto"/>
          <w:sz w:val="24"/>
          <w:szCs w:val="24"/>
        </w:rPr>
        <w:t xml:space="preserve"> santykis su BVP </w:t>
      </w:r>
      <w:r w:rsidR="00B0279D" w:rsidRPr="00EC1AB2">
        <w:rPr>
          <w:rFonts w:ascii="Times New Roman" w:hAnsi="Times New Roman" w:cs="Times New Roman"/>
          <w:b/>
          <w:color w:val="auto"/>
          <w:sz w:val="24"/>
          <w:szCs w:val="24"/>
        </w:rPr>
        <w:t xml:space="preserve">ES </w:t>
      </w:r>
      <w:r w:rsidR="00331AB6" w:rsidRPr="00EC1AB2">
        <w:rPr>
          <w:rFonts w:ascii="Times New Roman" w:hAnsi="Times New Roman" w:cs="Times New Roman"/>
          <w:b/>
          <w:color w:val="auto"/>
          <w:sz w:val="24"/>
          <w:szCs w:val="24"/>
        </w:rPr>
        <w:t>2010</w:t>
      </w:r>
      <w:r w:rsidR="00C72A8C" w:rsidRPr="00EC1AB2">
        <w:rPr>
          <w:rFonts w:ascii="Times New Roman" w:hAnsi="Times New Roman" w:cs="Times New Roman"/>
          <w:b/>
          <w:color w:val="auto"/>
          <w:sz w:val="24"/>
          <w:szCs w:val="24"/>
        </w:rPr>
        <w:t xml:space="preserve"> m., proc.</w:t>
      </w:r>
      <w:bookmarkEnd w:id="149"/>
      <w:bookmarkEnd w:id="150"/>
      <w:bookmarkEnd w:id="151"/>
    </w:p>
    <w:p w:rsidR="00D22C0A" w:rsidRPr="00EC1AB2" w:rsidRDefault="00D22C0A" w:rsidP="007A02A8">
      <w:pPr>
        <w:pStyle w:val="Heading5"/>
        <w:spacing w:before="0" w:line="360" w:lineRule="auto"/>
        <w:jc w:val="center"/>
        <w:rPr>
          <w:rFonts w:ascii="Times New Roman" w:hAnsi="Times New Roman" w:cs="Times New Roman"/>
          <w:b/>
          <w:color w:val="auto"/>
          <w:sz w:val="24"/>
          <w:szCs w:val="24"/>
        </w:rPr>
      </w:pPr>
    </w:p>
    <w:p w:rsidR="00C54CE1" w:rsidRPr="00EC1AB2" w:rsidRDefault="00846CC0"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Kaip matyti iš 14</w:t>
      </w:r>
      <w:r w:rsidR="00D22C0A" w:rsidRPr="00EC1AB2">
        <w:rPr>
          <w:rFonts w:ascii="Times New Roman" w:hAnsi="Times New Roman" w:cs="Times New Roman"/>
          <w:sz w:val="24"/>
          <w:szCs w:val="24"/>
        </w:rPr>
        <w:t xml:space="preserve"> pav. </w:t>
      </w:r>
      <w:r w:rsidR="00D7605A" w:rsidRPr="00EC1AB2">
        <w:rPr>
          <w:rFonts w:ascii="Times New Roman" w:hAnsi="Times New Roman" w:cs="Times New Roman"/>
          <w:sz w:val="24"/>
          <w:szCs w:val="24"/>
        </w:rPr>
        <w:t>s</w:t>
      </w:r>
      <w:r w:rsidR="00F367EB" w:rsidRPr="00EC1AB2">
        <w:rPr>
          <w:rFonts w:ascii="Times New Roman" w:hAnsi="Times New Roman" w:cs="Times New Roman"/>
          <w:sz w:val="24"/>
          <w:szCs w:val="24"/>
        </w:rPr>
        <w:t xml:space="preserve">trategijoje „Europa 2020“ numatytą tikslą yra pasiekusios Danija, Švedija ir Suomija. </w:t>
      </w:r>
      <w:r w:rsidR="004F1EA8" w:rsidRPr="00EC1AB2">
        <w:rPr>
          <w:rFonts w:ascii="Times New Roman" w:hAnsi="Times New Roman" w:cs="Times New Roman"/>
          <w:sz w:val="24"/>
          <w:szCs w:val="24"/>
        </w:rPr>
        <w:t>Liet</w:t>
      </w:r>
      <w:r w:rsidR="00CD4273" w:rsidRPr="00EC1AB2">
        <w:rPr>
          <w:rFonts w:ascii="Times New Roman" w:hAnsi="Times New Roman" w:cs="Times New Roman"/>
          <w:sz w:val="24"/>
          <w:szCs w:val="24"/>
        </w:rPr>
        <w:t>uva</w:t>
      </w:r>
      <w:r w:rsidR="001E3407" w:rsidRPr="00EC1AB2">
        <w:rPr>
          <w:rFonts w:ascii="Times New Roman" w:hAnsi="Times New Roman" w:cs="Times New Roman"/>
          <w:sz w:val="24"/>
          <w:szCs w:val="24"/>
        </w:rPr>
        <w:t xml:space="preserve"> </w:t>
      </w:r>
      <w:r w:rsidR="00135528" w:rsidRPr="00EC1AB2">
        <w:rPr>
          <w:rFonts w:ascii="Times New Roman" w:hAnsi="Times New Roman" w:cs="Times New Roman"/>
          <w:sz w:val="24"/>
          <w:szCs w:val="24"/>
        </w:rPr>
        <w:t>nuo ES vidurkio atsilieka 2,5 karto.</w:t>
      </w:r>
      <w:r w:rsidR="00A871EF" w:rsidRPr="00EC1AB2">
        <w:rPr>
          <w:rFonts w:ascii="Times New Roman" w:hAnsi="Times New Roman" w:cs="Times New Roman"/>
          <w:sz w:val="24"/>
          <w:szCs w:val="24"/>
        </w:rPr>
        <w:t xml:space="preserve"> Taip pat verta paminėti</w:t>
      </w:r>
      <w:r w:rsidR="00D337D9" w:rsidRPr="00EC1AB2">
        <w:rPr>
          <w:rFonts w:ascii="Times New Roman" w:hAnsi="Times New Roman" w:cs="Times New Roman"/>
          <w:sz w:val="24"/>
          <w:szCs w:val="24"/>
        </w:rPr>
        <w:t xml:space="preserve">, kad </w:t>
      </w:r>
      <w:r w:rsidR="00E36C8D" w:rsidRPr="00EC1AB2">
        <w:rPr>
          <w:rFonts w:ascii="Times New Roman" w:hAnsi="Times New Roman" w:cs="Times New Roman"/>
          <w:sz w:val="24"/>
          <w:szCs w:val="24"/>
        </w:rPr>
        <w:t xml:space="preserve">viešojo sektoriaus </w:t>
      </w:r>
      <w:r w:rsidR="001E3407" w:rsidRPr="00EC1AB2">
        <w:rPr>
          <w:rFonts w:ascii="Times New Roman" w:hAnsi="Times New Roman" w:cs="Times New Roman"/>
          <w:sz w:val="24"/>
          <w:szCs w:val="24"/>
        </w:rPr>
        <w:t>išlai</w:t>
      </w:r>
      <w:r w:rsidR="00E36C8D" w:rsidRPr="00EC1AB2">
        <w:rPr>
          <w:rFonts w:ascii="Times New Roman" w:hAnsi="Times New Roman" w:cs="Times New Roman"/>
          <w:sz w:val="24"/>
          <w:szCs w:val="24"/>
        </w:rPr>
        <w:t>dų</w:t>
      </w:r>
      <w:r w:rsidR="001E3407" w:rsidRPr="00EC1AB2">
        <w:rPr>
          <w:rFonts w:ascii="Times New Roman" w:hAnsi="Times New Roman" w:cs="Times New Roman"/>
          <w:sz w:val="24"/>
          <w:szCs w:val="24"/>
        </w:rPr>
        <w:t xml:space="preserve"> MTEP </w:t>
      </w:r>
      <w:r w:rsidR="00E36C8D" w:rsidRPr="00EC1AB2">
        <w:rPr>
          <w:rFonts w:ascii="Times New Roman" w:hAnsi="Times New Roman" w:cs="Times New Roman"/>
          <w:sz w:val="24"/>
          <w:szCs w:val="24"/>
        </w:rPr>
        <w:t xml:space="preserve">santykis su BVP sudarė 0,56 </w:t>
      </w:r>
      <w:r w:rsidR="00006FE7" w:rsidRPr="00EC1AB2">
        <w:rPr>
          <w:rFonts w:ascii="Times New Roman" w:hAnsi="Times New Roman" w:cs="Times New Roman"/>
          <w:sz w:val="24"/>
          <w:szCs w:val="24"/>
        </w:rPr>
        <w:t>proc.</w:t>
      </w:r>
      <w:r w:rsidR="00E36C8D" w:rsidRPr="00EC1AB2">
        <w:rPr>
          <w:rFonts w:ascii="Times New Roman" w:hAnsi="Times New Roman" w:cs="Times New Roman"/>
          <w:sz w:val="24"/>
          <w:szCs w:val="24"/>
        </w:rPr>
        <w:t xml:space="preserve">, o privačiojo sektoriaus </w:t>
      </w:r>
      <w:r w:rsidR="00D310A4" w:rsidRPr="00EC1AB2">
        <w:rPr>
          <w:rFonts w:ascii="Times New Roman" w:hAnsi="Times New Roman" w:cs="Times New Roman"/>
          <w:sz w:val="24"/>
          <w:szCs w:val="24"/>
        </w:rPr>
        <w:t>investicijos tik</w:t>
      </w:r>
      <w:r w:rsidR="00E36C8D" w:rsidRPr="00EC1AB2">
        <w:rPr>
          <w:rFonts w:ascii="Times New Roman" w:hAnsi="Times New Roman" w:cs="Times New Roman"/>
          <w:sz w:val="24"/>
          <w:szCs w:val="24"/>
        </w:rPr>
        <w:t xml:space="preserve"> 0</w:t>
      </w:r>
      <w:r w:rsidR="00006FE7" w:rsidRPr="00EC1AB2">
        <w:rPr>
          <w:rFonts w:ascii="Times New Roman" w:hAnsi="Times New Roman" w:cs="Times New Roman"/>
          <w:sz w:val="24"/>
          <w:szCs w:val="24"/>
        </w:rPr>
        <w:t>,23 proc.</w:t>
      </w:r>
      <w:r w:rsidR="00FD12B0" w:rsidRPr="00EC1AB2">
        <w:rPr>
          <w:rFonts w:ascii="Times New Roman" w:hAnsi="Times New Roman" w:cs="Times New Roman"/>
          <w:sz w:val="24"/>
          <w:szCs w:val="24"/>
        </w:rPr>
        <w:t xml:space="preserve"> (siektini </w:t>
      </w:r>
      <w:r w:rsidR="00006FE7" w:rsidRPr="00EC1AB2">
        <w:rPr>
          <w:rFonts w:ascii="Times New Roman" w:hAnsi="Times New Roman" w:cs="Times New Roman"/>
          <w:sz w:val="24"/>
          <w:szCs w:val="24"/>
        </w:rPr>
        <w:t>dydžiai atitinkamai yra 1 ir 2 proc.</w:t>
      </w:r>
      <w:r w:rsidR="00FD12B0" w:rsidRPr="00EC1AB2">
        <w:rPr>
          <w:rFonts w:ascii="Times New Roman" w:hAnsi="Times New Roman" w:cs="Times New Roman"/>
          <w:sz w:val="24"/>
          <w:szCs w:val="24"/>
        </w:rPr>
        <w:t xml:space="preserve">). </w:t>
      </w:r>
      <w:r w:rsidR="008462F5" w:rsidRPr="00EC1AB2">
        <w:rPr>
          <w:rFonts w:ascii="Times New Roman" w:hAnsi="Times New Roman" w:cs="Times New Roman"/>
          <w:sz w:val="24"/>
          <w:szCs w:val="24"/>
        </w:rPr>
        <w:t xml:space="preserve"> </w:t>
      </w:r>
      <w:r w:rsidR="00D27CDF" w:rsidRPr="00EC1AB2">
        <w:rPr>
          <w:rFonts w:ascii="Times New Roman" w:hAnsi="Times New Roman" w:cs="Times New Roman"/>
          <w:sz w:val="24"/>
          <w:szCs w:val="24"/>
        </w:rPr>
        <w:t>K</w:t>
      </w:r>
      <w:r w:rsidR="00344E49" w:rsidRPr="00EC1AB2">
        <w:rPr>
          <w:rFonts w:ascii="Times New Roman" w:hAnsi="Times New Roman" w:cs="Times New Roman"/>
          <w:sz w:val="24"/>
          <w:szCs w:val="24"/>
        </w:rPr>
        <w:t xml:space="preserve">aip matyti, padėtis </w:t>
      </w:r>
      <w:r w:rsidR="009C4F26" w:rsidRPr="00EC1AB2">
        <w:rPr>
          <w:rFonts w:ascii="Times New Roman" w:hAnsi="Times New Roman" w:cs="Times New Roman"/>
          <w:sz w:val="24"/>
          <w:szCs w:val="24"/>
        </w:rPr>
        <w:t>vieša</w:t>
      </w:r>
      <w:r w:rsidR="00272EC2" w:rsidRPr="00EC1AB2">
        <w:rPr>
          <w:rFonts w:ascii="Times New Roman" w:hAnsi="Times New Roman" w:cs="Times New Roman"/>
          <w:sz w:val="24"/>
          <w:szCs w:val="24"/>
        </w:rPr>
        <w:t>jame sektoriuje</w:t>
      </w:r>
      <w:r w:rsidR="006C5561" w:rsidRPr="00EC1AB2">
        <w:rPr>
          <w:rFonts w:ascii="Times New Roman" w:hAnsi="Times New Roman" w:cs="Times New Roman"/>
          <w:sz w:val="24"/>
          <w:szCs w:val="24"/>
        </w:rPr>
        <w:t xml:space="preserve"> yra pakankamai nebloga, lyginant su privačiuoju</w:t>
      </w:r>
      <w:r w:rsidR="00272EC2" w:rsidRPr="00EC1AB2">
        <w:rPr>
          <w:rFonts w:ascii="Times New Roman" w:hAnsi="Times New Roman" w:cs="Times New Roman"/>
          <w:sz w:val="24"/>
          <w:szCs w:val="24"/>
        </w:rPr>
        <w:t xml:space="preserve">, tačiau </w:t>
      </w:r>
      <w:r w:rsidR="00272EC2" w:rsidRPr="00EC1AB2">
        <w:rPr>
          <w:rFonts w:ascii="Times New Roman" w:hAnsi="Times New Roman" w:cs="Times New Roman"/>
          <w:iCs/>
          <w:sz w:val="24"/>
          <w:szCs w:val="24"/>
        </w:rPr>
        <w:t>Mokslo ir studijų stebėsenos ir analizės centro</w:t>
      </w:r>
      <w:r w:rsidR="00343040" w:rsidRPr="00EC1AB2">
        <w:rPr>
          <w:rFonts w:ascii="Times New Roman" w:hAnsi="Times New Roman" w:cs="Times New Roman"/>
          <w:iCs/>
          <w:sz w:val="24"/>
          <w:szCs w:val="24"/>
        </w:rPr>
        <w:t xml:space="preserve"> 2008 m.</w:t>
      </w:r>
      <w:r w:rsidR="00272EC2" w:rsidRPr="00EC1AB2">
        <w:rPr>
          <w:rFonts w:ascii="Times New Roman" w:hAnsi="Times New Roman" w:cs="Times New Roman"/>
          <w:iCs/>
          <w:sz w:val="24"/>
          <w:szCs w:val="24"/>
        </w:rPr>
        <w:t xml:space="preserve"> atliktoje Lietuvos išlaidų MTEP </w:t>
      </w:r>
      <w:r w:rsidR="00343040" w:rsidRPr="00EC1AB2">
        <w:rPr>
          <w:rFonts w:ascii="Times New Roman" w:hAnsi="Times New Roman" w:cs="Times New Roman"/>
          <w:iCs/>
          <w:sz w:val="24"/>
          <w:szCs w:val="24"/>
        </w:rPr>
        <w:t xml:space="preserve">analizėje </w:t>
      </w:r>
      <w:r w:rsidR="006D12E4" w:rsidRPr="00EC1AB2">
        <w:rPr>
          <w:rFonts w:ascii="Times New Roman" w:hAnsi="Times New Roman" w:cs="Times New Roman"/>
          <w:iCs/>
          <w:sz w:val="24"/>
          <w:szCs w:val="24"/>
        </w:rPr>
        <w:t>pastebima</w:t>
      </w:r>
      <w:r w:rsidR="006C5561" w:rsidRPr="00EC1AB2">
        <w:rPr>
          <w:rFonts w:ascii="Times New Roman" w:hAnsi="Times New Roman" w:cs="Times New Roman"/>
          <w:iCs/>
          <w:sz w:val="24"/>
          <w:szCs w:val="24"/>
        </w:rPr>
        <w:t xml:space="preserve">, kad </w:t>
      </w:r>
      <w:r w:rsidR="006C5561" w:rsidRPr="00EC1AB2">
        <w:rPr>
          <w:rFonts w:ascii="Times New Roman" w:hAnsi="Times New Roman" w:cs="Times New Roman"/>
          <w:sz w:val="24"/>
          <w:szCs w:val="24"/>
        </w:rPr>
        <w:t>nemaža dalis mokslui skiriamų lėšų tenka ne konkretiems valstybei, visuomenei ir ūkiui reikalingiems tyrimams, bet institucijoms, kurios pačios sprendžia, kokiose tematikose tyrimus vykdyti</w:t>
      </w:r>
      <w:r w:rsidR="00A87AD2" w:rsidRPr="00EC1AB2">
        <w:rPr>
          <w:rFonts w:ascii="Times New Roman" w:hAnsi="Times New Roman" w:cs="Times New Roman"/>
          <w:sz w:val="24"/>
          <w:szCs w:val="24"/>
        </w:rPr>
        <w:t>.</w:t>
      </w:r>
      <w:r w:rsidR="00EA71F6" w:rsidRPr="00EC1AB2">
        <w:rPr>
          <w:rFonts w:ascii="Times New Roman" w:hAnsi="Times New Roman" w:cs="Times New Roman"/>
          <w:sz w:val="24"/>
          <w:szCs w:val="24"/>
        </w:rPr>
        <w:t xml:space="preserve">  </w:t>
      </w:r>
      <w:r w:rsidR="00703A52" w:rsidRPr="00EC1AB2">
        <w:rPr>
          <w:rFonts w:ascii="Times New Roman" w:hAnsi="Times New Roman" w:cs="Times New Roman"/>
          <w:sz w:val="24"/>
          <w:szCs w:val="24"/>
        </w:rPr>
        <w:t xml:space="preserve">Kaip pažymima Lietuvos inovacijų 2010-2020 m. strategijoje, pastaruoju metu šalies mokslinių tyrimų sistema įgijo ekstensyvios plėtros požymių. </w:t>
      </w:r>
      <w:r w:rsidR="00EA71F6" w:rsidRPr="00EC1AB2">
        <w:rPr>
          <w:rFonts w:ascii="Times New Roman" w:hAnsi="Times New Roman" w:cs="Times New Roman"/>
          <w:sz w:val="24"/>
          <w:szCs w:val="24"/>
        </w:rPr>
        <w:t>Anot Gečo, Jakubavičiaus ir kt. (2004) MTEP skirtas finansav</w:t>
      </w:r>
      <w:r w:rsidR="00777460" w:rsidRPr="00EC1AB2">
        <w:rPr>
          <w:rFonts w:ascii="Times New Roman" w:hAnsi="Times New Roman" w:cs="Times New Roman"/>
          <w:sz w:val="24"/>
          <w:szCs w:val="24"/>
        </w:rPr>
        <w:t>imas nėra pakankamai kokybiškai ir efektyviai panaudojamas</w:t>
      </w:r>
      <w:r w:rsidR="00EA71F6" w:rsidRPr="00EC1AB2">
        <w:rPr>
          <w:rFonts w:ascii="Times New Roman" w:hAnsi="Times New Roman" w:cs="Times New Roman"/>
          <w:sz w:val="24"/>
          <w:szCs w:val="24"/>
        </w:rPr>
        <w:t xml:space="preserve">, kitaip tariant, nepakankamai pritaikytas rinkos ekonomikai. </w:t>
      </w:r>
    </w:p>
    <w:p w:rsidR="00413413" w:rsidRPr="00EC1AB2" w:rsidRDefault="00CF2F91"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Verslo išlaidų</w:t>
      </w:r>
      <w:r w:rsidR="00413413" w:rsidRPr="00EC1AB2">
        <w:rPr>
          <w:rFonts w:ascii="Times New Roman" w:hAnsi="Times New Roman" w:cs="Times New Roman"/>
          <w:sz w:val="24"/>
          <w:szCs w:val="24"/>
        </w:rPr>
        <w:t xml:space="preserve"> MT</w:t>
      </w:r>
      <w:r w:rsidR="00E01A15" w:rsidRPr="00EC1AB2">
        <w:rPr>
          <w:rFonts w:ascii="Times New Roman" w:hAnsi="Times New Roman" w:cs="Times New Roman"/>
          <w:sz w:val="24"/>
          <w:szCs w:val="24"/>
        </w:rPr>
        <w:t>E</w:t>
      </w:r>
      <w:r w:rsidRPr="00EC1AB2">
        <w:rPr>
          <w:rFonts w:ascii="Times New Roman" w:hAnsi="Times New Roman" w:cs="Times New Roman"/>
          <w:sz w:val="24"/>
          <w:szCs w:val="24"/>
        </w:rPr>
        <w:t>P santykis su</w:t>
      </w:r>
      <w:r w:rsidR="00413413" w:rsidRPr="00EC1AB2">
        <w:rPr>
          <w:rFonts w:ascii="Times New Roman" w:hAnsi="Times New Roman" w:cs="Times New Roman"/>
          <w:sz w:val="24"/>
          <w:szCs w:val="24"/>
        </w:rPr>
        <w:t xml:space="preserve"> BVP</w:t>
      </w:r>
      <w:r w:rsidR="00B81C0B" w:rsidRPr="00EC1AB2">
        <w:rPr>
          <w:rFonts w:ascii="Times New Roman" w:hAnsi="Times New Roman" w:cs="Times New Roman"/>
          <w:sz w:val="24"/>
          <w:szCs w:val="24"/>
        </w:rPr>
        <w:t xml:space="preserve"> prikla</w:t>
      </w:r>
      <w:r w:rsidR="0030513C" w:rsidRPr="00EC1AB2">
        <w:rPr>
          <w:rFonts w:ascii="Times New Roman" w:hAnsi="Times New Roman" w:cs="Times New Roman"/>
          <w:sz w:val="24"/>
          <w:szCs w:val="24"/>
        </w:rPr>
        <w:t>u</w:t>
      </w:r>
      <w:r w:rsidR="0000106D" w:rsidRPr="00EC1AB2">
        <w:rPr>
          <w:rFonts w:ascii="Times New Roman" w:hAnsi="Times New Roman" w:cs="Times New Roman"/>
          <w:sz w:val="24"/>
          <w:szCs w:val="24"/>
        </w:rPr>
        <w:t xml:space="preserve">so </w:t>
      </w:r>
      <w:r w:rsidR="00B81C0B" w:rsidRPr="00EC1AB2">
        <w:rPr>
          <w:rFonts w:ascii="Times New Roman" w:hAnsi="Times New Roman" w:cs="Times New Roman"/>
          <w:sz w:val="24"/>
          <w:szCs w:val="24"/>
        </w:rPr>
        <w:t xml:space="preserve">nuolatinės veiklos </w:t>
      </w:r>
      <w:r w:rsidR="002F0C84" w:rsidRPr="00EC1AB2">
        <w:rPr>
          <w:rFonts w:ascii="Times New Roman" w:hAnsi="Times New Roman" w:cs="Times New Roman"/>
          <w:sz w:val="24"/>
          <w:szCs w:val="24"/>
        </w:rPr>
        <w:t xml:space="preserve">rodiklių </w:t>
      </w:r>
      <w:r w:rsidR="00B81C0B" w:rsidRPr="00EC1AB2">
        <w:rPr>
          <w:rFonts w:ascii="Times New Roman" w:hAnsi="Times New Roman" w:cs="Times New Roman"/>
          <w:sz w:val="24"/>
          <w:szCs w:val="24"/>
        </w:rPr>
        <w:t>kategorijai</w:t>
      </w:r>
      <w:r w:rsidR="005F7991" w:rsidRPr="00EC1AB2">
        <w:rPr>
          <w:rFonts w:ascii="Times New Roman" w:hAnsi="Times New Roman" w:cs="Times New Roman"/>
          <w:sz w:val="24"/>
          <w:szCs w:val="24"/>
        </w:rPr>
        <w:t xml:space="preserve"> (</w:t>
      </w:r>
      <w:r w:rsidR="005F7991" w:rsidRPr="00EC1AB2">
        <w:rPr>
          <w:rFonts w:ascii="Times New Roman" w:hAnsi="Times New Roman" w:cs="Times New Roman"/>
          <w:b/>
          <w:sz w:val="24"/>
          <w:szCs w:val="24"/>
        </w:rPr>
        <w:t>nuolatinių i</w:t>
      </w:r>
      <w:r w:rsidR="00DC1D85" w:rsidRPr="00EC1AB2">
        <w:rPr>
          <w:rFonts w:ascii="Times New Roman" w:hAnsi="Times New Roman" w:cs="Times New Roman"/>
          <w:b/>
          <w:sz w:val="24"/>
          <w:szCs w:val="24"/>
        </w:rPr>
        <w:t>n</w:t>
      </w:r>
      <w:r w:rsidR="005F7991" w:rsidRPr="00EC1AB2">
        <w:rPr>
          <w:rFonts w:ascii="Times New Roman" w:hAnsi="Times New Roman" w:cs="Times New Roman"/>
          <w:b/>
          <w:sz w:val="24"/>
          <w:szCs w:val="24"/>
        </w:rPr>
        <w:t>vesticijų</w:t>
      </w:r>
      <w:r w:rsidR="00412CD6" w:rsidRPr="00EC1AB2">
        <w:rPr>
          <w:rFonts w:ascii="Times New Roman" w:hAnsi="Times New Roman" w:cs="Times New Roman"/>
          <w:b/>
          <w:sz w:val="24"/>
          <w:szCs w:val="24"/>
        </w:rPr>
        <w:t xml:space="preserve"> rodiklių grupei</w:t>
      </w:r>
      <w:r w:rsidR="00412CD6" w:rsidRPr="00EC1AB2">
        <w:rPr>
          <w:rFonts w:ascii="Times New Roman" w:hAnsi="Times New Roman" w:cs="Times New Roman"/>
          <w:sz w:val="24"/>
          <w:szCs w:val="24"/>
        </w:rPr>
        <w:t>)</w:t>
      </w:r>
      <w:r w:rsidR="00B81C0B" w:rsidRPr="00EC1AB2">
        <w:rPr>
          <w:rFonts w:ascii="Times New Roman" w:hAnsi="Times New Roman" w:cs="Times New Roman"/>
          <w:sz w:val="24"/>
          <w:szCs w:val="24"/>
        </w:rPr>
        <w:t xml:space="preserve">. </w:t>
      </w:r>
      <w:r w:rsidR="002F0C84" w:rsidRPr="00EC1AB2">
        <w:rPr>
          <w:rFonts w:ascii="Times New Roman" w:hAnsi="Times New Roman" w:cs="Times New Roman"/>
          <w:sz w:val="24"/>
          <w:szCs w:val="24"/>
        </w:rPr>
        <w:t>Kaip m</w:t>
      </w:r>
      <w:r w:rsidR="00797029" w:rsidRPr="00EC1AB2">
        <w:rPr>
          <w:rFonts w:ascii="Times New Roman" w:hAnsi="Times New Roman" w:cs="Times New Roman"/>
          <w:sz w:val="24"/>
          <w:szCs w:val="24"/>
        </w:rPr>
        <w:t xml:space="preserve">inėta, </w:t>
      </w:r>
      <w:r w:rsidR="00D32782" w:rsidRPr="00EC1AB2">
        <w:rPr>
          <w:rFonts w:ascii="Times New Roman" w:hAnsi="Times New Roman" w:cs="Times New Roman"/>
          <w:sz w:val="24"/>
          <w:szCs w:val="24"/>
        </w:rPr>
        <w:t xml:space="preserve">verslo </w:t>
      </w:r>
      <w:r w:rsidR="0030513C" w:rsidRPr="00EC1AB2">
        <w:rPr>
          <w:rFonts w:ascii="Times New Roman" w:hAnsi="Times New Roman" w:cs="Times New Roman"/>
          <w:sz w:val="24"/>
          <w:szCs w:val="24"/>
        </w:rPr>
        <w:t>įmonių sektoriaus</w:t>
      </w:r>
      <w:r w:rsidR="00797029" w:rsidRPr="00EC1AB2">
        <w:rPr>
          <w:rFonts w:ascii="Times New Roman" w:hAnsi="Times New Roman" w:cs="Times New Roman"/>
          <w:sz w:val="24"/>
          <w:szCs w:val="24"/>
        </w:rPr>
        <w:t xml:space="preserve"> išlaidų ir BVP santykis </w:t>
      </w:r>
      <w:r w:rsidR="0000106D" w:rsidRPr="00EC1AB2">
        <w:rPr>
          <w:rFonts w:ascii="Times New Roman" w:hAnsi="Times New Roman" w:cs="Times New Roman"/>
          <w:sz w:val="24"/>
          <w:szCs w:val="24"/>
        </w:rPr>
        <w:t xml:space="preserve">Lietuvoje </w:t>
      </w:r>
      <w:r w:rsidR="004B34A5" w:rsidRPr="00EC1AB2">
        <w:rPr>
          <w:rFonts w:ascii="Times New Roman" w:hAnsi="Times New Roman" w:cs="Times New Roman"/>
          <w:sz w:val="24"/>
          <w:szCs w:val="24"/>
        </w:rPr>
        <w:t xml:space="preserve">yra labai žemas, tačiau nominalia išraiška </w:t>
      </w:r>
      <w:r w:rsidR="009C4F26" w:rsidRPr="00EC1AB2">
        <w:rPr>
          <w:rFonts w:ascii="Times New Roman" w:hAnsi="Times New Roman" w:cs="Times New Roman"/>
          <w:sz w:val="24"/>
          <w:szCs w:val="24"/>
        </w:rPr>
        <w:t>verslo</w:t>
      </w:r>
      <w:r w:rsidR="004B34A5" w:rsidRPr="00EC1AB2">
        <w:rPr>
          <w:rFonts w:ascii="Times New Roman" w:hAnsi="Times New Roman" w:cs="Times New Roman"/>
          <w:sz w:val="24"/>
          <w:szCs w:val="24"/>
        </w:rPr>
        <w:t xml:space="preserve"> investicijos šioje srityje</w:t>
      </w:r>
      <w:r w:rsidR="00BF7D6C" w:rsidRPr="00EC1AB2">
        <w:rPr>
          <w:rFonts w:ascii="Times New Roman" w:hAnsi="Times New Roman" w:cs="Times New Roman"/>
          <w:sz w:val="24"/>
          <w:szCs w:val="24"/>
        </w:rPr>
        <w:t xml:space="preserve"> visu pateiktu</w:t>
      </w:r>
      <w:r w:rsidR="0030513C" w:rsidRPr="00EC1AB2">
        <w:rPr>
          <w:rFonts w:ascii="Times New Roman" w:hAnsi="Times New Roman" w:cs="Times New Roman"/>
          <w:sz w:val="24"/>
          <w:szCs w:val="24"/>
        </w:rPr>
        <w:t xml:space="preserve"> </w:t>
      </w:r>
      <w:r w:rsidR="00BF7D6C" w:rsidRPr="00EC1AB2">
        <w:rPr>
          <w:rFonts w:ascii="Times New Roman" w:hAnsi="Times New Roman" w:cs="Times New Roman"/>
          <w:sz w:val="24"/>
          <w:szCs w:val="24"/>
        </w:rPr>
        <w:t>laikotarpiu</w:t>
      </w:r>
      <w:r w:rsidR="005915B6" w:rsidRPr="00EC1AB2">
        <w:rPr>
          <w:rFonts w:ascii="Times New Roman" w:hAnsi="Times New Roman" w:cs="Times New Roman"/>
          <w:sz w:val="24"/>
          <w:szCs w:val="24"/>
        </w:rPr>
        <w:t xml:space="preserve"> turėjo tendenciją didėti</w:t>
      </w:r>
      <w:r w:rsidR="004B34A5" w:rsidRPr="00EC1AB2">
        <w:rPr>
          <w:rFonts w:ascii="Times New Roman" w:hAnsi="Times New Roman" w:cs="Times New Roman"/>
          <w:sz w:val="24"/>
          <w:szCs w:val="24"/>
        </w:rPr>
        <w:t xml:space="preserve"> (žr. </w:t>
      </w:r>
      <w:r w:rsidR="00846CC0" w:rsidRPr="00EC1AB2">
        <w:rPr>
          <w:rFonts w:ascii="Times New Roman" w:hAnsi="Times New Roman" w:cs="Times New Roman"/>
          <w:sz w:val="24"/>
          <w:szCs w:val="24"/>
        </w:rPr>
        <w:t>15</w:t>
      </w:r>
      <w:r w:rsidR="00BE65AC" w:rsidRPr="00EC1AB2">
        <w:rPr>
          <w:rFonts w:ascii="Times New Roman" w:hAnsi="Times New Roman" w:cs="Times New Roman"/>
          <w:sz w:val="24"/>
          <w:szCs w:val="24"/>
        </w:rPr>
        <w:t xml:space="preserve"> pav.).</w:t>
      </w:r>
      <w:r w:rsidR="00495E7F" w:rsidRPr="00EC1AB2">
        <w:rPr>
          <w:rFonts w:ascii="Times New Roman" w:hAnsi="Times New Roman" w:cs="Times New Roman"/>
          <w:sz w:val="24"/>
          <w:szCs w:val="24"/>
        </w:rPr>
        <w:t xml:space="preserve"> </w:t>
      </w:r>
    </w:p>
    <w:p w:rsidR="000D2AC2" w:rsidRPr="00EC1AB2" w:rsidRDefault="000D2AC2" w:rsidP="007A02A8">
      <w:pPr>
        <w:autoSpaceDE w:val="0"/>
        <w:autoSpaceDN w:val="0"/>
        <w:adjustRightInd w:val="0"/>
        <w:spacing w:after="0" w:line="360" w:lineRule="auto"/>
        <w:ind w:firstLine="567"/>
        <w:jc w:val="both"/>
        <w:rPr>
          <w:rFonts w:ascii="Times New Roman" w:hAnsi="Times New Roman" w:cs="Times New Roman"/>
          <w:sz w:val="24"/>
          <w:szCs w:val="24"/>
        </w:rPr>
      </w:pPr>
    </w:p>
    <w:p w:rsidR="000D2AC2" w:rsidRPr="00EC1AB2" w:rsidRDefault="000D2AC2" w:rsidP="007A02A8">
      <w:pPr>
        <w:autoSpaceDE w:val="0"/>
        <w:autoSpaceDN w:val="0"/>
        <w:adjustRightInd w:val="0"/>
        <w:spacing w:after="0" w:line="360" w:lineRule="auto"/>
        <w:ind w:firstLine="567"/>
        <w:jc w:val="both"/>
        <w:rPr>
          <w:rFonts w:ascii="Times New Roman" w:hAnsi="Times New Roman" w:cs="Times New Roman"/>
          <w:sz w:val="24"/>
          <w:szCs w:val="24"/>
        </w:rPr>
      </w:pPr>
    </w:p>
    <w:p w:rsidR="008E23FB" w:rsidRPr="00EC1AB2" w:rsidRDefault="008E23FB" w:rsidP="007A02A8">
      <w:pPr>
        <w:autoSpaceDE w:val="0"/>
        <w:autoSpaceDN w:val="0"/>
        <w:adjustRightInd w:val="0"/>
        <w:spacing w:after="0" w:line="360" w:lineRule="auto"/>
        <w:ind w:firstLine="567"/>
        <w:jc w:val="both"/>
        <w:rPr>
          <w:rFonts w:ascii="Times New Roman" w:hAnsi="Times New Roman" w:cs="Times New Roman"/>
          <w:sz w:val="24"/>
          <w:szCs w:val="24"/>
        </w:rPr>
      </w:pPr>
    </w:p>
    <w:p w:rsidR="008E23FB" w:rsidRPr="00EC1AB2" w:rsidRDefault="008E23FB" w:rsidP="007A02A8">
      <w:pPr>
        <w:autoSpaceDE w:val="0"/>
        <w:autoSpaceDN w:val="0"/>
        <w:adjustRightInd w:val="0"/>
        <w:spacing w:after="0" w:line="360" w:lineRule="auto"/>
        <w:ind w:firstLine="567"/>
        <w:jc w:val="both"/>
        <w:rPr>
          <w:rFonts w:ascii="Times New Roman" w:hAnsi="Times New Roman" w:cs="Times New Roman"/>
          <w:sz w:val="24"/>
          <w:szCs w:val="24"/>
        </w:rPr>
      </w:pPr>
    </w:p>
    <w:p w:rsidR="008E23FB" w:rsidRPr="00EC1AB2" w:rsidRDefault="008E23FB" w:rsidP="007A02A8">
      <w:pPr>
        <w:autoSpaceDE w:val="0"/>
        <w:autoSpaceDN w:val="0"/>
        <w:adjustRightInd w:val="0"/>
        <w:spacing w:after="0" w:line="360" w:lineRule="auto"/>
        <w:jc w:val="both"/>
        <w:rPr>
          <w:rFonts w:ascii="Times New Roman" w:hAnsi="Times New Roman" w:cs="Times New Roman"/>
          <w:sz w:val="24"/>
          <w:szCs w:val="24"/>
        </w:rPr>
      </w:pPr>
    </w:p>
    <w:p w:rsidR="008E23FB" w:rsidRPr="00EC1AB2" w:rsidRDefault="008E23FB" w:rsidP="007A02A8">
      <w:pPr>
        <w:autoSpaceDE w:val="0"/>
        <w:autoSpaceDN w:val="0"/>
        <w:adjustRightInd w:val="0"/>
        <w:spacing w:after="0" w:line="360" w:lineRule="auto"/>
        <w:ind w:firstLine="567"/>
        <w:jc w:val="both"/>
        <w:rPr>
          <w:rFonts w:ascii="Times New Roman" w:hAnsi="Times New Roman" w:cs="Times New Roman"/>
          <w:sz w:val="24"/>
          <w:szCs w:val="24"/>
        </w:rPr>
      </w:pPr>
    </w:p>
    <w:p w:rsidR="0076169F" w:rsidRPr="00EC1AB2" w:rsidRDefault="004C71E7" w:rsidP="007A02A8">
      <w:pPr>
        <w:autoSpaceDE w:val="0"/>
        <w:autoSpaceDN w:val="0"/>
        <w:adjustRightInd w:val="0"/>
        <w:spacing w:after="0" w:line="360" w:lineRule="auto"/>
        <w:ind w:firstLine="1296"/>
        <w:jc w:val="both"/>
        <w:rPr>
          <w:rFonts w:ascii="Times New Roman" w:hAnsi="Times New Roman" w:cs="Times New Roman"/>
          <w:sz w:val="24"/>
          <w:szCs w:val="24"/>
        </w:rPr>
      </w:pPr>
      <w:r w:rsidRPr="00EC1AB2">
        <w:rPr>
          <w:rFonts w:ascii="Times New Roman" w:hAnsi="Times New Roman" w:cs="Times New Roman"/>
          <w:noProof/>
          <w:lang w:eastAsia="lt-LT"/>
        </w:rPr>
        <w:drawing>
          <wp:anchor distT="0" distB="0" distL="114300" distR="114300" simplePos="0" relativeHeight="251743232" behindDoc="0" locked="0" layoutInCell="1" allowOverlap="1" wp14:anchorId="4ABB1810" wp14:editId="0696FBC7">
            <wp:simplePos x="0" y="0"/>
            <wp:positionH relativeFrom="column">
              <wp:posOffset>710565</wp:posOffset>
            </wp:positionH>
            <wp:positionV relativeFrom="paragraph">
              <wp:posOffset>-365760</wp:posOffset>
            </wp:positionV>
            <wp:extent cx="4162425" cy="2857500"/>
            <wp:effectExtent l="0" t="0" r="0" b="0"/>
            <wp:wrapSquare wrapText="bothSides"/>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14:sizeRelH relativeFrom="page">
              <wp14:pctWidth>0</wp14:pctWidth>
            </wp14:sizeRelH>
            <wp14:sizeRelV relativeFrom="page">
              <wp14:pctHeight>0</wp14:pctHeight>
            </wp14:sizeRelV>
          </wp:anchor>
        </w:drawing>
      </w:r>
    </w:p>
    <w:p w:rsidR="0076169F" w:rsidRPr="00EC1AB2" w:rsidRDefault="0076169F" w:rsidP="007A02A8">
      <w:pPr>
        <w:autoSpaceDE w:val="0"/>
        <w:autoSpaceDN w:val="0"/>
        <w:adjustRightInd w:val="0"/>
        <w:spacing w:after="0" w:line="360" w:lineRule="auto"/>
        <w:ind w:firstLine="1296"/>
        <w:jc w:val="both"/>
        <w:rPr>
          <w:rFonts w:ascii="Times New Roman" w:hAnsi="Times New Roman" w:cs="Times New Roman"/>
          <w:sz w:val="24"/>
          <w:szCs w:val="24"/>
        </w:rPr>
      </w:pPr>
    </w:p>
    <w:p w:rsidR="00950562" w:rsidRPr="00EC1AB2" w:rsidRDefault="00950562" w:rsidP="007A02A8">
      <w:pPr>
        <w:autoSpaceDE w:val="0"/>
        <w:autoSpaceDN w:val="0"/>
        <w:adjustRightInd w:val="0"/>
        <w:spacing w:after="0" w:line="360" w:lineRule="auto"/>
        <w:ind w:firstLine="1296"/>
        <w:jc w:val="both"/>
        <w:rPr>
          <w:rFonts w:ascii="Times New Roman" w:hAnsi="Times New Roman" w:cs="Times New Roman"/>
          <w:sz w:val="24"/>
          <w:szCs w:val="24"/>
        </w:rPr>
      </w:pPr>
    </w:p>
    <w:p w:rsidR="00950562" w:rsidRPr="00EC1AB2" w:rsidRDefault="00950562" w:rsidP="007A02A8">
      <w:pPr>
        <w:autoSpaceDE w:val="0"/>
        <w:autoSpaceDN w:val="0"/>
        <w:adjustRightInd w:val="0"/>
        <w:spacing w:after="0" w:line="360" w:lineRule="auto"/>
        <w:ind w:firstLine="1296"/>
        <w:jc w:val="both"/>
        <w:rPr>
          <w:rFonts w:ascii="Times New Roman" w:hAnsi="Times New Roman" w:cs="Times New Roman"/>
          <w:sz w:val="24"/>
          <w:szCs w:val="24"/>
        </w:rPr>
      </w:pPr>
    </w:p>
    <w:p w:rsidR="00950562" w:rsidRPr="00EC1AB2" w:rsidRDefault="00950562" w:rsidP="007A02A8">
      <w:pPr>
        <w:autoSpaceDE w:val="0"/>
        <w:autoSpaceDN w:val="0"/>
        <w:adjustRightInd w:val="0"/>
        <w:spacing w:after="0" w:line="360" w:lineRule="auto"/>
        <w:ind w:firstLine="1296"/>
        <w:jc w:val="both"/>
        <w:rPr>
          <w:rFonts w:ascii="Times New Roman" w:hAnsi="Times New Roman" w:cs="Times New Roman"/>
          <w:sz w:val="24"/>
          <w:szCs w:val="24"/>
        </w:rPr>
      </w:pPr>
    </w:p>
    <w:p w:rsidR="00950562" w:rsidRPr="00EC1AB2" w:rsidRDefault="00950562" w:rsidP="007A02A8">
      <w:pPr>
        <w:autoSpaceDE w:val="0"/>
        <w:autoSpaceDN w:val="0"/>
        <w:adjustRightInd w:val="0"/>
        <w:spacing w:after="0" w:line="360" w:lineRule="auto"/>
        <w:ind w:firstLine="1296"/>
        <w:jc w:val="both"/>
        <w:rPr>
          <w:rFonts w:ascii="Times New Roman" w:hAnsi="Times New Roman" w:cs="Times New Roman"/>
          <w:sz w:val="24"/>
          <w:szCs w:val="24"/>
        </w:rPr>
      </w:pPr>
    </w:p>
    <w:p w:rsidR="00950562" w:rsidRPr="00EC1AB2" w:rsidRDefault="00950562" w:rsidP="007A02A8">
      <w:pPr>
        <w:autoSpaceDE w:val="0"/>
        <w:autoSpaceDN w:val="0"/>
        <w:adjustRightInd w:val="0"/>
        <w:spacing w:after="0" w:line="360" w:lineRule="auto"/>
        <w:ind w:firstLine="1296"/>
        <w:jc w:val="both"/>
        <w:rPr>
          <w:rFonts w:ascii="Times New Roman" w:hAnsi="Times New Roman" w:cs="Times New Roman"/>
          <w:sz w:val="24"/>
          <w:szCs w:val="24"/>
        </w:rPr>
      </w:pPr>
    </w:p>
    <w:p w:rsidR="00950562" w:rsidRPr="00EC1AB2" w:rsidRDefault="00950562" w:rsidP="007A02A8">
      <w:pPr>
        <w:autoSpaceDE w:val="0"/>
        <w:autoSpaceDN w:val="0"/>
        <w:adjustRightInd w:val="0"/>
        <w:spacing w:after="0" w:line="360" w:lineRule="auto"/>
        <w:ind w:firstLine="1296"/>
        <w:jc w:val="both"/>
        <w:rPr>
          <w:rFonts w:ascii="Times New Roman" w:hAnsi="Times New Roman" w:cs="Times New Roman"/>
          <w:sz w:val="24"/>
          <w:szCs w:val="24"/>
        </w:rPr>
      </w:pPr>
    </w:p>
    <w:p w:rsidR="008E23FB" w:rsidRPr="00EC1AB2" w:rsidRDefault="008E23FB" w:rsidP="007A02A8">
      <w:pPr>
        <w:autoSpaceDE w:val="0"/>
        <w:autoSpaceDN w:val="0"/>
        <w:adjustRightInd w:val="0"/>
        <w:spacing w:after="0" w:line="360" w:lineRule="auto"/>
        <w:ind w:firstLine="1296"/>
        <w:jc w:val="both"/>
        <w:rPr>
          <w:rFonts w:ascii="Times New Roman" w:hAnsi="Times New Roman" w:cs="Times New Roman"/>
          <w:b/>
          <w:sz w:val="20"/>
          <w:szCs w:val="20"/>
        </w:rPr>
      </w:pPr>
    </w:p>
    <w:p w:rsidR="008E23FB" w:rsidRPr="00EC1AB2" w:rsidRDefault="008E23FB" w:rsidP="007A02A8">
      <w:pPr>
        <w:autoSpaceDE w:val="0"/>
        <w:autoSpaceDN w:val="0"/>
        <w:adjustRightInd w:val="0"/>
        <w:spacing w:after="0" w:line="360" w:lineRule="auto"/>
        <w:ind w:firstLine="1296"/>
        <w:jc w:val="both"/>
        <w:rPr>
          <w:rFonts w:ascii="Times New Roman" w:hAnsi="Times New Roman" w:cs="Times New Roman"/>
          <w:b/>
          <w:sz w:val="20"/>
          <w:szCs w:val="20"/>
        </w:rPr>
      </w:pPr>
    </w:p>
    <w:p w:rsidR="0076169F" w:rsidRPr="00EC1AB2" w:rsidRDefault="0076169F" w:rsidP="007A02A8">
      <w:pPr>
        <w:autoSpaceDE w:val="0"/>
        <w:autoSpaceDN w:val="0"/>
        <w:adjustRightInd w:val="0"/>
        <w:spacing w:after="0" w:line="360" w:lineRule="auto"/>
        <w:ind w:firstLine="567"/>
        <w:jc w:val="both"/>
        <w:rPr>
          <w:rFonts w:ascii="Times New Roman" w:hAnsi="Times New Roman" w:cs="Times New Roman"/>
          <w:sz w:val="20"/>
          <w:szCs w:val="20"/>
        </w:rPr>
      </w:pPr>
      <w:r w:rsidRPr="00EC1AB2">
        <w:rPr>
          <w:rFonts w:ascii="Times New Roman" w:hAnsi="Times New Roman" w:cs="Times New Roman"/>
          <w:b/>
          <w:sz w:val="20"/>
          <w:szCs w:val="20"/>
        </w:rPr>
        <w:t>Šaltinis:</w:t>
      </w:r>
      <w:r w:rsidRPr="00EC1AB2">
        <w:rPr>
          <w:rFonts w:ascii="Times New Roman" w:hAnsi="Times New Roman" w:cs="Times New Roman"/>
          <w:sz w:val="20"/>
          <w:szCs w:val="20"/>
        </w:rPr>
        <w:t xml:space="preserve"> sudaryta pagal Statistikos departamento duomenis</w:t>
      </w:r>
    </w:p>
    <w:p w:rsidR="00552661" w:rsidRPr="00EC1AB2" w:rsidRDefault="00846CC0" w:rsidP="00A03476">
      <w:pPr>
        <w:pStyle w:val="Heading5"/>
        <w:spacing w:before="0"/>
        <w:jc w:val="center"/>
        <w:rPr>
          <w:rFonts w:ascii="Times New Roman" w:hAnsi="Times New Roman" w:cs="Times New Roman"/>
          <w:b/>
          <w:color w:val="auto"/>
          <w:sz w:val="24"/>
          <w:szCs w:val="24"/>
        </w:rPr>
      </w:pPr>
      <w:bookmarkStart w:id="152" w:name="_Toc320761931"/>
      <w:bookmarkStart w:id="153" w:name="_Toc320762166"/>
      <w:bookmarkStart w:id="154" w:name="_Toc320762568"/>
      <w:r w:rsidRPr="00EC1AB2">
        <w:rPr>
          <w:rFonts w:ascii="Times New Roman" w:hAnsi="Times New Roman" w:cs="Times New Roman"/>
          <w:color w:val="auto"/>
          <w:sz w:val="24"/>
          <w:szCs w:val="24"/>
        </w:rPr>
        <w:t>15</w:t>
      </w:r>
      <w:r w:rsidR="009B6806" w:rsidRPr="00EC1AB2">
        <w:rPr>
          <w:rFonts w:ascii="Times New Roman" w:hAnsi="Times New Roman" w:cs="Times New Roman"/>
          <w:color w:val="auto"/>
          <w:sz w:val="24"/>
          <w:szCs w:val="24"/>
        </w:rPr>
        <w:t xml:space="preserve"> pav.</w:t>
      </w:r>
      <w:r w:rsidR="009B6806" w:rsidRPr="00EC1AB2">
        <w:rPr>
          <w:rFonts w:ascii="Times New Roman" w:hAnsi="Times New Roman" w:cs="Times New Roman"/>
          <w:b/>
          <w:color w:val="auto"/>
          <w:sz w:val="24"/>
          <w:szCs w:val="24"/>
        </w:rPr>
        <w:t xml:space="preserve"> Verslo</w:t>
      </w:r>
      <w:r w:rsidR="008E2F59" w:rsidRPr="00EC1AB2">
        <w:rPr>
          <w:rFonts w:ascii="Times New Roman" w:hAnsi="Times New Roman" w:cs="Times New Roman"/>
          <w:b/>
          <w:color w:val="auto"/>
          <w:sz w:val="24"/>
          <w:szCs w:val="24"/>
        </w:rPr>
        <w:t xml:space="preserve"> įmonių sektoriaus išlaidos moksliniams tyrimams ir eksperimentinei plėtrai</w:t>
      </w:r>
      <w:r w:rsidR="009B6806" w:rsidRPr="00EC1AB2">
        <w:rPr>
          <w:rFonts w:ascii="Times New Roman" w:hAnsi="Times New Roman" w:cs="Times New Roman"/>
          <w:b/>
          <w:color w:val="auto"/>
          <w:sz w:val="24"/>
          <w:szCs w:val="24"/>
        </w:rPr>
        <w:t xml:space="preserve"> 2002-2010, mln. Lt</w:t>
      </w:r>
      <w:bookmarkEnd w:id="152"/>
      <w:bookmarkEnd w:id="153"/>
      <w:bookmarkEnd w:id="154"/>
    </w:p>
    <w:p w:rsidR="009D2482" w:rsidRPr="00EC1AB2" w:rsidRDefault="009D2482" w:rsidP="00A03476">
      <w:pPr>
        <w:pStyle w:val="Heading5"/>
        <w:spacing w:before="0"/>
        <w:jc w:val="center"/>
        <w:rPr>
          <w:rFonts w:ascii="Times New Roman" w:hAnsi="Times New Roman" w:cs="Times New Roman"/>
          <w:b/>
          <w:color w:val="auto"/>
          <w:sz w:val="24"/>
          <w:szCs w:val="24"/>
        </w:rPr>
      </w:pPr>
    </w:p>
    <w:p w:rsidR="008C3934" w:rsidRPr="00EC1AB2" w:rsidRDefault="00552661" w:rsidP="00A03476">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Kaip matyti iš </w:t>
      </w:r>
      <w:r w:rsidR="00846CC0" w:rsidRPr="00EC1AB2">
        <w:rPr>
          <w:rFonts w:ascii="Times New Roman" w:hAnsi="Times New Roman" w:cs="Times New Roman"/>
          <w:sz w:val="24"/>
          <w:szCs w:val="24"/>
        </w:rPr>
        <w:t>15</w:t>
      </w:r>
      <w:r w:rsidRPr="00EC1AB2">
        <w:rPr>
          <w:rFonts w:ascii="Times New Roman" w:hAnsi="Times New Roman" w:cs="Times New Roman"/>
          <w:sz w:val="24"/>
          <w:szCs w:val="24"/>
        </w:rPr>
        <w:t xml:space="preserve"> pav. privataus sektoriaus subjektų </w:t>
      </w:r>
      <w:r w:rsidR="00CE3288" w:rsidRPr="00EC1AB2">
        <w:rPr>
          <w:rFonts w:ascii="Times New Roman" w:hAnsi="Times New Roman" w:cs="Times New Roman"/>
          <w:sz w:val="24"/>
          <w:szCs w:val="24"/>
        </w:rPr>
        <w:t xml:space="preserve">išlaidos nuo 2002 m. iki 2010 m. </w:t>
      </w:r>
      <w:r w:rsidR="00EB2523" w:rsidRPr="00EC1AB2">
        <w:rPr>
          <w:rFonts w:ascii="Times New Roman" w:hAnsi="Times New Roman" w:cs="Times New Roman"/>
          <w:sz w:val="24"/>
          <w:szCs w:val="24"/>
        </w:rPr>
        <w:t>MTEP</w:t>
      </w:r>
      <w:r w:rsidR="00792243" w:rsidRPr="00EC1AB2">
        <w:rPr>
          <w:rFonts w:ascii="Times New Roman" w:hAnsi="Times New Roman" w:cs="Times New Roman"/>
          <w:sz w:val="24"/>
          <w:szCs w:val="24"/>
        </w:rPr>
        <w:t xml:space="preserve"> augo</w:t>
      </w:r>
      <w:r w:rsidR="00C95BFE" w:rsidRPr="00EC1AB2">
        <w:rPr>
          <w:rFonts w:ascii="Times New Roman" w:hAnsi="Times New Roman" w:cs="Times New Roman"/>
          <w:sz w:val="24"/>
          <w:szCs w:val="24"/>
        </w:rPr>
        <w:t>, tači</w:t>
      </w:r>
      <w:r w:rsidR="00792243" w:rsidRPr="00EC1AB2">
        <w:rPr>
          <w:rFonts w:ascii="Times New Roman" w:hAnsi="Times New Roman" w:cs="Times New Roman"/>
          <w:sz w:val="24"/>
          <w:szCs w:val="24"/>
        </w:rPr>
        <w:t xml:space="preserve">au </w:t>
      </w:r>
      <w:r w:rsidR="00CE3288" w:rsidRPr="00EC1AB2">
        <w:rPr>
          <w:rFonts w:ascii="Times New Roman" w:hAnsi="Times New Roman" w:cs="Times New Roman"/>
          <w:sz w:val="24"/>
          <w:szCs w:val="24"/>
        </w:rPr>
        <w:t xml:space="preserve">vertinant santykį tarp </w:t>
      </w:r>
      <w:r w:rsidR="00EB2523" w:rsidRPr="00EC1AB2">
        <w:rPr>
          <w:rFonts w:ascii="Times New Roman" w:hAnsi="Times New Roman" w:cs="Times New Roman"/>
          <w:sz w:val="24"/>
          <w:szCs w:val="24"/>
        </w:rPr>
        <w:t xml:space="preserve">investicijų šioje srityje ir BVP galima pastebėti, kad </w:t>
      </w:r>
      <w:r w:rsidR="00792243" w:rsidRPr="00EC1AB2">
        <w:rPr>
          <w:rFonts w:ascii="Times New Roman" w:hAnsi="Times New Roman" w:cs="Times New Roman"/>
          <w:sz w:val="24"/>
          <w:szCs w:val="24"/>
        </w:rPr>
        <w:t>augimas nėra</w:t>
      </w:r>
      <w:r w:rsidR="00C95BFE" w:rsidRPr="00EC1AB2">
        <w:rPr>
          <w:rFonts w:ascii="Times New Roman" w:hAnsi="Times New Roman" w:cs="Times New Roman"/>
          <w:sz w:val="24"/>
          <w:szCs w:val="24"/>
        </w:rPr>
        <w:t xml:space="preserve"> pakankama</w:t>
      </w:r>
      <w:r w:rsidR="00CC69E8" w:rsidRPr="00EC1AB2">
        <w:rPr>
          <w:rFonts w:ascii="Times New Roman" w:hAnsi="Times New Roman" w:cs="Times New Roman"/>
          <w:sz w:val="24"/>
          <w:szCs w:val="24"/>
        </w:rPr>
        <w:t>s</w:t>
      </w:r>
      <w:r w:rsidR="00525B27" w:rsidRPr="00EC1AB2">
        <w:rPr>
          <w:rFonts w:ascii="Times New Roman" w:hAnsi="Times New Roman" w:cs="Times New Roman"/>
          <w:sz w:val="24"/>
          <w:szCs w:val="24"/>
        </w:rPr>
        <w:t>. V</w:t>
      </w:r>
      <w:r w:rsidR="008C3934" w:rsidRPr="00EC1AB2">
        <w:rPr>
          <w:rFonts w:ascii="Times New Roman" w:hAnsi="Times New Roman" w:cs="Times New Roman"/>
          <w:sz w:val="24"/>
          <w:szCs w:val="24"/>
        </w:rPr>
        <w:t xml:space="preserve">erta paminėti, kad Lietuvos įmonės inovacijoms </w:t>
      </w:r>
      <w:r w:rsidR="00B974FC" w:rsidRPr="00EC1AB2">
        <w:rPr>
          <w:rFonts w:ascii="Times New Roman" w:hAnsi="Times New Roman" w:cs="Times New Roman"/>
          <w:sz w:val="24"/>
          <w:szCs w:val="24"/>
        </w:rPr>
        <w:t xml:space="preserve">diegti </w:t>
      </w:r>
      <w:r w:rsidR="008C3934" w:rsidRPr="00EC1AB2">
        <w:rPr>
          <w:rFonts w:ascii="Times New Roman" w:hAnsi="Times New Roman" w:cs="Times New Roman"/>
          <w:sz w:val="24"/>
          <w:szCs w:val="24"/>
        </w:rPr>
        <w:t xml:space="preserve">labiau naudoja jau sukurtas žinias (licencijų, patentų, </w:t>
      </w:r>
      <w:r w:rsidR="008C3934" w:rsidRPr="00EC1AB2">
        <w:rPr>
          <w:rFonts w:ascii="Times New Roman" w:hAnsi="Times New Roman" w:cs="Times New Roman"/>
          <w:i/>
          <w:sz w:val="24"/>
          <w:szCs w:val="24"/>
        </w:rPr>
        <w:t>know-how</w:t>
      </w:r>
      <w:r w:rsidR="008C3934" w:rsidRPr="00EC1AB2">
        <w:rPr>
          <w:rFonts w:ascii="Times New Roman" w:hAnsi="Times New Roman" w:cs="Times New Roman"/>
          <w:sz w:val="24"/>
          <w:szCs w:val="24"/>
        </w:rPr>
        <w:t xml:space="preserve">, integruotas į įrengimus ar kito pavidalo), nes išlaidos ne MTEP inovacijoms procentais nuo apyvartos netgi lenkia ES vidurkį. </w:t>
      </w:r>
    </w:p>
    <w:p w:rsidR="00D659AF" w:rsidRPr="00EC1AB2" w:rsidRDefault="0031140C" w:rsidP="00A03476">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Lietuvos statistikos departamentas kas dvejus metus atlieka įmoni</w:t>
      </w:r>
      <w:r w:rsidR="000C16F4" w:rsidRPr="00EC1AB2">
        <w:rPr>
          <w:rFonts w:ascii="Times New Roman" w:hAnsi="Times New Roman" w:cs="Times New Roman"/>
          <w:sz w:val="24"/>
          <w:szCs w:val="24"/>
        </w:rPr>
        <w:t xml:space="preserve">ų inovacinės veiklos tyrimus. Šie tyrimai pradėti vykdyti nuo 2002 m. </w:t>
      </w:r>
      <w:r w:rsidR="00894C8C" w:rsidRPr="00EC1AB2">
        <w:rPr>
          <w:rFonts w:ascii="Times New Roman" w:hAnsi="Times New Roman" w:cs="Times New Roman"/>
          <w:sz w:val="24"/>
          <w:szCs w:val="24"/>
        </w:rPr>
        <w:t>Visu tir</w:t>
      </w:r>
      <w:r w:rsidR="00A16EE7" w:rsidRPr="00EC1AB2">
        <w:rPr>
          <w:rFonts w:ascii="Times New Roman" w:hAnsi="Times New Roman" w:cs="Times New Roman"/>
          <w:sz w:val="24"/>
          <w:szCs w:val="24"/>
        </w:rPr>
        <w:t xml:space="preserve">tu laikotarpiu </w:t>
      </w:r>
      <w:r w:rsidR="00212905" w:rsidRPr="00EC1AB2">
        <w:rPr>
          <w:rFonts w:ascii="Times New Roman" w:hAnsi="Times New Roman" w:cs="Times New Roman"/>
          <w:sz w:val="24"/>
          <w:szCs w:val="24"/>
        </w:rPr>
        <w:t xml:space="preserve">Lietuvoje </w:t>
      </w:r>
      <w:r w:rsidR="00A16EE7" w:rsidRPr="00EC1AB2">
        <w:rPr>
          <w:rFonts w:ascii="Times New Roman" w:hAnsi="Times New Roman" w:cs="Times New Roman"/>
          <w:sz w:val="24"/>
          <w:szCs w:val="24"/>
        </w:rPr>
        <w:t>inovacinę veikl</w:t>
      </w:r>
      <w:r w:rsidR="00894C8C" w:rsidRPr="00EC1AB2">
        <w:rPr>
          <w:rFonts w:ascii="Times New Roman" w:hAnsi="Times New Roman" w:cs="Times New Roman"/>
          <w:sz w:val="24"/>
          <w:szCs w:val="24"/>
        </w:rPr>
        <w:t>ą vykdančių įmonių s</w:t>
      </w:r>
      <w:r w:rsidR="00A35F7C" w:rsidRPr="00EC1AB2">
        <w:rPr>
          <w:rFonts w:ascii="Times New Roman" w:hAnsi="Times New Roman" w:cs="Times New Roman"/>
          <w:sz w:val="24"/>
          <w:szCs w:val="24"/>
        </w:rPr>
        <w:t>kaičius turėjo tendenciją augti</w:t>
      </w:r>
      <w:r w:rsidR="00A16EE7" w:rsidRPr="00EC1AB2">
        <w:rPr>
          <w:rFonts w:ascii="Times New Roman" w:hAnsi="Times New Roman" w:cs="Times New Roman"/>
          <w:sz w:val="24"/>
          <w:szCs w:val="24"/>
        </w:rPr>
        <w:t xml:space="preserve"> (žr. </w:t>
      </w:r>
      <w:r w:rsidR="00846CC0" w:rsidRPr="00EC1AB2">
        <w:rPr>
          <w:rFonts w:ascii="Times New Roman" w:hAnsi="Times New Roman" w:cs="Times New Roman"/>
          <w:sz w:val="24"/>
          <w:szCs w:val="24"/>
        </w:rPr>
        <w:t>16</w:t>
      </w:r>
      <w:r w:rsidR="00A16EE7" w:rsidRPr="00EC1AB2">
        <w:rPr>
          <w:rFonts w:ascii="Times New Roman" w:hAnsi="Times New Roman" w:cs="Times New Roman"/>
          <w:sz w:val="24"/>
          <w:szCs w:val="24"/>
        </w:rPr>
        <w:t xml:space="preserve"> pav.).</w:t>
      </w:r>
    </w:p>
    <w:p w:rsidR="0010732A" w:rsidRPr="00EC1AB2" w:rsidRDefault="006F6BB1" w:rsidP="007A02A8">
      <w:pPr>
        <w:tabs>
          <w:tab w:val="left" w:pos="6662"/>
        </w:tabs>
        <w:autoSpaceDE w:val="0"/>
        <w:autoSpaceDN w:val="0"/>
        <w:adjustRightInd w:val="0"/>
        <w:spacing w:after="0" w:line="360" w:lineRule="auto"/>
        <w:ind w:firstLine="1296"/>
        <w:jc w:val="both"/>
        <w:rPr>
          <w:rFonts w:ascii="Times New Roman" w:hAnsi="Times New Roman" w:cs="Times New Roman"/>
          <w:sz w:val="24"/>
          <w:szCs w:val="24"/>
        </w:rPr>
      </w:pPr>
      <w:r w:rsidRPr="00EC1AB2">
        <w:rPr>
          <w:rFonts w:ascii="Times New Roman" w:hAnsi="Times New Roman" w:cs="Times New Roman"/>
          <w:noProof/>
          <w:lang w:eastAsia="lt-LT"/>
        </w:rPr>
        <w:drawing>
          <wp:anchor distT="0" distB="0" distL="114300" distR="114300" simplePos="0" relativeHeight="251847680" behindDoc="0" locked="0" layoutInCell="1" allowOverlap="1" wp14:anchorId="6945AC3A" wp14:editId="30ED09FC">
            <wp:simplePos x="0" y="0"/>
            <wp:positionH relativeFrom="column">
              <wp:posOffset>586740</wp:posOffset>
            </wp:positionH>
            <wp:positionV relativeFrom="paragraph">
              <wp:posOffset>139700</wp:posOffset>
            </wp:positionV>
            <wp:extent cx="4572000" cy="2743200"/>
            <wp:effectExtent l="0" t="0" r="0" b="0"/>
            <wp:wrapSquare wrapText="bothSides"/>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14:sizeRelH relativeFrom="page">
              <wp14:pctWidth>0</wp14:pctWidth>
            </wp14:sizeRelH>
            <wp14:sizeRelV relativeFrom="page">
              <wp14:pctHeight>0</wp14:pctHeight>
            </wp14:sizeRelV>
          </wp:anchor>
        </w:drawing>
      </w:r>
      <w:r w:rsidR="007A6C57" w:rsidRPr="00EC1AB2">
        <w:rPr>
          <w:rFonts w:ascii="Times New Roman" w:hAnsi="Times New Roman" w:cs="Times New Roman"/>
          <w:sz w:val="24"/>
          <w:szCs w:val="24"/>
        </w:rPr>
        <w:tab/>
      </w:r>
    </w:p>
    <w:p w:rsidR="00CB2711" w:rsidRPr="00EC1AB2" w:rsidRDefault="00CB2711" w:rsidP="007A02A8">
      <w:pPr>
        <w:autoSpaceDE w:val="0"/>
        <w:autoSpaceDN w:val="0"/>
        <w:adjustRightInd w:val="0"/>
        <w:spacing w:after="0" w:line="360" w:lineRule="auto"/>
        <w:ind w:firstLine="1296"/>
        <w:rPr>
          <w:rFonts w:ascii="Times New Roman" w:hAnsi="Times New Roman" w:cs="Times New Roman"/>
          <w:sz w:val="24"/>
          <w:szCs w:val="24"/>
        </w:rPr>
      </w:pPr>
    </w:p>
    <w:p w:rsidR="006F6BB1" w:rsidRPr="00EC1AB2" w:rsidRDefault="006F6BB1" w:rsidP="007A02A8">
      <w:pPr>
        <w:autoSpaceDE w:val="0"/>
        <w:autoSpaceDN w:val="0"/>
        <w:adjustRightInd w:val="0"/>
        <w:spacing w:after="0" w:line="360" w:lineRule="auto"/>
        <w:ind w:firstLine="1296"/>
        <w:rPr>
          <w:rFonts w:ascii="Times New Roman" w:hAnsi="Times New Roman" w:cs="Times New Roman"/>
          <w:sz w:val="24"/>
          <w:szCs w:val="24"/>
        </w:rPr>
      </w:pPr>
    </w:p>
    <w:p w:rsidR="006F6BB1" w:rsidRPr="00EC1AB2" w:rsidRDefault="006F6BB1" w:rsidP="007A02A8">
      <w:pPr>
        <w:autoSpaceDE w:val="0"/>
        <w:autoSpaceDN w:val="0"/>
        <w:adjustRightInd w:val="0"/>
        <w:spacing w:after="0" w:line="360" w:lineRule="auto"/>
        <w:ind w:firstLine="1296"/>
        <w:rPr>
          <w:rFonts w:ascii="Times New Roman" w:hAnsi="Times New Roman" w:cs="Times New Roman"/>
          <w:sz w:val="24"/>
          <w:szCs w:val="24"/>
        </w:rPr>
      </w:pPr>
    </w:p>
    <w:p w:rsidR="006F6BB1" w:rsidRPr="00EC1AB2" w:rsidRDefault="006F6BB1" w:rsidP="007A02A8">
      <w:pPr>
        <w:autoSpaceDE w:val="0"/>
        <w:autoSpaceDN w:val="0"/>
        <w:adjustRightInd w:val="0"/>
        <w:spacing w:after="0" w:line="360" w:lineRule="auto"/>
        <w:ind w:firstLine="1296"/>
        <w:rPr>
          <w:rFonts w:ascii="Times New Roman" w:hAnsi="Times New Roman" w:cs="Times New Roman"/>
          <w:sz w:val="24"/>
          <w:szCs w:val="24"/>
        </w:rPr>
      </w:pPr>
    </w:p>
    <w:p w:rsidR="006F6BB1" w:rsidRPr="00EC1AB2" w:rsidRDefault="006F6BB1" w:rsidP="007A02A8">
      <w:pPr>
        <w:autoSpaceDE w:val="0"/>
        <w:autoSpaceDN w:val="0"/>
        <w:adjustRightInd w:val="0"/>
        <w:spacing w:after="0" w:line="360" w:lineRule="auto"/>
        <w:ind w:firstLine="1296"/>
        <w:rPr>
          <w:rFonts w:ascii="Times New Roman" w:hAnsi="Times New Roman" w:cs="Times New Roman"/>
          <w:sz w:val="24"/>
          <w:szCs w:val="24"/>
        </w:rPr>
      </w:pPr>
    </w:p>
    <w:p w:rsidR="006F6BB1" w:rsidRPr="00EC1AB2" w:rsidRDefault="006F6BB1" w:rsidP="007A02A8">
      <w:pPr>
        <w:autoSpaceDE w:val="0"/>
        <w:autoSpaceDN w:val="0"/>
        <w:adjustRightInd w:val="0"/>
        <w:spacing w:after="0" w:line="360" w:lineRule="auto"/>
        <w:ind w:firstLine="1296"/>
        <w:rPr>
          <w:rFonts w:ascii="Times New Roman" w:hAnsi="Times New Roman" w:cs="Times New Roman"/>
          <w:sz w:val="24"/>
          <w:szCs w:val="24"/>
        </w:rPr>
      </w:pPr>
    </w:p>
    <w:p w:rsidR="006F6BB1" w:rsidRPr="00EC1AB2" w:rsidRDefault="006F6BB1" w:rsidP="007A02A8">
      <w:pPr>
        <w:autoSpaceDE w:val="0"/>
        <w:autoSpaceDN w:val="0"/>
        <w:adjustRightInd w:val="0"/>
        <w:spacing w:after="0" w:line="360" w:lineRule="auto"/>
        <w:ind w:firstLine="1296"/>
        <w:rPr>
          <w:rFonts w:ascii="Times New Roman" w:hAnsi="Times New Roman" w:cs="Times New Roman"/>
          <w:sz w:val="24"/>
          <w:szCs w:val="24"/>
        </w:rPr>
      </w:pPr>
    </w:p>
    <w:p w:rsidR="006F6BB1" w:rsidRPr="00EC1AB2" w:rsidRDefault="006F6BB1" w:rsidP="007A02A8">
      <w:pPr>
        <w:autoSpaceDE w:val="0"/>
        <w:autoSpaceDN w:val="0"/>
        <w:adjustRightInd w:val="0"/>
        <w:spacing w:after="0" w:line="360" w:lineRule="auto"/>
        <w:ind w:firstLine="1296"/>
        <w:rPr>
          <w:rFonts w:ascii="Times New Roman" w:hAnsi="Times New Roman" w:cs="Times New Roman"/>
          <w:sz w:val="24"/>
          <w:szCs w:val="24"/>
        </w:rPr>
      </w:pPr>
    </w:p>
    <w:p w:rsidR="006F6BB1" w:rsidRPr="00EC1AB2" w:rsidRDefault="006F6BB1" w:rsidP="007A02A8">
      <w:pPr>
        <w:autoSpaceDE w:val="0"/>
        <w:autoSpaceDN w:val="0"/>
        <w:adjustRightInd w:val="0"/>
        <w:spacing w:after="0" w:line="360" w:lineRule="auto"/>
        <w:ind w:firstLine="1296"/>
        <w:rPr>
          <w:rFonts w:ascii="Times New Roman" w:hAnsi="Times New Roman" w:cs="Times New Roman"/>
          <w:sz w:val="24"/>
          <w:szCs w:val="24"/>
        </w:rPr>
      </w:pPr>
    </w:p>
    <w:p w:rsidR="006F6BB1" w:rsidRPr="00EC1AB2" w:rsidRDefault="006F6BB1" w:rsidP="007A02A8">
      <w:pPr>
        <w:autoSpaceDE w:val="0"/>
        <w:autoSpaceDN w:val="0"/>
        <w:adjustRightInd w:val="0"/>
        <w:spacing w:after="0" w:line="360" w:lineRule="auto"/>
        <w:ind w:firstLine="1296"/>
        <w:rPr>
          <w:rFonts w:ascii="Times New Roman" w:hAnsi="Times New Roman" w:cs="Times New Roman"/>
          <w:sz w:val="24"/>
          <w:szCs w:val="24"/>
        </w:rPr>
      </w:pPr>
    </w:p>
    <w:p w:rsidR="006F6BB1" w:rsidRPr="00EC1AB2" w:rsidRDefault="006F6BB1" w:rsidP="007A02A8">
      <w:pPr>
        <w:autoSpaceDE w:val="0"/>
        <w:autoSpaceDN w:val="0"/>
        <w:adjustRightInd w:val="0"/>
        <w:spacing w:after="0" w:line="360" w:lineRule="auto"/>
        <w:ind w:firstLine="1296"/>
        <w:jc w:val="both"/>
        <w:rPr>
          <w:rFonts w:ascii="Times New Roman" w:hAnsi="Times New Roman" w:cs="Times New Roman"/>
          <w:b/>
          <w:sz w:val="20"/>
          <w:szCs w:val="20"/>
        </w:rPr>
      </w:pPr>
    </w:p>
    <w:p w:rsidR="0003719B" w:rsidRPr="00EC1AB2" w:rsidRDefault="00B43984" w:rsidP="007A02A8">
      <w:pPr>
        <w:autoSpaceDE w:val="0"/>
        <w:autoSpaceDN w:val="0"/>
        <w:adjustRightInd w:val="0"/>
        <w:spacing w:after="0" w:line="360" w:lineRule="auto"/>
        <w:ind w:firstLine="567"/>
        <w:jc w:val="both"/>
        <w:rPr>
          <w:rFonts w:ascii="Times New Roman" w:hAnsi="Times New Roman" w:cs="Times New Roman"/>
          <w:sz w:val="20"/>
          <w:szCs w:val="20"/>
        </w:rPr>
      </w:pPr>
      <w:r w:rsidRPr="00EC1AB2">
        <w:rPr>
          <w:rFonts w:ascii="Times New Roman" w:hAnsi="Times New Roman" w:cs="Times New Roman"/>
          <w:b/>
          <w:sz w:val="20"/>
          <w:szCs w:val="20"/>
        </w:rPr>
        <w:t>Šaltinis:</w:t>
      </w:r>
      <w:r w:rsidRPr="00EC1AB2">
        <w:rPr>
          <w:rFonts w:ascii="Times New Roman" w:hAnsi="Times New Roman" w:cs="Times New Roman"/>
          <w:sz w:val="20"/>
          <w:szCs w:val="20"/>
        </w:rPr>
        <w:t xml:space="preserve"> sudaryta pagal Statistikos departamento duomenis</w:t>
      </w:r>
    </w:p>
    <w:p w:rsidR="006A6505" w:rsidRPr="00EC1AB2" w:rsidRDefault="00846CC0" w:rsidP="007A02A8">
      <w:pPr>
        <w:autoSpaceDE w:val="0"/>
        <w:autoSpaceDN w:val="0"/>
        <w:adjustRightInd w:val="0"/>
        <w:spacing w:after="0" w:line="360" w:lineRule="auto"/>
        <w:ind w:firstLine="567"/>
        <w:jc w:val="center"/>
        <w:rPr>
          <w:rFonts w:ascii="Times New Roman" w:hAnsi="Times New Roman" w:cs="Times New Roman"/>
          <w:sz w:val="20"/>
          <w:szCs w:val="20"/>
        </w:rPr>
      </w:pPr>
      <w:bookmarkStart w:id="155" w:name="_Toc320762569"/>
      <w:r w:rsidRPr="00EC1AB2">
        <w:rPr>
          <w:rStyle w:val="Heading5Char"/>
          <w:rFonts w:ascii="Times New Roman" w:hAnsi="Times New Roman" w:cs="Times New Roman"/>
          <w:color w:val="auto"/>
          <w:sz w:val="24"/>
          <w:szCs w:val="24"/>
        </w:rPr>
        <w:t>16</w:t>
      </w:r>
      <w:r w:rsidR="00B43984" w:rsidRPr="00EC1AB2">
        <w:rPr>
          <w:rStyle w:val="Heading5Char"/>
          <w:rFonts w:ascii="Times New Roman" w:hAnsi="Times New Roman" w:cs="Times New Roman"/>
          <w:color w:val="auto"/>
          <w:sz w:val="24"/>
          <w:szCs w:val="24"/>
        </w:rPr>
        <w:t xml:space="preserve"> pav.</w:t>
      </w:r>
      <w:r w:rsidR="00B43984" w:rsidRPr="00EC1AB2">
        <w:rPr>
          <w:rStyle w:val="Heading5Char"/>
          <w:rFonts w:ascii="Times New Roman" w:hAnsi="Times New Roman" w:cs="Times New Roman"/>
          <w:b/>
          <w:color w:val="auto"/>
          <w:sz w:val="24"/>
          <w:szCs w:val="24"/>
        </w:rPr>
        <w:t xml:space="preserve"> </w:t>
      </w:r>
      <w:r w:rsidR="00430802" w:rsidRPr="00EC1AB2">
        <w:rPr>
          <w:rStyle w:val="Heading5Char"/>
          <w:rFonts w:ascii="Times New Roman" w:hAnsi="Times New Roman" w:cs="Times New Roman"/>
          <w:b/>
          <w:color w:val="auto"/>
          <w:sz w:val="24"/>
          <w:szCs w:val="24"/>
        </w:rPr>
        <w:t>Inovacinių įmonių santykis su visomis įmonėmis</w:t>
      </w:r>
      <w:r w:rsidR="00B43984" w:rsidRPr="00EC1AB2">
        <w:rPr>
          <w:rStyle w:val="Heading5Char"/>
          <w:rFonts w:ascii="Times New Roman" w:hAnsi="Times New Roman" w:cs="Times New Roman"/>
          <w:b/>
          <w:color w:val="auto"/>
          <w:sz w:val="24"/>
          <w:szCs w:val="24"/>
        </w:rPr>
        <w:t xml:space="preserve"> Lietuvoje, proc</w:t>
      </w:r>
      <w:bookmarkEnd w:id="155"/>
      <w:r w:rsidR="00B43984" w:rsidRPr="00EC1AB2">
        <w:rPr>
          <w:rFonts w:ascii="Times New Roman" w:hAnsi="Times New Roman" w:cs="Times New Roman"/>
          <w:b/>
          <w:sz w:val="24"/>
          <w:szCs w:val="24"/>
        </w:rPr>
        <w:t>.</w:t>
      </w:r>
    </w:p>
    <w:p w:rsidR="00B36258" w:rsidRPr="00EC1AB2" w:rsidRDefault="00846CC0" w:rsidP="007A02A8">
      <w:pPr>
        <w:autoSpaceDE w:val="0"/>
        <w:autoSpaceDN w:val="0"/>
        <w:adjustRightInd w:val="0"/>
        <w:spacing w:after="0" w:line="360" w:lineRule="auto"/>
        <w:ind w:firstLine="567"/>
        <w:jc w:val="both"/>
        <w:rPr>
          <w:rFonts w:ascii="Times New Roman" w:eastAsia="Times New Roman" w:hAnsi="Times New Roman" w:cs="Times New Roman"/>
          <w:sz w:val="24"/>
          <w:szCs w:val="24"/>
          <w:lang w:eastAsia="lt-LT"/>
        </w:rPr>
      </w:pPr>
      <w:r w:rsidRPr="00EC1AB2">
        <w:rPr>
          <w:rFonts w:ascii="Times New Roman" w:eastAsia="Times New Roman" w:hAnsi="Times New Roman" w:cs="Times New Roman"/>
          <w:sz w:val="24"/>
          <w:szCs w:val="24"/>
          <w:lang w:eastAsia="lt-LT"/>
        </w:rPr>
        <w:lastRenderedPageBreak/>
        <w:t>Kaip matyti iš 16</w:t>
      </w:r>
      <w:r w:rsidR="002543AE" w:rsidRPr="00EC1AB2">
        <w:rPr>
          <w:rFonts w:ascii="Times New Roman" w:eastAsia="Times New Roman" w:hAnsi="Times New Roman" w:cs="Times New Roman"/>
          <w:sz w:val="24"/>
          <w:szCs w:val="24"/>
          <w:lang w:eastAsia="lt-LT"/>
        </w:rPr>
        <w:t xml:space="preserve"> pav.</w:t>
      </w:r>
      <w:r w:rsidR="00B36258" w:rsidRPr="00EC1AB2">
        <w:rPr>
          <w:rFonts w:ascii="Times New Roman" w:eastAsia="Times New Roman" w:hAnsi="Times New Roman" w:cs="Times New Roman"/>
          <w:sz w:val="24"/>
          <w:szCs w:val="24"/>
          <w:lang w:eastAsia="lt-LT"/>
        </w:rPr>
        <w:t xml:space="preserve"> 2008–2010 m. Lietuvoje inovacinę veiklą vykdė 32,5 procento gamybos ir paslaugų įmonių, kuriose dirbo 10 ir daugiau darbuotojų. Daugiausia tokių buvo tarp informacijos ir ryšių įmonių (62,4 % visų tos veiklų rūšies įmonių) bei finansinių ir draudimo įmonių (53,4 %). Inovacinėse įmonėse dirbo 51,2 procento visų įmonių darbuotojų. Nors inovacijas diegė tik trečdalis įmonių, jų apyvarta sudarė daugiau kaip pusę visų įmonių apyvartos (2008 </w:t>
      </w:r>
      <w:r w:rsidR="00727F84" w:rsidRPr="00EC1AB2">
        <w:rPr>
          <w:rFonts w:ascii="Times New Roman" w:eastAsia="Times New Roman" w:hAnsi="Times New Roman" w:cs="Times New Roman"/>
          <w:sz w:val="24"/>
          <w:szCs w:val="24"/>
          <w:lang w:eastAsia="lt-LT"/>
        </w:rPr>
        <w:t xml:space="preserve">m. – 64,2 %, 2010 m. – 65,8 %), tai tik patvirtina didelį inovatyvių įmonių </w:t>
      </w:r>
      <w:r w:rsidR="00E30990" w:rsidRPr="00EC1AB2">
        <w:rPr>
          <w:rFonts w:ascii="Times New Roman" w:eastAsia="Times New Roman" w:hAnsi="Times New Roman" w:cs="Times New Roman"/>
          <w:sz w:val="24"/>
          <w:szCs w:val="24"/>
          <w:lang w:eastAsia="lt-LT"/>
        </w:rPr>
        <w:t xml:space="preserve">vaidmenį šiuolaikinėje ekonomikoje. </w:t>
      </w:r>
      <w:r w:rsidR="00B36258" w:rsidRPr="00EC1AB2">
        <w:rPr>
          <w:rFonts w:ascii="Times New Roman" w:eastAsia="Times New Roman" w:hAnsi="Times New Roman" w:cs="Times New Roman"/>
          <w:sz w:val="24"/>
          <w:szCs w:val="24"/>
          <w:lang w:eastAsia="lt-LT"/>
        </w:rPr>
        <w:t>2008–2010 m. laikotarpiu inovacinę veiklą vykdė 69,6 procento didelių įmonių, kuriose dirba 250 ir daugiau darbuotojų, 43,1 procento vidutinių (nuo 50 iki 249 darbuotojų) ir 27,9 procento mažų įmonių (nuo 10 iki 49 darbuotojų). Nors didžiosios įmonės sudarė tik 6,4 procento visų inovacinių įmonių, jų išlaidos inovacinei veiklai apėmė 55,2 procento visų inovacijoms skirtų išlaidų; įmonės, turinčios nuo 10 iki 49 darbuotojų, sudarė 64,8 procento, o jų išlaidos ino</w:t>
      </w:r>
      <w:r w:rsidR="00C11783" w:rsidRPr="00EC1AB2">
        <w:rPr>
          <w:rFonts w:ascii="Times New Roman" w:eastAsia="Times New Roman" w:hAnsi="Times New Roman" w:cs="Times New Roman"/>
          <w:sz w:val="24"/>
          <w:szCs w:val="24"/>
          <w:lang w:eastAsia="lt-LT"/>
        </w:rPr>
        <w:t xml:space="preserve">vacinei veiklai – 24,6 procento (Statistikos departamento </w:t>
      </w:r>
      <w:r w:rsidR="00C9647E" w:rsidRPr="00EC1AB2">
        <w:rPr>
          <w:rFonts w:ascii="Times New Roman" w:eastAsia="Times New Roman" w:hAnsi="Times New Roman" w:cs="Times New Roman"/>
          <w:sz w:val="24"/>
          <w:szCs w:val="24"/>
          <w:lang w:eastAsia="lt-LT"/>
        </w:rPr>
        <w:t>pranešimas spaudai</w:t>
      </w:r>
      <w:r w:rsidR="00372370" w:rsidRPr="00EC1AB2">
        <w:rPr>
          <w:rFonts w:ascii="Times New Roman" w:eastAsia="Times New Roman" w:hAnsi="Times New Roman" w:cs="Times New Roman"/>
          <w:sz w:val="24"/>
          <w:szCs w:val="24"/>
          <w:lang w:eastAsia="lt-LT"/>
        </w:rPr>
        <w:t xml:space="preserve"> „Įmonių inovacinė</w:t>
      </w:r>
      <w:r w:rsidR="00B6160C" w:rsidRPr="00EC1AB2">
        <w:rPr>
          <w:rFonts w:ascii="Times New Roman" w:eastAsia="Times New Roman" w:hAnsi="Times New Roman" w:cs="Times New Roman"/>
          <w:sz w:val="24"/>
          <w:szCs w:val="24"/>
          <w:lang w:eastAsia="lt-LT"/>
        </w:rPr>
        <w:t>s veiklos</w:t>
      </w:r>
      <w:r w:rsidR="00372370" w:rsidRPr="00EC1AB2">
        <w:rPr>
          <w:rFonts w:ascii="Times New Roman" w:eastAsia="Times New Roman" w:hAnsi="Times New Roman" w:cs="Times New Roman"/>
          <w:sz w:val="24"/>
          <w:szCs w:val="24"/>
          <w:lang w:eastAsia="lt-LT"/>
        </w:rPr>
        <w:t xml:space="preserve"> plėtra“, 2012). </w:t>
      </w:r>
    </w:p>
    <w:p w:rsidR="0077644B" w:rsidRPr="00EC1AB2" w:rsidRDefault="0077644B" w:rsidP="007A02A8">
      <w:pPr>
        <w:autoSpaceDE w:val="0"/>
        <w:autoSpaceDN w:val="0"/>
        <w:adjustRightInd w:val="0"/>
        <w:spacing w:after="0" w:line="360" w:lineRule="auto"/>
        <w:ind w:firstLine="567"/>
        <w:jc w:val="both"/>
        <w:rPr>
          <w:rFonts w:ascii="Times New Roman" w:eastAsia="Times New Roman" w:hAnsi="Times New Roman" w:cs="Times New Roman"/>
          <w:sz w:val="24"/>
          <w:szCs w:val="24"/>
          <w:lang w:eastAsia="lt-LT"/>
        </w:rPr>
      </w:pPr>
      <w:r w:rsidRPr="00EC1AB2">
        <w:rPr>
          <w:rFonts w:ascii="Times New Roman" w:eastAsia="Times New Roman" w:hAnsi="Times New Roman" w:cs="Times New Roman"/>
          <w:sz w:val="24"/>
          <w:szCs w:val="24"/>
          <w:lang w:eastAsia="lt-LT"/>
        </w:rPr>
        <w:t>Verta paminėti, kad daugiau nei dešimtadalis (13,7 %) įmonių diegė technologinių procesų, 12,7 procento – produkto inovacijas. 8,3 procento visų įmonių diegė ir produkto, ir technologinio proceso inovacijas.</w:t>
      </w:r>
    </w:p>
    <w:p w:rsidR="0088155F" w:rsidRPr="00EC1AB2" w:rsidRDefault="0088155F"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eastAsia="Times New Roman" w:hAnsi="Times New Roman" w:cs="Times New Roman"/>
          <w:sz w:val="24"/>
          <w:szCs w:val="24"/>
          <w:lang w:eastAsia="lt-LT"/>
        </w:rPr>
        <w:t xml:space="preserve">Rodiklių grupėje </w:t>
      </w:r>
      <w:r w:rsidR="009C4F26" w:rsidRPr="00EC1AB2">
        <w:rPr>
          <w:rFonts w:ascii="Times New Roman" w:eastAsia="Times New Roman" w:hAnsi="Times New Roman" w:cs="Times New Roman"/>
          <w:b/>
          <w:sz w:val="24"/>
          <w:szCs w:val="24"/>
          <w:lang w:eastAsia="lt-LT"/>
        </w:rPr>
        <w:t>bendradarbiavimas</w:t>
      </w:r>
      <w:r w:rsidRPr="00EC1AB2">
        <w:rPr>
          <w:rFonts w:ascii="Times New Roman" w:eastAsia="Times New Roman" w:hAnsi="Times New Roman" w:cs="Times New Roman"/>
          <w:b/>
          <w:sz w:val="24"/>
          <w:szCs w:val="24"/>
          <w:lang w:eastAsia="lt-LT"/>
        </w:rPr>
        <w:t xml:space="preserve"> ir verslininkystė</w:t>
      </w:r>
      <w:r w:rsidR="00552B20" w:rsidRPr="00EC1AB2">
        <w:rPr>
          <w:rFonts w:ascii="Times New Roman" w:eastAsia="Times New Roman" w:hAnsi="Times New Roman" w:cs="Times New Roman"/>
          <w:sz w:val="24"/>
          <w:szCs w:val="24"/>
          <w:lang w:eastAsia="lt-LT"/>
        </w:rPr>
        <w:t xml:space="preserve"> Lietuva labiausiai atsilieka dėl rodiklio </w:t>
      </w:r>
      <w:r w:rsidRPr="00EC1AB2">
        <w:rPr>
          <w:rFonts w:ascii="Times New Roman" w:hAnsi="Times New Roman" w:cs="Times New Roman"/>
          <w:sz w:val="24"/>
          <w:szCs w:val="24"/>
        </w:rPr>
        <w:t>viešų ir privačių bendrų publikacijų 1 mln</w:t>
      </w:r>
      <w:r w:rsidR="00B974FC" w:rsidRPr="00EC1AB2">
        <w:rPr>
          <w:rFonts w:ascii="Times New Roman" w:hAnsi="Times New Roman" w:cs="Times New Roman"/>
          <w:sz w:val="24"/>
          <w:szCs w:val="24"/>
        </w:rPr>
        <w:t>.</w:t>
      </w:r>
      <w:r w:rsidRPr="00EC1AB2">
        <w:rPr>
          <w:rFonts w:ascii="Times New Roman" w:hAnsi="Times New Roman" w:cs="Times New Roman"/>
          <w:sz w:val="24"/>
          <w:szCs w:val="24"/>
        </w:rPr>
        <w:t xml:space="preserve"> gyventojų skaičius</w:t>
      </w:r>
      <w:r w:rsidR="00552B20" w:rsidRPr="00EC1AB2">
        <w:rPr>
          <w:rFonts w:ascii="Times New Roman" w:hAnsi="Times New Roman" w:cs="Times New Roman"/>
          <w:sz w:val="24"/>
          <w:szCs w:val="24"/>
        </w:rPr>
        <w:t xml:space="preserve">. Lietuvoje 1 mln. gyventojų tokių publikacijų tenka </w:t>
      </w:r>
      <w:r w:rsidR="00982F31" w:rsidRPr="00EC1AB2">
        <w:rPr>
          <w:rFonts w:ascii="Times New Roman" w:hAnsi="Times New Roman" w:cs="Times New Roman"/>
          <w:sz w:val="24"/>
          <w:szCs w:val="24"/>
        </w:rPr>
        <w:t xml:space="preserve">tik </w:t>
      </w:r>
      <w:r w:rsidR="00552B20" w:rsidRPr="00EC1AB2">
        <w:rPr>
          <w:rFonts w:ascii="Times New Roman" w:hAnsi="Times New Roman" w:cs="Times New Roman"/>
          <w:sz w:val="24"/>
          <w:szCs w:val="24"/>
        </w:rPr>
        <w:t xml:space="preserve">3, kai tuo tarpu ES vidurkis yra </w:t>
      </w:r>
      <w:r w:rsidR="00B075BD" w:rsidRPr="00EC1AB2">
        <w:rPr>
          <w:rFonts w:ascii="Times New Roman" w:hAnsi="Times New Roman" w:cs="Times New Roman"/>
          <w:sz w:val="24"/>
          <w:szCs w:val="24"/>
        </w:rPr>
        <w:t xml:space="preserve">36,2. </w:t>
      </w:r>
    </w:p>
    <w:p w:rsidR="00A71D17" w:rsidRPr="00EC1AB2" w:rsidRDefault="00C003F7"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b/>
          <w:sz w:val="24"/>
          <w:szCs w:val="24"/>
        </w:rPr>
        <w:t>Intelektinės nuosavybės</w:t>
      </w:r>
      <w:r w:rsidRPr="00EC1AB2">
        <w:rPr>
          <w:rFonts w:ascii="Times New Roman" w:hAnsi="Times New Roman" w:cs="Times New Roman"/>
          <w:sz w:val="24"/>
          <w:szCs w:val="24"/>
        </w:rPr>
        <w:t xml:space="preserve"> rodiklių grup</w:t>
      </w:r>
      <w:r w:rsidR="00FA1970" w:rsidRPr="00EC1AB2">
        <w:rPr>
          <w:rFonts w:ascii="Times New Roman" w:hAnsi="Times New Roman" w:cs="Times New Roman"/>
          <w:sz w:val="24"/>
          <w:szCs w:val="24"/>
        </w:rPr>
        <w:t>ėje Lietuva lenkia tik Latviją, tačiau šioje rodiklių grupėje pastebimas augimas, lyginant su praėjusiais metais.</w:t>
      </w:r>
      <w:r w:rsidR="00BB0EB3" w:rsidRPr="00EC1AB2">
        <w:rPr>
          <w:rFonts w:ascii="Times New Roman" w:hAnsi="Times New Roman" w:cs="Times New Roman"/>
          <w:sz w:val="24"/>
          <w:szCs w:val="24"/>
        </w:rPr>
        <w:t xml:space="preserve"> Teigiamus pokyčius šioje srityje galėjo įtakoti </w:t>
      </w:r>
      <w:r w:rsidR="009D0FB0" w:rsidRPr="00EC1AB2">
        <w:rPr>
          <w:rFonts w:ascii="Times New Roman" w:hAnsi="Times New Roman" w:cs="Times New Roman"/>
          <w:sz w:val="24"/>
          <w:szCs w:val="24"/>
        </w:rPr>
        <w:t>Mokslo, inovacijų ir technologijų agentūros</w:t>
      </w:r>
      <w:r w:rsidR="006257E3" w:rsidRPr="00EC1AB2">
        <w:rPr>
          <w:rFonts w:ascii="Times New Roman" w:hAnsi="Times New Roman" w:cs="Times New Roman"/>
          <w:sz w:val="24"/>
          <w:szCs w:val="24"/>
        </w:rPr>
        <w:t xml:space="preserve"> (MITA)</w:t>
      </w:r>
      <w:r w:rsidR="009D0FB0" w:rsidRPr="00EC1AB2">
        <w:rPr>
          <w:rFonts w:ascii="Times New Roman" w:hAnsi="Times New Roman" w:cs="Times New Roman"/>
          <w:sz w:val="24"/>
          <w:szCs w:val="24"/>
        </w:rPr>
        <w:t xml:space="preserve"> administruoj</w:t>
      </w:r>
      <w:r w:rsidR="00A71D17" w:rsidRPr="00EC1AB2">
        <w:rPr>
          <w:rFonts w:ascii="Times New Roman" w:hAnsi="Times New Roman" w:cs="Times New Roman"/>
          <w:sz w:val="24"/>
          <w:szCs w:val="24"/>
        </w:rPr>
        <w:t xml:space="preserve">ama priemonė, </w:t>
      </w:r>
      <w:r w:rsidR="00A71D17" w:rsidRPr="00EC1AB2">
        <w:rPr>
          <w:rFonts w:ascii="Times New Roman" w:eastAsia="Times New Roman" w:hAnsi="Times New Roman" w:cs="Times New Roman"/>
          <w:sz w:val="24"/>
          <w:szCs w:val="24"/>
          <w:lang w:eastAsia="lt-LT"/>
        </w:rPr>
        <w:t>skatinanti pramoninės nuosavybės teisių apsaugą tarptautiniu mastu. Parama pagal šią priemonę skiriama pad</w:t>
      </w:r>
      <w:r w:rsidR="00C04A6E" w:rsidRPr="00EC1AB2">
        <w:rPr>
          <w:rFonts w:ascii="Times New Roman" w:eastAsia="Times New Roman" w:hAnsi="Times New Roman" w:cs="Times New Roman"/>
          <w:sz w:val="24"/>
          <w:szCs w:val="24"/>
          <w:lang w:eastAsia="lt-LT"/>
        </w:rPr>
        <w:t xml:space="preserve">engti išlaidoms, susijusioms su </w:t>
      </w:r>
      <w:r w:rsidR="00A71D17" w:rsidRPr="00EC1AB2">
        <w:rPr>
          <w:rFonts w:ascii="Times New Roman" w:eastAsia="Times New Roman" w:hAnsi="Times New Roman" w:cs="Times New Roman"/>
          <w:sz w:val="24"/>
          <w:szCs w:val="24"/>
          <w:lang w:eastAsia="lt-LT"/>
        </w:rPr>
        <w:t>išradimų patentavimu (Europos patento arba patento, išduodamo pagal Patentinė</w:t>
      </w:r>
      <w:r w:rsidR="00C04A6E" w:rsidRPr="00EC1AB2">
        <w:rPr>
          <w:rFonts w:ascii="Times New Roman" w:eastAsia="Times New Roman" w:hAnsi="Times New Roman" w:cs="Times New Roman"/>
          <w:sz w:val="24"/>
          <w:szCs w:val="24"/>
          <w:lang w:eastAsia="lt-LT"/>
        </w:rPr>
        <w:t xml:space="preserve">s kooperacijos sutartį, gavimu) bei </w:t>
      </w:r>
      <w:r w:rsidR="00A71D17" w:rsidRPr="00EC1AB2">
        <w:rPr>
          <w:rFonts w:ascii="Times New Roman" w:eastAsia="Times New Roman" w:hAnsi="Times New Roman" w:cs="Times New Roman"/>
          <w:sz w:val="24"/>
          <w:szCs w:val="24"/>
          <w:lang w:eastAsia="lt-LT"/>
        </w:rPr>
        <w:t>dizainų registravimu (Bendrijos dizaino arba dizaino, registruojamo pagal Ženevos aktą, gavimu).</w:t>
      </w:r>
      <w:r w:rsidR="00CF652D" w:rsidRPr="00EC1AB2">
        <w:rPr>
          <w:rFonts w:ascii="Times New Roman" w:eastAsia="Times New Roman" w:hAnsi="Times New Roman" w:cs="Times New Roman"/>
          <w:sz w:val="24"/>
          <w:szCs w:val="24"/>
          <w:lang w:eastAsia="lt-LT"/>
        </w:rPr>
        <w:t xml:space="preserve"> </w:t>
      </w:r>
      <w:r w:rsidR="00CF652D" w:rsidRPr="00EC1AB2">
        <w:rPr>
          <w:rFonts w:ascii="Times New Roman" w:hAnsi="Times New Roman" w:cs="Times New Roman"/>
          <w:sz w:val="24"/>
          <w:szCs w:val="24"/>
        </w:rPr>
        <w:t>2011 m. parama skirta 14 pramoninės nuosavybės teisių apsaugos projektų, kuriuos įgyvendina mokslo ir studijų institucijos bei įmonės</w:t>
      </w:r>
      <w:r w:rsidR="00867724" w:rsidRPr="00EC1AB2">
        <w:rPr>
          <w:rFonts w:ascii="Times New Roman" w:hAnsi="Times New Roman" w:cs="Times New Roman"/>
          <w:sz w:val="24"/>
          <w:szCs w:val="24"/>
        </w:rPr>
        <w:t xml:space="preserve"> (žr. 4 priedą). </w:t>
      </w:r>
    </w:p>
    <w:p w:rsidR="00954A44" w:rsidRPr="00EC1AB2" w:rsidRDefault="00B974FC"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Paskutinę</w:t>
      </w:r>
      <w:r w:rsidR="00A476E9" w:rsidRPr="00EC1AB2">
        <w:rPr>
          <w:rFonts w:ascii="Times New Roman" w:hAnsi="Times New Roman" w:cs="Times New Roman"/>
          <w:sz w:val="24"/>
          <w:szCs w:val="24"/>
        </w:rPr>
        <w:t xml:space="preserve"> suminio inovatyvumo </w:t>
      </w:r>
      <w:r w:rsidRPr="00EC1AB2">
        <w:rPr>
          <w:rFonts w:ascii="Times New Roman" w:hAnsi="Times New Roman" w:cs="Times New Roman"/>
          <w:sz w:val="24"/>
          <w:szCs w:val="24"/>
        </w:rPr>
        <w:t xml:space="preserve">indekso rodiklių kategoriją </w:t>
      </w:r>
      <w:r w:rsidR="00B708E6" w:rsidRPr="00EC1AB2">
        <w:rPr>
          <w:rFonts w:ascii="Times New Roman" w:hAnsi="Times New Roman" w:cs="Times New Roman"/>
          <w:sz w:val="24"/>
          <w:szCs w:val="24"/>
        </w:rPr>
        <w:t xml:space="preserve">sudaro dvi rodiklių grupės, t.y. inovacijų kūrėjai bei ekonominis poveikis. </w:t>
      </w:r>
      <w:r w:rsidR="006610F4" w:rsidRPr="00EC1AB2">
        <w:rPr>
          <w:rFonts w:ascii="Times New Roman" w:hAnsi="Times New Roman" w:cs="Times New Roman"/>
          <w:sz w:val="24"/>
          <w:szCs w:val="24"/>
        </w:rPr>
        <w:t xml:space="preserve">Nors Statistikos departamento pranešime spaudai (2012) teigiama, kad 2010 m. </w:t>
      </w:r>
      <w:r w:rsidR="006610F4" w:rsidRPr="00EC1AB2">
        <w:rPr>
          <w:rFonts w:ascii="Times New Roman" w:eastAsia="Times New Roman" w:hAnsi="Times New Roman" w:cs="Times New Roman"/>
          <w:sz w:val="24"/>
          <w:szCs w:val="24"/>
          <w:lang w:eastAsia="lt-LT"/>
        </w:rPr>
        <w:t>daugiau nei dešimtadalis (13,7 %) įmonių diegė technologinių procesų, 12,7 procento – produkto inovacijas,</w:t>
      </w:r>
      <w:r w:rsidR="009C4F26" w:rsidRPr="00EC1AB2">
        <w:rPr>
          <w:rFonts w:ascii="Times New Roman" w:eastAsia="Times New Roman" w:hAnsi="Times New Roman" w:cs="Times New Roman"/>
          <w:sz w:val="24"/>
          <w:szCs w:val="24"/>
          <w:lang w:eastAsia="lt-LT"/>
        </w:rPr>
        <w:t xml:space="preserve"> </w:t>
      </w:r>
      <w:r w:rsidR="006610F4" w:rsidRPr="00EC1AB2">
        <w:rPr>
          <w:rFonts w:ascii="Times New Roman" w:eastAsia="Times New Roman" w:hAnsi="Times New Roman" w:cs="Times New Roman"/>
          <w:sz w:val="24"/>
          <w:szCs w:val="24"/>
          <w:lang w:eastAsia="lt-LT"/>
        </w:rPr>
        <w:t>o 8,3 procento visų įmonių diegė ir produkto, ir t</w:t>
      </w:r>
      <w:r w:rsidR="00A501BD" w:rsidRPr="00EC1AB2">
        <w:rPr>
          <w:rFonts w:ascii="Times New Roman" w:eastAsia="Times New Roman" w:hAnsi="Times New Roman" w:cs="Times New Roman"/>
          <w:sz w:val="24"/>
          <w:szCs w:val="24"/>
          <w:lang w:eastAsia="lt-LT"/>
        </w:rPr>
        <w:t>echnologinio proceso inovacijas, t</w:t>
      </w:r>
      <w:r w:rsidR="00265C83" w:rsidRPr="00EC1AB2">
        <w:rPr>
          <w:rFonts w:ascii="Times New Roman" w:eastAsia="Times New Roman" w:hAnsi="Times New Roman" w:cs="Times New Roman"/>
          <w:sz w:val="24"/>
          <w:szCs w:val="24"/>
          <w:lang w:eastAsia="lt-LT"/>
        </w:rPr>
        <w:t xml:space="preserve">oks inovacijų diegimo lygis ES kontekste yra nepakankamas, tai atsispindi </w:t>
      </w:r>
      <w:r w:rsidR="00026108" w:rsidRPr="00EC1AB2">
        <w:rPr>
          <w:rFonts w:ascii="Times New Roman" w:eastAsia="Times New Roman" w:hAnsi="Times New Roman" w:cs="Times New Roman"/>
          <w:b/>
          <w:sz w:val="24"/>
          <w:szCs w:val="24"/>
          <w:lang w:eastAsia="lt-LT"/>
        </w:rPr>
        <w:t>inovacijų kūrėjų</w:t>
      </w:r>
      <w:r w:rsidR="00026108" w:rsidRPr="00EC1AB2">
        <w:rPr>
          <w:rFonts w:ascii="Times New Roman" w:eastAsia="Times New Roman" w:hAnsi="Times New Roman" w:cs="Times New Roman"/>
          <w:sz w:val="24"/>
          <w:szCs w:val="24"/>
          <w:lang w:eastAsia="lt-LT"/>
        </w:rPr>
        <w:t xml:space="preserve"> rodiklių grupės rez</w:t>
      </w:r>
      <w:r w:rsidR="00856CCE" w:rsidRPr="00EC1AB2">
        <w:rPr>
          <w:rFonts w:ascii="Times New Roman" w:eastAsia="Times New Roman" w:hAnsi="Times New Roman" w:cs="Times New Roman"/>
          <w:sz w:val="24"/>
          <w:szCs w:val="24"/>
          <w:lang w:eastAsia="lt-LT"/>
        </w:rPr>
        <w:t xml:space="preserve">ultatai (žr. </w:t>
      </w:r>
      <w:r w:rsidR="00FB684B" w:rsidRPr="00EC1AB2">
        <w:rPr>
          <w:rFonts w:ascii="Times New Roman" w:eastAsia="Times New Roman" w:hAnsi="Times New Roman" w:cs="Times New Roman"/>
          <w:sz w:val="24"/>
          <w:szCs w:val="24"/>
          <w:lang w:eastAsia="lt-LT"/>
        </w:rPr>
        <w:t xml:space="preserve">3 priedą). </w:t>
      </w:r>
    </w:p>
    <w:p w:rsidR="0088155F" w:rsidRPr="00EC1AB2" w:rsidRDefault="00EF5705"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Lietuvos rezultatai </w:t>
      </w:r>
      <w:r w:rsidR="0000430D" w:rsidRPr="00EC1AB2">
        <w:rPr>
          <w:rFonts w:ascii="Times New Roman" w:hAnsi="Times New Roman" w:cs="Times New Roman"/>
          <w:b/>
          <w:sz w:val="24"/>
          <w:szCs w:val="24"/>
        </w:rPr>
        <w:t>ekonominio poveikio</w:t>
      </w:r>
      <w:r w:rsidR="00C4442A" w:rsidRPr="00EC1AB2">
        <w:rPr>
          <w:rFonts w:ascii="Times New Roman" w:hAnsi="Times New Roman" w:cs="Times New Roman"/>
          <w:sz w:val="24"/>
          <w:szCs w:val="24"/>
        </w:rPr>
        <w:t xml:space="preserve"> rodiklių grupėje yra žemiausi</w:t>
      </w:r>
      <w:r w:rsidR="003465BD" w:rsidRPr="00EC1AB2">
        <w:rPr>
          <w:rFonts w:ascii="Times New Roman" w:hAnsi="Times New Roman" w:cs="Times New Roman"/>
          <w:sz w:val="24"/>
          <w:szCs w:val="24"/>
        </w:rPr>
        <w:t xml:space="preserve"> visoje </w:t>
      </w:r>
      <w:r w:rsidR="002A6B8B" w:rsidRPr="00EC1AB2">
        <w:rPr>
          <w:rFonts w:ascii="Times New Roman" w:hAnsi="Times New Roman" w:cs="Times New Roman"/>
          <w:sz w:val="24"/>
          <w:szCs w:val="24"/>
        </w:rPr>
        <w:t>ES</w:t>
      </w:r>
      <w:r w:rsidR="001D2BE6" w:rsidRPr="00EC1AB2">
        <w:rPr>
          <w:rFonts w:ascii="Times New Roman" w:hAnsi="Times New Roman" w:cs="Times New Roman"/>
          <w:sz w:val="24"/>
          <w:szCs w:val="24"/>
        </w:rPr>
        <w:t xml:space="preserve">. </w:t>
      </w:r>
      <w:r w:rsidR="00FE58A0" w:rsidRPr="00EC1AB2">
        <w:rPr>
          <w:rFonts w:ascii="Times New Roman" w:hAnsi="Times New Roman" w:cs="Times New Roman"/>
          <w:sz w:val="24"/>
          <w:szCs w:val="24"/>
        </w:rPr>
        <w:t>Blogiausia tai, kad visi rodikliai šioje grupėje, išskyrus užimtumo daug žinių reikalaujančiuose sektoriuose (ŽRS) (gamyba ir paslaugos) procentinė dalis, palyginti su visu užimtumu</w:t>
      </w:r>
      <w:r w:rsidR="00492982" w:rsidRPr="00EC1AB2">
        <w:rPr>
          <w:rFonts w:ascii="Times New Roman" w:hAnsi="Times New Roman" w:cs="Times New Roman"/>
          <w:sz w:val="24"/>
          <w:szCs w:val="24"/>
        </w:rPr>
        <w:t>, blogėjo</w:t>
      </w:r>
      <w:r w:rsidR="00FE58A0" w:rsidRPr="00EC1AB2">
        <w:rPr>
          <w:rFonts w:ascii="Times New Roman" w:hAnsi="Times New Roman" w:cs="Times New Roman"/>
          <w:sz w:val="24"/>
          <w:szCs w:val="24"/>
        </w:rPr>
        <w:t xml:space="preserve">, lyginant su praėjusiais </w:t>
      </w:r>
      <w:r w:rsidR="00FE58A0" w:rsidRPr="00EC1AB2">
        <w:rPr>
          <w:rFonts w:ascii="Times New Roman" w:hAnsi="Times New Roman" w:cs="Times New Roman"/>
          <w:sz w:val="24"/>
          <w:szCs w:val="24"/>
        </w:rPr>
        <w:lastRenderedPageBreak/>
        <w:t xml:space="preserve">metais. </w:t>
      </w:r>
      <w:r w:rsidR="006B5684" w:rsidRPr="00EC1AB2">
        <w:rPr>
          <w:rFonts w:ascii="Times New Roman" w:hAnsi="Times New Roman" w:cs="Times New Roman"/>
          <w:sz w:val="24"/>
          <w:szCs w:val="24"/>
        </w:rPr>
        <w:t xml:space="preserve">Paminėtina ir tai, kad užimtumo </w:t>
      </w:r>
      <w:r w:rsidR="006964EF" w:rsidRPr="00EC1AB2">
        <w:rPr>
          <w:rFonts w:ascii="Times New Roman" w:hAnsi="Times New Roman" w:cs="Times New Roman"/>
          <w:sz w:val="24"/>
          <w:szCs w:val="24"/>
        </w:rPr>
        <w:t>ŽRS procentinė dalis, palygin</w:t>
      </w:r>
      <w:r w:rsidR="0090012C" w:rsidRPr="00EC1AB2">
        <w:rPr>
          <w:rFonts w:ascii="Times New Roman" w:hAnsi="Times New Roman" w:cs="Times New Roman"/>
          <w:sz w:val="24"/>
          <w:szCs w:val="24"/>
        </w:rPr>
        <w:t>ti su visu užimtumu augo greičiausiai dėl to, kad didėjo</w:t>
      </w:r>
      <w:r w:rsidR="006964EF" w:rsidRPr="00EC1AB2">
        <w:rPr>
          <w:rFonts w:ascii="Times New Roman" w:hAnsi="Times New Roman" w:cs="Times New Roman"/>
          <w:sz w:val="24"/>
          <w:szCs w:val="24"/>
        </w:rPr>
        <w:t xml:space="preserve"> </w:t>
      </w:r>
      <w:r w:rsidR="009C4F26" w:rsidRPr="00EC1AB2">
        <w:rPr>
          <w:rFonts w:ascii="Times New Roman" w:hAnsi="Times New Roman" w:cs="Times New Roman"/>
          <w:sz w:val="24"/>
          <w:szCs w:val="24"/>
        </w:rPr>
        <w:t>nedarbo</w:t>
      </w:r>
      <w:r w:rsidR="006964EF" w:rsidRPr="00EC1AB2">
        <w:rPr>
          <w:rFonts w:ascii="Times New Roman" w:hAnsi="Times New Roman" w:cs="Times New Roman"/>
          <w:sz w:val="24"/>
          <w:szCs w:val="24"/>
        </w:rPr>
        <w:t xml:space="preserve"> lygis</w:t>
      </w:r>
      <w:r w:rsidR="006F3694" w:rsidRPr="00EC1AB2">
        <w:rPr>
          <w:rFonts w:ascii="Times New Roman" w:hAnsi="Times New Roman" w:cs="Times New Roman"/>
          <w:sz w:val="24"/>
          <w:szCs w:val="24"/>
        </w:rPr>
        <w:t xml:space="preserve">. </w:t>
      </w:r>
    </w:p>
    <w:p w:rsidR="00DF2713" w:rsidRPr="00EC1AB2" w:rsidRDefault="0038717F"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Lietuvoje daug žinių reikalaujančių paslaugų (ŽRP) eksporto procentinė dalis, </w:t>
      </w:r>
      <w:r w:rsidR="00044C4E" w:rsidRPr="00EC1AB2">
        <w:rPr>
          <w:rFonts w:ascii="Times New Roman" w:hAnsi="Times New Roman" w:cs="Times New Roman"/>
          <w:sz w:val="24"/>
          <w:szCs w:val="24"/>
        </w:rPr>
        <w:t>lyginant su visų</w:t>
      </w:r>
      <w:r w:rsidR="00C32CFE" w:rsidRPr="00EC1AB2">
        <w:rPr>
          <w:rFonts w:ascii="Times New Roman" w:hAnsi="Times New Roman" w:cs="Times New Roman"/>
          <w:sz w:val="24"/>
          <w:szCs w:val="24"/>
        </w:rPr>
        <w:t xml:space="preserve"> paslaugų eksportu buvo net 64 proc. mažesnė nei ES vidurkis. </w:t>
      </w:r>
      <w:r w:rsidRPr="00EC1AB2">
        <w:rPr>
          <w:rFonts w:ascii="Times New Roman" w:hAnsi="Times New Roman" w:cs="Times New Roman"/>
          <w:sz w:val="24"/>
          <w:szCs w:val="24"/>
        </w:rPr>
        <w:t xml:space="preserve"> </w:t>
      </w:r>
      <w:r w:rsidR="00183564" w:rsidRPr="00EC1AB2">
        <w:rPr>
          <w:rFonts w:ascii="Times New Roman" w:hAnsi="Times New Roman" w:cs="Times New Roman"/>
          <w:sz w:val="24"/>
          <w:szCs w:val="24"/>
        </w:rPr>
        <w:t>Vidutinių ir pažangiųjų technologijų gamybos eksp</w:t>
      </w:r>
      <w:r w:rsidR="003F2703" w:rsidRPr="00EC1AB2">
        <w:rPr>
          <w:rFonts w:ascii="Times New Roman" w:hAnsi="Times New Roman" w:cs="Times New Roman"/>
          <w:sz w:val="24"/>
          <w:szCs w:val="24"/>
        </w:rPr>
        <w:t xml:space="preserve">orte atsilikome per pus mažiau, tačiau </w:t>
      </w:r>
      <w:r w:rsidR="002A0E5B" w:rsidRPr="00EC1AB2">
        <w:rPr>
          <w:rFonts w:ascii="Times New Roman" w:hAnsi="Times New Roman" w:cs="Times New Roman"/>
          <w:sz w:val="24"/>
          <w:szCs w:val="24"/>
        </w:rPr>
        <w:t>Lietuva vienintelė ES neturėjo su licencijomis ir patentais susijusių pajamų</w:t>
      </w:r>
      <w:r w:rsidR="000C0A0B" w:rsidRPr="00EC1AB2">
        <w:rPr>
          <w:rFonts w:ascii="Times New Roman" w:hAnsi="Times New Roman" w:cs="Times New Roman"/>
          <w:sz w:val="24"/>
          <w:szCs w:val="24"/>
        </w:rPr>
        <w:t xml:space="preserve"> iš užsienio. </w:t>
      </w:r>
    </w:p>
    <w:p w:rsidR="003B169F" w:rsidRPr="00EC1AB2" w:rsidRDefault="00DF2713"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Naujų inovacijų pardavimas rinkai ir įmonėms procentais nuo apyvartos</w:t>
      </w:r>
      <w:r w:rsidR="0022504B" w:rsidRPr="00EC1AB2">
        <w:rPr>
          <w:rFonts w:ascii="Times New Roman" w:hAnsi="Times New Roman" w:cs="Times New Roman"/>
          <w:sz w:val="24"/>
          <w:szCs w:val="24"/>
        </w:rPr>
        <w:t xml:space="preserve"> palyginti su praėjusiais metais mažėjo ir </w:t>
      </w:r>
      <w:r w:rsidR="0012780E" w:rsidRPr="00EC1AB2">
        <w:rPr>
          <w:rFonts w:ascii="Times New Roman" w:hAnsi="Times New Roman" w:cs="Times New Roman"/>
          <w:sz w:val="24"/>
          <w:szCs w:val="24"/>
        </w:rPr>
        <w:t xml:space="preserve">nuo ES vidurkio atsiliko </w:t>
      </w:r>
      <w:r w:rsidR="00031F3E" w:rsidRPr="00EC1AB2">
        <w:rPr>
          <w:rFonts w:ascii="Times New Roman" w:hAnsi="Times New Roman" w:cs="Times New Roman"/>
          <w:sz w:val="24"/>
          <w:szCs w:val="24"/>
        </w:rPr>
        <w:t xml:space="preserve">beveik 1,5 karto. </w:t>
      </w:r>
      <w:r w:rsidR="00985E85" w:rsidRPr="00EC1AB2">
        <w:rPr>
          <w:rFonts w:ascii="Times New Roman" w:hAnsi="Times New Roman" w:cs="Times New Roman"/>
          <w:sz w:val="24"/>
          <w:szCs w:val="24"/>
        </w:rPr>
        <w:t>Tai didžia dalimi galėjo lemti, kaip jau minėta anksčiau</w:t>
      </w:r>
      <w:r w:rsidR="00016CDE" w:rsidRPr="00EC1AB2">
        <w:rPr>
          <w:rFonts w:ascii="Times New Roman" w:hAnsi="Times New Roman" w:cs="Times New Roman"/>
          <w:sz w:val="24"/>
          <w:szCs w:val="24"/>
        </w:rPr>
        <w:t>,</w:t>
      </w:r>
      <w:r w:rsidR="00985E85" w:rsidRPr="00EC1AB2">
        <w:rPr>
          <w:rFonts w:ascii="Times New Roman" w:hAnsi="Times New Roman" w:cs="Times New Roman"/>
          <w:sz w:val="24"/>
          <w:szCs w:val="24"/>
        </w:rPr>
        <w:t xml:space="preserve"> </w:t>
      </w:r>
      <w:r w:rsidR="007863AE" w:rsidRPr="00EC1AB2">
        <w:rPr>
          <w:rFonts w:ascii="Times New Roman" w:hAnsi="Times New Roman" w:cs="Times New Roman"/>
          <w:sz w:val="24"/>
          <w:szCs w:val="24"/>
        </w:rPr>
        <w:t xml:space="preserve">valstybės </w:t>
      </w:r>
      <w:r w:rsidR="0063297E" w:rsidRPr="00EC1AB2">
        <w:rPr>
          <w:rFonts w:ascii="Times New Roman" w:hAnsi="Times New Roman" w:cs="Times New Roman"/>
          <w:sz w:val="24"/>
          <w:szCs w:val="24"/>
        </w:rPr>
        <w:t>išlaidų MTEP</w:t>
      </w:r>
      <w:r w:rsidR="00D43CA4" w:rsidRPr="00EC1AB2">
        <w:rPr>
          <w:rFonts w:ascii="Times New Roman" w:hAnsi="Times New Roman" w:cs="Times New Roman"/>
          <w:sz w:val="24"/>
          <w:szCs w:val="24"/>
        </w:rPr>
        <w:t xml:space="preserve"> nepritaikymas rinkai reikalingoms inovacijoms sukurti</w:t>
      </w:r>
      <w:r w:rsidR="007863AE" w:rsidRPr="00EC1AB2">
        <w:rPr>
          <w:rFonts w:ascii="Times New Roman" w:hAnsi="Times New Roman" w:cs="Times New Roman"/>
          <w:sz w:val="24"/>
          <w:szCs w:val="24"/>
        </w:rPr>
        <w:t>, nes išlaidų dydis MTEP negarantuoja inovacijų pardavi</w:t>
      </w:r>
      <w:r w:rsidR="001F556B" w:rsidRPr="00EC1AB2">
        <w:rPr>
          <w:rFonts w:ascii="Times New Roman" w:hAnsi="Times New Roman" w:cs="Times New Roman"/>
          <w:sz w:val="24"/>
          <w:szCs w:val="24"/>
        </w:rPr>
        <w:t>mo rinkai</w:t>
      </w:r>
      <w:r w:rsidR="007863AE" w:rsidRPr="00EC1AB2">
        <w:rPr>
          <w:rFonts w:ascii="Times New Roman" w:hAnsi="Times New Roman" w:cs="Times New Roman"/>
          <w:sz w:val="24"/>
          <w:szCs w:val="24"/>
        </w:rPr>
        <w:t xml:space="preserve"> ir įmonėms (žr</w:t>
      </w:r>
      <w:r w:rsidR="00846CC0" w:rsidRPr="00EC1AB2">
        <w:rPr>
          <w:rFonts w:ascii="Times New Roman" w:hAnsi="Times New Roman" w:cs="Times New Roman"/>
          <w:sz w:val="24"/>
          <w:szCs w:val="24"/>
        </w:rPr>
        <w:t>. 17</w:t>
      </w:r>
      <w:r w:rsidR="007863AE" w:rsidRPr="00EC1AB2">
        <w:rPr>
          <w:rFonts w:ascii="Times New Roman" w:hAnsi="Times New Roman" w:cs="Times New Roman"/>
          <w:sz w:val="24"/>
          <w:szCs w:val="24"/>
        </w:rPr>
        <w:t xml:space="preserve"> pav.).</w:t>
      </w:r>
    </w:p>
    <w:p w:rsidR="002A6B8B" w:rsidRPr="00EC1AB2" w:rsidRDefault="002A6B8B" w:rsidP="007A02A8">
      <w:pPr>
        <w:autoSpaceDE w:val="0"/>
        <w:autoSpaceDN w:val="0"/>
        <w:adjustRightInd w:val="0"/>
        <w:spacing w:after="0" w:line="360" w:lineRule="auto"/>
        <w:ind w:firstLine="567"/>
        <w:jc w:val="both"/>
        <w:rPr>
          <w:rFonts w:ascii="Times New Roman" w:hAnsi="Times New Roman" w:cs="Times New Roman"/>
          <w:sz w:val="24"/>
          <w:szCs w:val="24"/>
        </w:rPr>
      </w:pPr>
    </w:p>
    <w:p w:rsidR="00EA7073" w:rsidRPr="00EC1AB2" w:rsidRDefault="002E199D" w:rsidP="007A02A8">
      <w:p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noProof/>
          <w:lang w:eastAsia="lt-LT"/>
        </w:rPr>
        <w:drawing>
          <wp:anchor distT="0" distB="0" distL="114300" distR="114300" simplePos="0" relativeHeight="251848704" behindDoc="0" locked="0" layoutInCell="1" allowOverlap="1" wp14:anchorId="10A4C504" wp14:editId="1C26F456">
            <wp:simplePos x="0" y="0"/>
            <wp:positionH relativeFrom="column">
              <wp:posOffset>15241</wp:posOffset>
            </wp:positionH>
            <wp:positionV relativeFrom="paragraph">
              <wp:posOffset>59055</wp:posOffset>
            </wp:positionV>
            <wp:extent cx="6000750" cy="3962400"/>
            <wp:effectExtent l="0" t="0" r="0" b="0"/>
            <wp:wrapNone/>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14:sizeRelH relativeFrom="page">
              <wp14:pctWidth>0</wp14:pctWidth>
            </wp14:sizeRelH>
            <wp14:sizeRelV relativeFrom="page">
              <wp14:pctHeight>0</wp14:pctHeight>
            </wp14:sizeRelV>
          </wp:anchor>
        </w:drawing>
      </w:r>
    </w:p>
    <w:p w:rsidR="00EA7073" w:rsidRPr="00EC1AB2" w:rsidRDefault="00EA7073" w:rsidP="007A02A8">
      <w:pPr>
        <w:autoSpaceDE w:val="0"/>
        <w:autoSpaceDN w:val="0"/>
        <w:adjustRightInd w:val="0"/>
        <w:spacing w:after="0" w:line="360" w:lineRule="auto"/>
        <w:ind w:firstLine="1298"/>
        <w:jc w:val="both"/>
        <w:rPr>
          <w:rFonts w:ascii="Times New Roman" w:hAnsi="Times New Roman" w:cs="Times New Roman"/>
          <w:sz w:val="24"/>
          <w:szCs w:val="24"/>
        </w:rPr>
      </w:pPr>
    </w:p>
    <w:p w:rsidR="00EA7073" w:rsidRPr="00EC1AB2" w:rsidRDefault="00EA7073" w:rsidP="007A02A8">
      <w:pPr>
        <w:autoSpaceDE w:val="0"/>
        <w:autoSpaceDN w:val="0"/>
        <w:adjustRightInd w:val="0"/>
        <w:spacing w:after="0" w:line="360" w:lineRule="auto"/>
        <w:ind w:firstLine="1298"/>
        <w:jc w:val="both"/>
        <w:rPr>
          <w:rFonts w:ascii="Times New Roman" w:hAnsi="Times New Roman" w:cs="Times New Roman"/>
          <w:sz w:val="24"/>
          <w:szCs w:val="24"/>
        </w:rPr>
      </w:pPr>
    </w:p>
    <w:p w:rsidR="00EA7073" w:rsidRPr="00EC1AB2" w:rsidRDefault="00EA7073" w:rsidP="007A02A8">
      <w:pPr>
        <w:autoSpaceDE w:val="0"/>
        <w:autoSpaceDN w:val="0"/>
        <w:adjustRightInd w:val="0"/>
        <w:spacing w:after="0" w:line="360" w:lineRule="auto"/>
        <w:ind w:firstLine="1298"/>
        <w:jc w:val="both"/>
        <w:rPr>
          <w:rFonts w:ascii="Times New Roman" w:hAnsi="Times New Roman" w:cs="Times New Roman"/>
          <w:sz w:val="24"/>
          <w:szCs w:val="24"/>
        </w:rPr>
      </w:pPr>
    </w:p>
    <w:p w:rsidR="00EA7073" w:rsidRPr="00EC1AB2" w:rsidRDefault="00EA7073" w:rsidP="007A02A8">
      <w:pPr>
        <w:autoSpaceDE w:val="0"/>
        <w:autoSpaceDN w:val="0"/>
        <w:adjustRightInd w:val="0"/>
        <w:spacing w:after="0" w:line="360" w:lineRule="auto"/>
        <w:ind w:firstLine="1298"/>
        <w:jc w:val="both"/>
        <w:rPr>
          <w:rFonts w:ascii="Times New Roman" w:hAnsi="Times New Roman" w:cs="Times New Roman"/>
          <w:sz w:val="24"/>
          <w:szCs w:val="24"/>
        </w:rPr>
      </w:pPr>
    </w:p>
    <w:p w:rsidR="00EA7073" w:rsidRPr="00EC1AB2" w:rsidRDefault="00EA7073" w:rsidP="007A02A8">
      <w:pPr>
        <w:autoSpaceDE w:val="0"/>
        <w:autoSpaceDN w:val="0"/>
        <w:adjustRightInd w:val="0"/>
        <w:spacing w:after="0" w:line="360" w:lineRule="auto"/>
        <w:ind w:firstLine="1298"/>
        <w:jc w:val="both"/>
        <w:rPr>
          <w:rFonts w:ascii="Times New Roman" w:hAnsi="Times New Roman" w:cs="Times New Roman"/>
          <w:sz w:val="24"/>
          <w:szCs w:val="24"/>
        </w:rPr>
      </w:pPr>
    </w:p>
    <w:p w:rsidR="00EA7073" w:rsidRPr="00EC1AB2" w:rsidRDefault="00EA7073" w:rsidP="007A02A8">
      <w:pPr>
        <w:autoSpaceDE w:val="0"/>
        <w:autoSpaceDN w:val="0"/>
        <w:adjustRightInd w:val="0"/>
        <w:spacing w:after="0" w:line="360" w:lineRule="auto"/>
        <w:ind w:firstLine="1298"/>
        <w:jc w:val="both"/>
        <w:rPr>
          <w:rFonts w:ascii="Times New Roman" w:hAnsi="Times New Roman" w:cs="Times New Roman"/>
          <w:sz w:val="24"/>
          <w:szCs w:val="24"/>
        </w:rPr>
      </w:pPr>
    </w:p>
    <w:p w:rsidR="00EA7073" w:rsidRPr="00EC1AB2" w:rsidRDefault="00EA7073" w:rsidP="007A02A8">
      <w:pPr>
        <w:autoSpaceDE w:val="0"/>
        <w:autoSpaceDN w:val="0"/>
        <w:adjustRightInd w:val="0"/>
        <w:spacing w:after="0" w:line="360" w:lineRule="auto"/>
        <w:ind w:firstLine="1298"/>
        <w:jc w:val="both"/>
        <w:rPr>
          <w:rFonts w:ascii="Times New Roman" w:hAnsi="Times New Roman" w:cs="Times New Roman"/>
          <w:sz w:val="24"/>
          <w:szCs w:val="24"/>
        </w:rPr>
      </w:pPr>
    </w:p>
    <w:p w:rsidR="00EA7073" w:rsidRPr="00EC1AB2" w:rsidRDefault="00EA7073" w:rsidP="007A02A8">
      <w:pPr>
        <w:autoSpaceDE w:val="0"/>
        <w:autoSpaceDN w:val="0"/>
        <w:adjustRightInd w:val="0"/>
        <w:spacing w:after="0" w:line="360" w:lineRule="auto"/>
        <w:ind w:firstLine="1298"/>
        <w:jc w:val="both"/>
        <w:rPr>
          <w:rFonts w:ascii="Times New Roman" w:hAnsi="Times New Roman" w:cs="Times New Roman"/>
          <w:sz w:val="24"/>
          <w:szCs w:val="24"/>
        </w:rPr>
      </w:pPr>
    </w:p>
    <w:p w:rsidR="00EA7073" w:rsidRPr="00EC1AB2" w:rsidRDefault="00EA7073" w:rsidP="007A02A8">
      <w:pPr>
        <w:autoSpaceDE w:val="0"/>
        <w:autoSpaceDN w:val="0"/>
        <w:adjustRightInd w:val="0"/>
        <w:spacing w:after="0" w:line="360" w:lineRule="auto"/>
        <w:ind w:firstLine="1298"/>
        <w:jc w:val="both"/>
        <w:rPr>
          <w:rFonts w:ascii="Times New Roman" w:hAnsi="Times New Roman" w:cs="Times New Roman"/>
          <w:sz w:val="24"/>
          <w:szCs w:val="24"/>
        </w:rPr>
      </w:pPr>
    </w:p>
    <w:p w:rsidR="00EA7073" w:rsidRPr="00EC1AB2" w:rsidRDefault="00EA7073" w:rsidP="007A02A8">
      <w:pPr>
        <w:autoSpaceDE w:val="0"/>
        <w:autoSpaceDN w:val="0"/>
        <w:adjustRightInd w:val="0"/>
        <w:spacing w:after="0" w:line="360" w:lineRule="auto"/>
        <w:ind w:firstLine="1298"/>
        <w:jc w:val="both"/>
        <w:rPr>
          <w:rFonts w:ascii="Times New Roman" w:hAnsi="Times New Roman" w:cs="Times New Roman"/>
          <w:sz w:val="24"/>
          <w:szCs w:val="24"/>
        </w:rPr>
      </w:pPr>
    </w:p>
    <w:p w:rsidR="00582745" w:rsidRPr="00EC1AB2" w:rsidRDefault="00582745" w:rsidP="007A02A8">
      <w:pPr>
        <w:autoSpaceDE w:val="0"/>
        <w:autoSpaceDN w:val="0"/>
        <w:adjustRightInd w:val="0"/>
        <w:spacing w:after="0" w:line="360" w:lineRule="auto"/>
        <w:ind w:firstLine="1298"/>
        <w:jc w:val="both"/>
        <w:rPr>
          <w:rFonts w:ascii="Times New Roman" w:hAnsi="Times New Roman" w:cs="Times New Roman"/>
          <w:bCs/>
          <w:sz w:val="24"/>
          <w:szCs w:val="24"/>
        </w:rPr>
      </w:pPr>
    </w:p>
    <w:p w:rsidR="00582745" w:rsidRPr="00EC1AB2" w:rsidRDefault="00582745" w:rsidP="007A02A8">
      <w:pPr>
        <w:autoSpaceDE w:val="0"/>
        <w:autoSpaceDN w:val="0"/>
        <w:adjustRightInd w:val="0"/>
        <w:spacing w:after="0" w:line="360" w:lineRule="auto"/>
        <w:ind w:firstLine="1298"/>
        <w:jc w:val="both"/>
        <w:rPr>
          <w:rFonts w:ascii="Times New Roman" w:hAnsi="Times New Roman" w:cs="Times New Roman"/>
          <w:bCs/>
          <w:sz w:val="24"/>
          <w:szCs w:val="24"/>
        </w:rPr>
      </w:pPr>
    </w:p>
    <w:p w:rsidR="00582745" w:rsidRPr="00EC1AB2" w:rsidRDefault="00582745" w:rsidP="007A02A8">
      <w:pPr>
        <w:autoSpaceDE w:val="0"/>
        <w:autoSpaceDN w:val="0"/>
        <w:adjustRightInd w:val="0"/>
        <w:spacing w:after="0" w:line="360" w:lineRule="auto"/>
        <w:ind w:firstLine="1298"/>
        <w:jc w:val="both"/>
        <w:rPr>
          <w:rFonts w:ascii="Times New Roman" w:hAnsi="Times New Roman" w:cs="Times New Roman"/>
          <w:bCs/>
          <w:sz w:val="24"/>
          <w:szCs w:val="24"/>
        </w:rPr>
      </w:pPr>
    </w:p>
    <w:p w:rsidR="00582745" w:rsidRPr="00EC1AB2" w:rsidRDefault="009853F8" w:rsidP="007A02A8">
      <w:pPr>
        <w:autoSpaceDE w:val="0"/>
        <w:autoSpaceDN w:val="0"/>
        <w:adjustRightInd w:val="0"/>
        <w:spacing w:after="0" w:line="360" w:lineRule="auto"/>
        <w:ind w:firstLine="1298"/>
        <w:jc w:val="both"/>
        <w:rPr>
          <w:rFonts w:ascii="Times New Roman" w:hAnsi="Times New Roman" w:cs="Times New Roman"/>
          <w:bCs/>
          <w:sz w:val="24"/>
          <w:szCs w:val="24"/>
        </w:rPr>
      </w:pPr>
      <w:r w:rsidRPr="00EC1AB2">
        <w:rPr>
          <w:rFonts w:ascii="Times New Roman" w:hAnsi="Times New Roman" w:cs="Times New Roman"/>
          <w:bCs/>
          <w:noProof/>
          <w:sz w:val="24"/>
          <w:szCs w:val="24"/>
          <w:lang w:eastAsia="lt-LT"/>
        </w:rPr>
        <mc:AlternateContent>
          <mc:Choice Requires="wps">
            <w:drawing>
              <wp:anchor distT="0" distB="0" distL="114300" distR="114300" simplePos="0" relativeHeight="251851776" behindDoc="0" locked="0" layoutInCell="1" allowOverlap="1" wp14:anchorId="1D783E77" wp14:editId="2901300D">
                <wp:simplePos x="0" y="0"/>
                <wp:positionH relativeFrom="column">
                  <wp:posOffset>384810</wp:posOffset>
                </wp:positionH>
                <wp:positionV relativeFrom="paragraph">
                  <wp:posOffset>201295</wp:posOffset>
                </wp:positionV>
                <wp:extent cx="95250" cy="104775"/>
                <wp:effectExtent l="0" t="0" r="0" b="9525"/>
                <wp:wrapNone/>
                <wp:docPr id="24" name="Rectangle 3"/>
                <wp:cNvGraphicFramePr/>
                <a:graphic xmlns:a="http://schemas.openxmlformats.org/drawingml/2006/main">
                  <a:graphicData uri="http://schemas.microsoft.com/office/word/2010/wordprocessingShape">
                    <wps:wsp>
                      <wps:cNvSpPr/>
                      <wps:spPr>
                        <a:xfrm>
                          <a:off x="0" y="0"/>
                          <a:ext cx="95250" cy="10477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rect id="Rectangle 3" o:spid="_x0000_s1026" style="position:absolute;margin-left:30.3pt;margin-top:15.85pt;width:7.5pt;height:8.25pt;z-index:2518517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" fillcolor="#e36c0a [2409]" stroked="f" strokeweight="2pt"/>
            </w:pict>
          </mc:Fallback>
        </mc:AlternateContent>
      </w:r>
      <w:r w:rsidRPr="00EC1AB2">
        <w:rPr>
          <w:rFonts w:ascii="Times New Roman" w:hAnsi="Times New Roman" w:cs="Times New Roman"/>
          <w:bCs/>
          <w:noProof/>
          <w:sz w:val="24"/>
          <w:szCs w:val="24"/>
          <w:lang w:eastAsia="lt-LT"/>
        </w:rPr>
        <mc:AlternateContent>
          <mc:Choice Requires="wps">
            <w:drawing>
              <wp:anchor distT="0" distB="0" distL="114300" distR="114300" simplePos="0" relativeHeight="251852800" behindDoc="0" locked="0" layoutInCell="1" allowOverlap="1" wp14:anchorId="2D9D2DE1" wp14:editId="01F5CB56">
                <wp:simplePos x="0" y="0"/>
                <wp:positionH relativeFrom="column">
                  <wp:posOffset>1823085</wp:posOffset>
                </wp:positionH>
                <wp:positionV relativeFrom="paragraph">
                  <wp:posOffset>204691</wp:posOffset>
                </wp:positionV>
                <wp:extent cx="95250" cy="104775"/>
                <wp:effectExtent l="0" t="0" r="0" b="9525"/>
                <wp:wrapNone/>
                <wp:docPr id="35" name="Rectangle 4"/>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C0E43C"/>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rect id="Rectangle 4" o:spid="_x0000_s1026" style="position:absolute;margin-left:143.55pt;margin-top:16.1pt;width:7.5pt;height:8.25pt;z-index:2518528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" fillcolor="#c0e43c" stroked="f" strokeweight="2pt"/>
            </w:pict>
          </mc:Fallback>
        </mc:AlternateContent>
      </w:r>
      <w:r w:rsidRPr="00EC1AB2">
        <w:rPr>
          <w:rFonts w:ascii="Times New Roman" w:hAnsi="Times New Roman" w:cs="Times New Roman"/>
          <w:bCs/>
          <w:noProof/>
          <w:sz w:val="24"/>
          <w:szCs w:val="24"/>
          <w:lang w:eastAsia="lt-LT"/>
        </w:rPr>
        <mc:AlternateContent>
          <mc:Choice Requires="wps">
            <w:drawing>
              <wp:anchor distT="0" distB="0" distL="114300" distR="114300" simplePos="0" relativeHeight="251850752" behindDoc="0" locked="0" layoutInCell="1" allowOverlap="1" wp14:anchorId="4D86575E" wp14:editId="35D282AC">
                <wp:simplePos x="0" y="0"/>
                <wp:positionH relativeFrom="column">
                  <wp:posOffset>268605</wp:posOffset>
                </wp:positionH>
                <wp:positionV relativeFrom="paragraph">
                  <wp:posOffset>173355</wp:posOffset>
                </wp:positionV>
                <wp:extent cx="3286125" cy="495300"/>
                <wp:effectExtent l="0" t="0" r="0" b="0"/>
                <wp:wrapNone/>
                <wp:docPr id="23" name="TextBox 2"/>
                <wp:cNvGraphicFramePr/>
                <a:graphic xmlns:a="http://schemas.openxmlformats.org/drawingml/2006/main">
                  <a:graphicData uri="http://schemas.microsoft.com/office/word/2010/wordprocessingShape">
                    <wps:wsp>
                      <wps:cNvSpPr txBox="1"/>
                      <wps:spPr>
                        <a:xfrm>
                          <a:off x="0" y="0"/>
                          <a:ext cx="3286125" cy="495300"/>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rsidR="00EC1AB2" w:rsidRPr="00CB652D" w:rsidRDefault="00EC1AB2" w:rsidP="002E199D">
                            <w:pPr>
                              <w:pStyle w:val="NormalWeb"/>
                              <w:rPr>
                                <w:sz w:val="20"/>
                                <w:szCs w:val="20"/>
                              </w:rPr>
                            </w:pPr>
                            <w:r>
                              <w:rPr>
                                <w:rFonts w:asciiTheme="minorHAnsi" w:hAnsi="Calibri" w:cstheme="minorBidi"/>
                                <w:color w:val="000000" w:themeColor="dark1"/>
                                <w:sz w:val="22"/>
                                <w:szCs w:val="22"/>
                              </w:rPr>
                              <w:t xml:space="preserve">     </w:t>
                            </w:r>
                            <w:r w:rsidRPr="00CB652D">
                              <w:rPr>
                                <w:color w:val="000000" w:themeColor="dark1"/>
                                <w:sz w:val="20"/>
                                <w:szCs w:val="20"/>
                              </w:rPr>
                              <w:t>Nuosaikios inovatorės         Inovacijų šalininkės</w:t>
                            </w:r>
                          </w:p>
                          <w:p w:rsidR="00EC1AB2" w:rsidRPr="00CB652D" w:rsidRDefault="00EC1AB2" w:rsidP="002E199D">
                            <w:pPr>
                              <w:pStyle w:val="NormalWeb"/>
                              <w:rPr>
                                <w:sz w:val="20"/>
                                <w:szCs w:val="20"/>
                              </w:rPr>
                            </w:pPr>
                            <w:r w:rsidRPr="00CB652D">
                              <w:rPr>
                                <w:color w:val="000000" w:themeColor="dark1"/>
                                <w:sz w:val="20"/>
                                <w:szCs w:val="20"/>
                              </w:rPr>
                              <w:t xml:space="preserve">     Vidutinės inovatorės         </w:t>
                            </w:r>
                            <w:r>
                              <w:rPr>
                                <w:color w:val="000000" w:themeColor="dark1"/>
                                <w:sz w:val="20"/>
                                <w:szCs w:val="20"/>
                              </w:rPr>
                              <w:t xml:space="preserve">  </w:t>
                            </w:r>
                            <w:r w:rsidRPr="00CB652D">
                              <w:rPr>
                                <w:color w:val="000000" w:themeColor="dark1"/>
                                <w:sz w:val="20"/>
                                <w:szCs w:val="20"/>
                              </w:rPr>
                              <w:t xml:space="preserve"> Inovacijų lyderės</w:t>
                            </w:r>
                          </w:p>
                        </w:txbxContent>
                      </wps:txbx>
                      <wps:bodyPr vertOverflow="clip" horzOverflow="clip" wrap="square" rtlCol="0" anchor="t">
                        <a:noAutofit/>
                      </wps:bodyPr>
                    </wps:wsp>
                  </a:graphicData>
                </a:graphic>
                <wp14:sizeRelV relativeFrom="margin">
                  <wp14:pctHeight>0</wp14:pctHeight>
                </wp14:sizeRelV>
              </wp:anchor>
            </w:drawing>
          </mc:Choice>
          <mc:Fallback>
            <w:pict>
              <v:shape id="_x0000_s1046" type="#_x0000_t202" style="position:absolute;left:0;text-align:left;margin-left:21.15pt;margin-top:13.65pt;width:258.75pt;height:39pt;z-index:2518507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" filled="f" stroked="f">
                <v:textbox>
                  <w:txbxContent>
                    <w:p w:rsidR="00A03476" w:rsidRPr="00CB652D" w:rsidRDefault="00A03476" w:rsidP="002E199D">
                      <w:pPr>
                        <w:pStyle w:val="NormalWeb"/>
                        <w:rPr>
                          <w:sz w:val="20"/>
                          <w:szCs w:val="20"/>
                        </w:rPr>
                      </w:pPr>
                      <w:r>
                        <w:rPr>
                          <w:rFonts w:asciiTheme="minorHAnsi" w:hAnsi="Calibri" w:cstheme="minorBidi"/>
                          <w:color w:val="000000" w:themeColor="dark1"/>
                          <w:sz w:val="22"/>
                          <w:szCs w:val="22"/>
                        </w:rPr>
                        <w:t xml:space="preserve">     </w:t>
                      </w:r>
                      <w:r w:rsidRPr="00CB652D">
                        <w:rPr>
                          <w:color w:val="000000" w:themeColor="dark1"/>
                          <w:sz w:val="20"/>
                          <w:szCs w:val="20"/>
                        </w:rPr>
                        <w:t>Nuosaikios inovatorės         Inovacijų šalininkės</w:t>
                      </w:r>
                    </w:p>
                    <w:p w:rsidR="00A03476" w:rsidRPr="00CB652D" w:rsidRDefault="00A03476" w:rsidP="002E199D">
                      <w:pPr>
                        <w:pStyle w:val="NormalWeb"/>
                        <w:rPr>
                          <w:sz w:val="20"/>
                          <w:szCs w:val="20"/>
                        </w:rPr>
                      </w:pPr>
                      <w:r w:rsidRPr="00CB652D">
                        <w:rPr>
                          <w:color w:val="000000" w:themeColor="dark1"/>
                          <w:sz w:val="20"/>
                          <w:szCs w:val="20"/>
                        </w:rPr>
                        <w:t xml:space="preserve">     Vidutinės inovatorės         </w:t>
                      </w:r>
                      <w:r>
                        <w:rPr>
                          <w:color w:val="000000" w:themeColor="dark1"/>
                          <w:sz w:val="20"/>
                          <w:szCs w:val="20"/>
                        </w:rPr>
                        <w:t xml:space="preserve">  </w:t>
                      </w:r>
                      <w:r w:rsidRPr="00CB652D">
                        <w:rPr>
                          <w:color w:val="000000" w:themeColor="dark1"/>
                          <w:sz w:val="20"/>
                          <w:szCs w:val="20"/>
                        </w:rPr>
                        <w:t xml:space="preserve"> Inovacijų lyderės</w:t>
                      </w:r>
                    </w:p>
                  </w:txbxContent>
                </v:textbox>
              </v:shape>
            </w:pict>
          </mc:Fallback>
        </mc:AlternateContent>
      </w:r>
    </w:p>
    <w:p w:rsidR="00582745" w:rsidRPr="00EC1AB2" w:rsidRDefault="009853F8" w:rsidP="007A02A8">
      <w:pPr>
        <w:autoSpaceDE w:val="0"/>
        <w:autoSpaceDN w:val="0"/>
        <w:adjustRightInd w:val="0"/>
        <w:spacing w:after="0" w:line="360" w:lineRule="auto"/>
        <w:ind w:firstLine="1298"/>
        <w:jc w:val="both"/>
        <w:rPr>
          <w:rFonts w:ascii="Times New Roman" w:hAnsi="Times New Roman" w:cs="Times New Roman"/>
          <w:bCs/>
          <w:sz w:val="24"/>
          <w:szCs w:val="24"/>
        </w:rPr>
      </w:pPr>
      <w:r w:rsidRPr="00EC1AB2">
        <w:rPr>
          <w:rFonts w:ascii="Times New Roman" w:hAnsi="Times New Roman" w:cs="Times New Roman"/>
          <w:bCs/>
          <w:noProof/>
          <w:sz w:val="24"/>
          <w:szCs w:val="24"/>
          <w:lang w:eastAsia="lt-LT"/>
        </w:rPr>
        <mc:AlternateContent>
          <mc:Choice Requires="wps">
            <w:drawing>
              <wp:anchor distT="0" distB="0" distL="114300" distR="114300" simplePos="0" relativeHeight="251854848" behindDoc="0" locked="0" layoutInCell="1" allowOverlap="1" wp14:anchorId="67EBE2F0" wp14:editId="5F6E04F3">
                <wp:simplePos x="0" y="0"/>
                <wp:positionH relativeFrom="column">
                  <wp:posOffset>1823085</wp:posOffset>
                </wp:positionH>
                <wp:positionV relativeFrom="paragraph">
                  <wp:posOffset>102235</wp:posOffset>
                </wp:positionV>
                <wp:extent cx="95250" cy="104775"/>
                <wp:effectExtent l="0" t="0" r="0" b="9525"/>
                <wp:wrapNone/>
                <wp:docPr id="71" name="Rectangle 6"/>
                <wp:cNvGraphicFramePr/>
                <a:graphic xmlns:a="http://schemas.openxmlformats.org/drawingml/2006/main">
                  <a:graphicData uri="http://schemas.microsoft.com/office/word/2010/wordprocessingShape">
                    <wps:wsp>
                      <wps:cNvSpPr/>
                      <wps:spPr>
                        <a:xfrm>
                          <a:off x="0" y="0"/>
                          <a:ext cx="95250" cy="104775"/>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rect id="Rectangle 6" o:spid="_x0000_s1026" style="position:absolute;margin-left:143.55pt;margin-top:8.05pt;width:7.5pt;height:8.25pt;z-index:2518548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" fillcolor="#243f60 [1604]" stroked="f" strokeweight="2pt"/>
            </w:pict>
          </mc:Fallback>
        </mc:AlternateContent>
      </w:r>
      <w:r w:rsidRPr="00EC1AB2">
        <w:rPr>
          <w:rFonts w:ascii="Times New Roman" w:hAnsi="Times New Roman" w:cs="Times New Roman"/>
          <w:bCs/>
          <w:noProof/>
          <w:sz w:val="24"/>
          <w:szCs w:val="24"/>
          <w:lang w:eastAsia="lt-LT"/>
        </w:rPr>
        <mc:AlternateContent>
          <mc:Choice Requires="wps">
            <w:drawing>
              <wp:anchor distT="0" distB="0" distL="114300" distR="114300" simplePos="0" relativeHeight="251853824" behindDoc="0" locked="0" layoutInCell="1" allowOverlap="1" wp14:anchorId="1AC0D078" wp14:editId="720A5E89">
                <wp:simplePos x="0" y="0"/>
                <wp:positionH relativeFrom="column">
                  <wp:posOffset>384810</wp:posOffset>
                </wp:positionH>
                <wp:positionV relativeFrom="paragraph">
                  <wp:posOffset>102235</wp:posOffset>
                </wp:positionV>
                <wp:extent cx="95250" cy="104775"/>
                <wp:effectExtent l="0" t="0" r="0" b="9525"/>
                <wp:wrapNone/>
                <wp:docPr id="60" name="Rectangle 5"/>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9BE5E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rect id="Rectangle 5" o:spid="_x0000_s1026" style="position:absolute;margin-left:30.3pt;margin-top:8.05pt;width:7.5pt;height:8.25pt;z-index:2518538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" fillcolor="#9be5ef" stroked="f" strokeweight="2pt"/>
            </w:pict>
          </mc:Fallback>
        </mc:AlternateContent>
      </w:r>
    </w:p>
    <w:p w:rsidR="00582745" w:rsidRPr="00EC1AB2" w:rsidRDefault="00582745" w:rsidP="007A02A8">
      <w:pPr>
        <w:autoSpaceDE w:val="0"/>
        <w:autoSpaceDN w:val="0"/>
        <w:adjustRightInd w:val="0"/>
        <w:spacing w:after="0" w:line="360" w:lineRule="auto"/>
        <w:jc w:val="both"/>
        <w:rPr>
          <w:rFonts w:ascii="Times New Roman" w:hAnsi="Times New Roman" w:cs="Times New Roman"/>
          <w:bCs/>
          <w:sz w:val="24"/>
          <w:szCs w:val="24"/>
        </w:rPr>
      </w:pPr>
    </w:p>
    <w:p w:rsidR="002E199D" w:rsidRPr="00EC1AB2" w:rsidRDefault="002E199D" w:rsidP="00812D85">
      <w:pPr>
        <w:autoSpaceDE w:val="0"/>
        <w:autoSpaceDN w:val="0"/>
        <w:adjustRightInd w:val="0"/>
        <w:spacing w:after="0" w:line="360" w:lineRule="auto"/>
        <w:ind w:firstLine="567"/>
        <w:jc w:val="both"/>
        <w:rPr>
          <w:rFonts w:ascii="Times New Roman" w:hAnsi="Times New Roman" w:cs="Times New Roman"/>
          <w:sz w:val="20"/>
          <w:szCs w:val="20"/>
        </w:rPr>
      </w:pPr>
      <w:r w:rsidRPr="00EC1AB2">
        <w:rPr>
          <w:rFonts w:ascii="Times New Roman" w:hAnsi="Times New Roman" w:cs="Times New Roman"/>
          <w:b/>
          <w:sz w:val="20"/>
          <w:szCs w:val="20"/>
        </w:rPr>
        <w:t>Šaltinis:</w:t>
      </w:r>
      <w:r w:rsidRPr="00EC1AB2">
        <w:rPr>
          <w:rFonts w:ascii="Times New Roman" w:hAnsi="Times New Roman" w:cs="Times New Roman"/>
          <w:sz w:val="20"/>
          <w:szCs w:val="20"/>
        </w:rPr>
        <w:t xml:space="preserve"> sudaryta pagal Innovation Union Scoreboard, 2011</w:t>
      </w:r>
    </w:p>
    <w:p w:rsidR="002E199D" w:rsidRPr="00EC1AB2" w:rsidRDefault="00846CC0" w:rsidP="007A02A8">
      <w:pPr>
        <w:pStyle w:val="Heading5"/>
        <w:spacing w:before="0" w:line="360" w:lineRule="auto"/>
        <w:jc w:val="center"/>
        <w:rPr>
          <w:rFonts w:ascii="Times New Roman" w:hAnsi="Times New Roman" w:cs="Times New Roman"/>
          <w:b/>
          <w:color w:val="auto"/>
          <w:sz w:val="24"/>
          <w:szCs w:val="24"/>
        </w:rPr>
      </w:pPr>
      <w:bookmarkStart w:id="156" w:name="_Toc320761932"/>
      <w:bookmarkStart w:id="157" w:name="_Toc320762167"/>
      <w:bookmarkStart w:id="158" w:name="_Toc320762570"/>
      <w:r w:rsidRPr="00EC1AB2">
        <w:rPr>
          <w:rFonts w:ascii="Times New Roman" w:hAnsi="Times New Roman" w:cs="Times New Roman"/>
          <w:color w:val="auto"/>
          <w:sz w:val="24"/>
          <w:szCs w:val="24"/>
        </w:rPr>
        <w:t>17</w:t>
      </w:r>
      <w:r w:rsidR="002E199D" w:rsidRPr="00EC1AB2">
        <w:rPr>
          <w:rFonts w:ascii="Times New Roman" w:hAnsi="Times New Roman" w:cs="Times New Roman"/>
          <w:color w:val="auto"/>
          <w:sz w:val="24"/>
          <w:szCs w:val="24"/>
        </w:rPr>
        <w:t xml:space="preserve"> pav.</w:t>
      </w:r>
      <w:r w:rsidR="002E199D" w:rsidRPr="00EC1AB2">
        <w:rPr>
          <w:rFonts w:ascii="Times New Roman" w:hAnsi="Times New Roman" w:cs="Times New Roman"/>
          <w:b/>
          <w:color w:val="auto"/>
          <w:sz w:val="24"/>
          <w:szCs w:val="24"/>
        </w:rPr>
        <w:t xml:space="preserve"> </w:t>
      </w:r>
      <w:r w:rsidR="0077102D" w:rsidRPr="00EC1AB2">
        <w:rPr>
          <w:rFonts w:ascii="Times New Roman" w:hAnsi="Times New Roman" w:cs="Times New Roman"/>
          <w:b/>
          <w:color w:val="auto"/>
          <w:sz w:val="24"/>
          <w:szCs w:val="24"/>
        </w:rPr>
        <w:t>Inovacijų pardavimai rinkai ir įmonėms bei išlaidos</w:t>
      </w:r>
      <w:bookmarkEnd w:id="156"/>
      <w:bookmarkEnd w:id="157"/>
      <w:bookmarkEnd w:id="158"/>
      <w:r w:rsidR="00E278FF" w:rsidRPr="00EC1AB2">
        <w:rPr>
          <w:rFonts w:ascii="Times New Roman" w:hAnsi="Times New Roman" w:cs="Times New Roman"/>
          <w:b/>
          <w:color w:val="auto"/>
          <w:sz w:val="24"/>
          <w:szCs w:val="24"/>
        </w:rPr>
        <w:t xml:space="preserve"> moksliniams tyrimams ir eksperimentinei plėtrai</w:t>
      </w:r>
    </w:p>
    <w:p w:rsidR="00DE30C9" w:rsidRPr="00EC1AB2" w:rsidRDefault="00DE30C9" w:rsidP="007A02A8">
      <w:pPr>
        <w:spacing w:after="0" w:line="360" w:lineRule="auto"/>
        <w:rPr>
          <w:rFonts w:ascii="Times New Roman" w:hAnsi="Times New Roman" w:cs="Times New Roman"/>
        </w:rPr>
      </w:pPr>
    </w:p>
    <w:p w:rsidR="00582745" w:rsidRPr="00EC1AB2" w:rsidRDefault="005C4E0F" w:rsidP="007A02A8">
      <w:pPr>
        <w:autoSpaceDE w:val="0"/>
        <w:autoSpaceDN w:val="0"/>
        <w:adjustRightInd w:val="0"/>
        <w:spacing w:after="0" w:line="360" w:lineRule="auto"/>
        <w:ind w:firstLine="567"/>
        <w:jc w:val="both"/>
        <w:rPr>
          <w:rFonts w:ascii="Times New Roman" w:hAnsi="Times New Roman" w:cs="Times New Roman"/>
          <w:bCs/>
          <w:sz w:val="24"/>
          <w:szCs w:val="24"/>
        </w:rPr>
      </w:pPr>
      <w:r w:rsidRPr="00EC1AB2">
        <w:rPr>
          <w:rFonts w:ascii="Times New Roman" w:hAnsi="Times New Roman" w:cs="Times New Roman"/>
          <w:bCs/>
          <w:sz w:val="24"/>
          <w:szCs w:val="24"/>
        </w:rPr>
        <w:t xml:space="preserve">Kaip matyti iš </w:t>
      </w:r>
      <w:r w:rsidR="00846CC0" w:rsidRPr="00EC1AB2">
        <w:rPr>
          <w:rFonts w:ascii="Times New Roman" w:hAnsi="Times New Roman" w:cs="Times New Roman"/>
          <w:bCs/>
          <w:sz w:val="24"/>
          <w:szCs w:val="24"/>
        </w:rPr>
        <w:t>17</w:t>
      </w:r>
      <w:r w:rsidRPr="00EC1AB2">
        <w:rPr>
          <w:rFonts w:ascii="Times New Roman" w:hAnsi="Times New Roman" w:cs="Times New Roman"/>
          <w:bCs/>
          <w:sz w:val="24"/>
          <w:szCs w:val="24"/>
        </w:rPr>
        <w:t xml:space="preserve"> pav. </w:t>
      </w:r>
      <w:r w:rsidR="00CC3D57" w:rsidRPr="00EC1AB2">
        <w:rPr>
          <w:rFonts w:ascii="Times New Roman" w:hAnsi="Times New Roman" w:cs="Times New Roman"/>
          <w:bCs/>
          <w:sz w:val="24"/>
          <w:szCs w:val="24"/>
        </w:rPr>
        <w:t>šalims daugiausiai išleidusio</w:t>
      </w:r>
      <w:r w:rsidR="00701CC6" w:rsidRPr="00EC1AB2">
        <w:rPr>
          <w:rFonts w:ascii="Times New Roman" w:hAnsi="Times New Roman" w:cs="Times New Roman"/>
          <w:bCs/>
          <w:sz w:val="24"/>
          <w:szCs w:val="24"/>
        </w:rPr>
        <w:t>m</w:t>
      </w:r>
      <w:r w:rsidR="00CC3D57" w:rsidRPr="00EC1AB2">
        <w:rPr>
          <w:rFonts w:ascii="Times New Roman" w:hAnsi="Times New Roman" w:cs="Times New Roman"/>
          <w:bCs/>
          <w:sz w:val="24"/>
          <w:szCs w:val="24"/>
        </w:rPr>
        <w:t xml:space="preserve">s MTEP, t.y. </w:t>
      </w:r>
      <w:r w:rsidR="00701CC6" w:rsidRPr="00EC1AB2">
        <w:rPr>
          <w:rFonts w:ascii="Times New Roman" w:hAnsi="Times New Roman" w:cs="Times New Roman"/>
          <w:bCs/>
          <w:sz w:val="24"/>
          <w:szCs w:val="24"/>
        </w:rPr>
        <w:t>Suomijai ir Švedijai nepavyko parduoti tiek inovacijų rinkai ir įmonėms, kaip Graikijai ar Čekijos Respublikai.</w:t>
      </w:r>
    </w:p>
    <w:p w:rsidR="003B169F" w:rsidRPr="00EC1AB2" w:rsidRDefault="00987B95"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noProof/>
          <w:sz w:val="24"/>
          <w:szCs w:val="24"/>
          <w:lang w:eastAsia="lt-LT"/>
        </w:rPr>
        <w:lastRenderedPageBreak/>
        <mc:AlternateContent>
          <mc:Choice Requires="wps">
            <w:drawing>
              <wp:anchor distT="0" distB="0" distL="114300" distR="114300" simplePos="0" relativeHeight="251756544" behindDoc="0" locked="0" layoutInCell="1" allowOverlap="1" wp14:anchorId="12D9B0E6" wp14:editId="4464163C">
                <wp:simplePos x="0" y="0"/>
                <wp:positionH relativeFrom="column">
                  <wp:posOffset>-3997325</wp:posOffset>
                </wp:positionH>
                <wp:positionV relativeFrom="paragraph">
                  <wp:posOffset>330835</wp:posOffset>
                </wp:positionV>
                <wp:extent cx="95250" cy="104775"/>
                <wp:effectExtent l="0" t="0" r="0" b="9525"/>
                <wp:wrapNone/>
                <wp:docPr id="67" name="Rectangle 6"/>
                <wp:cNvGraphicFramePr/>
                <a:graphic xmlns:a="http://schemas.openxmlformats.org/drawingml/2006/main">
                  <a:graphicData uri="http://schemas.microsoft.com/office/word/2010/wordprocessingShape">
                    <wps:wsp>
                      <wps:cNvSpPr/>
                      <wps:spPr>
                        <a:xfrm>
                          <a:off x="0" y="0"/>
                          <a:ext cx="95250" cy="104775"/>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rect id="Rectangle 6" o:spid="_x0000_s1026" style="position:absolute;margin-left:-314.75pt;margin-top:26.05pt;width:7.5pt;height:8.25pt;z-index:2517565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" fillcolor="#243f60 [1604]" stroked="f" strokeweight="2pt"/>
            </w:pict>
          </mc:Fallback>
        </mc:AlternateContent>
      </w:r>
      <w:r w:rsidRPr="00EC1AB2">
        <w:rPr>
          <w:rFonts w:ascii="Times New Roman" w:hAnsi="Times New Roman" w:cs="Times New Roman"/>
          <w:noProof/>
          <w:sz w:val="24"/>
          <w:szCs w:val="24"/>
          <w:lang w:eastAsia="lt-LT"/>
        </w:rPr>
        <mc:AlternateContent>
          <mc:Choice Requires="wps">
            <w:drawing>
              <wp:anchor distT="0" distB="0" distL="114300" distR="114300" simplePos="0" relativeHeight="251755520" behindDoc="0" locked="0" layoutInCell="1" allowOverlap="1" wp14:anchorId="4EB5DBDB" wp14:editId="31C03527">
                <wp:simplePos x="0" y="0"/>
                <wp:positionH relativeFrom="column">
                  <wp:posOffset>-5407025</wp:posOffset>
                </wp:positionH>
                <wp:positionV relativeFrom="paragraph">
                  <wp:posOffset>330835</wp:posOffset>
                </wp:positionV>
                <wp:extent cx="95250" cy="104775"/>
                <wp:effectExtent l="0" t="0" r="0" b="9525"/>
                <wp:wrapNone/>
                <wp:docPr id="66" name="Rectangle 5"/>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9BE5E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rect id="Rectangle 5" o:spid="_x0000_s1026" style="position:absolute;margin-left:-425.75pt;margin-top:26.05pt;width:7.5pt;height:8.25pt;z-index:2517555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" fillcolor="#9be5ef" stroked="f" strokeweight="2pt"/>
            </w:pict>
          </mc:Fallback>
        </mc:AlternateContent>
      </w:r>
      <w:r w:rsidRPr="00EC1AB2">
        <w:rPr>
          <w:rFonts w:ascii="Times New Roman" w:hAnsi="Times New Roman" w:cs="Times New Roman"/>
          <w:noProof/>
          <w:sz w:val="24"/>
          <w:szCs w:val="24"/>
          <w:lang w:eastAsia="lt-LT"/>
        </w:rPr>
        <mc:AlternateContent>
          <mc:Choice Requires="wps">
            <w:drawing>
              <wp:anchor distT="0" distB="0" distL="114300" distR="114300" simplePos="0" relativeHeight="251754496" behindDoc="0" locked="0" layoutInCell="1" allowOverlap="1" wp14:anchorId="35C3F5C8" wp14:editId="39B8C09D">
                <wp:simplePos x="0" y="0"/>
                <wp:positionH relativeFrom="column">
                  <wp:posOffset>-3997325</wp:posOffset>
                </wp:positionH>
                <wp:positionV relativeFrom="paragraph">
                  <wp:posOffset>149860</wp:posOffset>
                </wp:positionV>
                <wp:extent cx="95250" cy="104775"/>
                <wp:effectExtent l="0" t="0" r="0" b="9525"/>
                <wp:wrapNone/>
                <wp:docPr id="65" name="Rectangle 4"/>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C0E43C"/>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rect id="Rectangle 4" o:spid="_x0000_s1026" style="position:absolute;margin-left:-314.75pt;margin-top:11.8pt;width:7.5pt;height:8.25pt;z-index:2517544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" fillcolor="#c0e43c" stroked="f" strokeweight="2pt"/>
            </w:pict>
          </mc:Fallback>
        </mc:AlternateContent>
      </w:r>
      <w:r w:rsidRPr="00EC1AB2">
        <w:rPr>
          <w:rFonts w:ascii="Times New Roman" w:hAnsi="Times New Roman" w:cs="Times New Roman"/>
          <w:noProof/>
          <w:sz w:val="24"/>
          <w:szCs w:val="24"/>
          <w:lang w:eastAsia="lt-LT"/>
        </w:rPr>
        <mc:AlternateContent>
          <mc:Choice Requires="wps">
            <w:drawing>
              <wp:anchor distT="0" distB="0" distL="114300" distR="114300" simplePos="0" relativeHeight="251753472" behindDoc="0" locked="0" layoutInCell="1" allowOverlap="1" wp14:anchorId="7FC22165" wp14:editId="55882224">
                <wp:simplePos x="0" y="0"/>
                <wp:positionH relativeFrom="column">
                  <wp:posOffset>-5407025</wp:posOffset>
                </wp:positionH>
                <wp:positionV relativeFrom="paragraph">
                  <wp:posOffset>149860</wp:posOffset>
                </wp:positionV>
                <wp:extent cx="95250" cy="104775"/>
                <wp:effectExtent l="0" t="0" r="0" b="9525"/>
                <wp:wrapNone/>
                <wp:docPr id="61" name="Rectangle 3"/>
                <wp:cNvGraphicFramePr/>
                <a:graphic xmlns:a="http://schemas.openxmlformats.org/drawingml/2006/main">
                  <a:graphicData uri="http://schemas.microsoft.com/office/word/2010/wordprocessingShape">
                    <wps:wsp>
                      <wps:cNvSpPr/>
                      <wps:spPr>
                        <a:xfrm>
                          <a:off x="0" y="0"/>
                          <a:ext cx="95250" cy="10477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rect id="Rectangle 3" o:spid="_x0000_s1026" style="position:absolute;margin-left:-425.75pt;margin-top:11.8pt;width:7.5pt;height:8.25pt;z-index:2517534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" fillcolor="#e36c0a [2409]" stroked="f" strokeweight="2pt"/>
            </w:pict>
          </mc:Fallback>
        </mc:AlternateContent>
      </w:r>
      <w:r w:rsidRPr="00EC1AB2">
        <w:rPr>
          <w:rFonts w:ascii="Times New Roman" w:hAnsi="Times New Roman" w:cs="Times New Roman"/>
          <w:noProof/>
          <w:sz w:val="24"/>
          <w:szCs w:val="24"/>
          <w:lang w:eastAsia="lt-LT"/>
        </w:rPr>
        <mc:AlternateContent>
          <mc:Choice Requires="wps">
            <w:drawing>
              <wp:anchor distT="0" distB="0" distL="114300" distR="114300" simplePos="0" relativeHeight="251752448" behindDoc="0" locked="0" layoutInCell="1" allowOverlap="1" wp14:anchorId="6292A20E" wp14:editId="2E5FF144">
                <wp:simplePos x="0" y="0"/>
                <wp:positionH relativeFrom="column">
                  <wp:posOffset>-5542280</wp:posOffset>
                </wp:positionH>
                <wp:positionV relativeFrom="paragraph">
                  <wp:posOffset>100965</wp:posOffset>
                </wp:positionV>
                <wp:extent cx="3286125" cy="495300"/>
                <wp:effectExtent l="0" t="0" r="0" b="0"/>
                <wp:wrapNone/>
                <wp:docPr id="12" name="TextBox 2"/>
                <wp:cNvGraphicFramePr/>
                <a:graphic xmlns:a="http://schemas.openxmlformats.org/drawingml/2006/main">
                  <a:graphicData uri="http://schemas.microsoft.com/office/word/2010/wordprocessingShape">
                    <wps:wsp>
                      <wps:cNvSpPr txBox="1"/>
                      <wps:spPr>
                        <a:xfrm>
                          <a:off x="0" y="0"/>
                          <a:ext cx="3286125" cy="495300"/>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rsidR="00EC1AB2" w:rsidRPr="00CB652D" w:rsidRDefault="00EC1AB2" w:rsidP="00987B95">
                            <w:pPr>
                              <w:pStyle w:val="NormalWeb"/>
                              <w:rPr>
                                <w:sz w:val="20"/>
                                <w:szCs w:val="20"/>
                              </w:rPr>
                            </w:pPr>
                            <w:r>
                              <w:rPr>
                                <w:rFonts w:asciiTheme="minorHAnsi" w:hAnsi="Calibri" w:cstheme="minorBidi"/>
                                <w:color w:val="000000" w:themeColor="dark1"/>
                                <w:sz w:val="22"/>
                                <w:szCs w:val="22"/>
                              </w:rPr>
                              <w:t xml:space="preserve">     </w:t>
                            </w:r>
                            <w:r w:rsidRPr="00CB652D">
                              <w:rPr>
                                <w:color w:val="000000" w:themeColor="dark1"/>
                                <w:sz w:val="20"/>
                                <w:szCs w:val="20"/>
                              </w:rPr>
                              <w:t>Nuosaikios inovatorės         Inovacijų šalininkės</w:t>
                            </w:r>
                          </w:p>
                          <w:p w:rsidR="00EC1AB2" w:rsidRPr="00CB652D" w:rsidRDefault="00EC1AB2" w:rsidP="00987B95">
                            <w:pPr>
                              <w:pStyle w:val="NormalWeb"/>
                              <w:rPr>
                                <w:sz w:val="20"/>
                                <w:szCs w:val="20"/>
                              </w:rPr>
                            </w:pPr>
                            <w:r w:rsidRPr="00CB652D">
                              <w:rPr>
                                <w:color w:val="000000" w:themeColor="dark1"/>
                                <w:sz w:val="20"/>
                                <w:szCs w:val="20"/>
                              </w:rPr>
                              <w:t xml:space="preserve">     Vidutinės inovatorės         </w:t>
                            </w:r>
                            <w:r>
                              <w:rPr>
                                <w:color w:val="000000" w:themeColor="dark1"/>
                                <w:sz w:val="20"/>
                                <w:szCs w:val="20"/>
                              </w:rPr>
                              <w:t xml:space="preserve">  </w:t>
                            </w:r>
                            <w:r w:rsidRPr="00CB652D">
                              <w:rPr>
                                <w:color w:val="000000" w:themeColor="dark1"/>
                                <w:sz w:val="20"/>
                                <w:szCs w:val="20"/>
                              </w:rPr>
                              <w:t xml:space="preserve"> Inovacijų lyderės</w:t>
                            </w:r>
                          </w:p>
                        </w:txbxContent>
                      </wps:txbx>
                      <wps:bodyPr vertOverflow="clip" horzOverflow="clip" wrap="square" rtlCol="0" anchor="t">
                        <a:noAutofit/>
                      </wps:bodyPr>
                    </wps:wsp>
                  </a:graphicData>
                </a:graphic>
                <wp14:sizeRelV relativeFrom="margin">
                  <wp14:pctHeight>0</wp14:pctHeight>
                </wp14:sizeRelV>
              </wp:anchor>
            </w:drawing>
          </mc:Choice>
          <mc:Fallback>
            <w:pict>
              <v:shape id="_x0000_s1047" type="#_x0000_t202" style="position:absolute;left:0;text-align:left;margin-left:-436.4pt;margin-top:7.95pt;width:258.75pt;height:39pt;z-index:2517524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" filled="f" stroked="f">
                <v:textbox>
                  <w:txbxContent>
                    <w:p w:rsidR="00A03476" w:rsidRPr="00CB652D" w:rsidRDefault="00A03476" w:rsidP="00987B95">
                      <w:pPr>
                        <w:pStyle w:val="NormalWeb"/>
                        <w:rPr>
                          <w:sz w:val="20"/>
                          <w:szCs w:val="20"/>
                        </w:rPr>
                      </w:pPr>
                      <w:r>
                        <w:rPr>
                          <w:rFonts w:asciiTheme="minorHAnsi" w:hAnsi="Calibri" w:cstheme="minorBidi"/>
                          <w:color w:val="000000" w:themeColor="dark1"/>
                          <w:sz w:val="22"/>
                          <w:szCs w:val="22"/>
                        </w:rPr>
                        <w:t xml:space="preserve">     </w:t>
                      </w:r>
                      <w:r w:rsidRPr="00CB652D">
                        <w:rPr>
                          <w:color w:val="000000" w:themeColor="dark1"/>
                          <w:sz w:val="20"/>
                          <w:szCs w:val="20"/>
                        </w:rPr>
                        <w:t>Nuosaikios inovatorės         Inovacijų šalininkės</w:t>
                      </w:r>
                    </w:p>
                    <w:p w:rsidR="00A03476" w:rsidRPr="00CB652D" w:rsidRDefault="00A03476" w:rsidP="00987B95">
                      <w:pPr>
                        <w:pStyle w:val="NormalWeb"/>
                        <w:rPr>
                          <w:sz w:val="20"/>
                          <w:szCs w:val="20"/>
                        </w:rPr>
                      </w:pPr>
                      <w:r w:rsidRPr="00CB652D">
                        <w:rPr>
                          <w:color w:val="000000" w:themeColor="dark1"/>
                          <w:sz w:val="20"/>
                          <w:szCs w:val="20"/>
                        </w:rPr>
                        <w:t xml:space="preserve">     Vidutinės inovatorės         </w:t>
                      </w:r>
                      <w:r>
                        <w:rPr>
                          <w:color w:val="000000" w:themeColor="dark1"/>
                          <w:sz w:val="20"/>
                          <w:szCs w:val="20"/>
                        </w:rPr>
                        <w:t xml:space="preserve">  </w:t>
                      </w:r>
                      <w:r w:rsidRPr="00CB652D">
                        <w:rPr>
                          <w:color w:val="000000" w:themeColor="dark1"/>
                          <w:sz w:val="20"/>
                          <w:szCs w:val="20"/>
                        </w:rPr>
                        <w:t xml:space="preserve"> Inovacijų lyderės</w:t>
                      </w:r>
                    </w:p>
                  </w:txbxContent>
                </v:textbox>
              </v:shape>
            </w:pict>
          </mc:Fallback>
        </mc:AlternateContent>
      </w:r>
      <w:r w:rsidR="006E65DD" w:rsidRPr="00EC1AB2">
        <w:rPr>
          <w:rFonts w:ascii="Times New Roman" w:hAnsi="Times New Roman" w:cs="Times New Roman"/>
          <w:bCs/>
          <w:sz w:val="24"/>
          <w:szCs w:val="24"/>
        </w:rPr>
        <w:t>Apibendrinant</w:t>
      </w:r>
      <w:r w:rsidR="00F243DE" w:rsidRPr="00EC1AB2">
        <w:rPr>
          <w:rFonts w:ascii="Times New Roman" w:hAnsi="Times New Roman" w:cs="Times New Roman"/>
          <w:bCs/>
          <w:sz w:val="24"/>
          <w:szCs w:val="24"/>
        </w:rPr>
        <w:t>,</w:t>
      </w:r>
      <w:r w:rsidR="00C21EE6" w:rsidRPr="00EC1AB2">
        <w:rPr>
          <w:rFonts w:ascii="Times New Roman" w:hAnsi="Times New Roman" w:cs="Times New Roman"/>
          <w:bCs/>
          <w:sz w:val="24"/>
          <w:szCs w:val="24"/>
        </w:rPr>
        <w:t xml:space="preserve"> norint </w:t>
      </w:r>
      <w:r w:rsidR="00B6053D" w:rsidRPr="00EC1AB2">
        <w:rPr>
          <w:rFonts w:ascii="Times New Roman" w:hAnsi="Times New Roman" w:cs="Times New Roman"/>
          <w:bCs/>
          <w:sz w:val="24"/>
          <w:szCs w:val="24"/>
        </w:rPr>
        <w:t>kad Lietuvos ekonomika</w:t>
      </w:r>
      <w:r w:rsidR="00A51B04" w:rsidRPr="00EC1AB2">
        <w:rPr>
          <w:rFonts w:ascii="Times New Roman" w:hAnsi="Times New Roman" w:cs="Times New Roman"/>
          <w:bCs/>
          <w:sz w:val="24"/>
          <w:szCs w:val="24"/>
        </w:rPr>
        <w:t xml:space="preserve"> būtų konkurencinga ir patraukli ne tik pigiais darbo ištekliais</w:t>
      </w:r>
      <w:r w:rsidR="004E75B9" w:rsidRPr="00EC1AB2">
        <w:rPr>
          <w:rFonts w:ascii="Times New Roman" w:hAnsi="Times New Roman" w:cs="Times New Roman"/>
          <w:bCs/>
          <w:sz w:val="24"/>
          <w:szCs w:val="24"/>
        </w:rPr>
        <w:t xml:space="preserve"> – </w:t>
      </w:r>
      <w:r w:rsidR="005C0DCB" w:rsidRPr="00EC1AB2">
        <w:rPr>
          <w:rFonts w:ascii="Times New Roman" w:hAnsi="Times New Roman" w:cs="Times New Roman"/>
          <w:bCs/>
          <w:sz w:val="24"/>
          <w:szCs w:val="24"/>
        </w:rPr>
        <w:t>t</w:t>
      </w:r>
      <w:r w:rsidR="004E75B9" w:rsidRPr="00EC1AB2">
        <w:rPr>
          <w:rFonts w:ascii="Times New Roman" w:hAnsi="Times New Roman" w:cs="Times New Roman"/>
          <w:bCs/>
          <w:sz w:val="24"/>
          <w:szCs w:val="24"/>
        </w:rPr>
        <w:t>rumpalaikiu</w:t>
      </w:r>
      <w:r w:rsidR="005C0DCB" w:rsidRPr="00EC1AB2">
        <w:rPr>
          <w:rFonts w:ascii="Times New Roman" w:hAnsi="Times New Roman" w:cs="Times New Roman"/>
          <w:bCs/>
          <w:sz w:val="24"/>
          <w:szCs w:val="24"/>
        </w:rPr>
        <w:t xml:space="preserve"> </w:t>
      </w:r>
      <w:r w:rsidR="004E75B9" w:rsidRPr="00EC1AB2">
        <w:rPr>
          <w:rFonts w:ascii="Times New Roman" w:hAnsi="Times New Roman" w:cs="Times New Roman"/>
          <w:bCs/>
          <w:sz w:val="24"/>
          <w:szCs w:val="24"/>
        </w:rPr>
        <w:t>ekonomikos augimo potencialu</w:t>
      </w:r>
      <w:r w:rsidR="005C0DCB" w:rsidRPr="00EC1AB2">
        <w:rPr>
          <w:rFonts w:ascii="Times New Roman" w:hAnsi="Times New Roman" w:cs="Times New Roman"/>
          <w:bCs/>
          <w:sz w:val="24"/>
          <w:szCs w:val="24"/>
        </w:rPr>
        <w:t>,</w:t>
      </w:r>
      <w:r w:rsidR="00B20723" w:rsidRPr="00EC1AB2">
        <w:rPr>
          <w:rFonts w:ascii="Times New Roman" w:hAnsi="Times New Roman" w:cs="Times New Roman"/>
          <w:bCs/>
          <w:sz w:val="24"/>
          <w:szCs w:val="24"/>
        </w:rPr>
        <w:t xml:space="preserve"> </w:t>
      </w:r>
      <w:r w:rsidR="00761A04" w:rsidRPr="00EC1AB2">
        <w:rPr>
          <w:rFonts w:ascii="Times New Roman" w:hAnsi="Times New Roman" w:cs="Times New Roman"/>
          <w:bCs/>
          <w:sz w:val="24"/>
          <w:szCs w:val="24"/>
        </w:rPr>
        <w:t xml:space="preserve">Lietuvoje </w:t>
      </w:r>
      <w:r w:rsidR="00DE4E78" w:rsidRPr="00EC1AB2">
        <w:rPr>
          <w:rFonts w:ascii="Times New Roman" w:hAnsi="Times New Roman" w:cs="Times New Roman"/>
          <w:bCs/>
          <w:sz w:val="24"/>
          <w:szCs w:val="24"/>
        </w:rPr>
        <w:t xml:space="preserve">reikia </w:t>
      </w:r>
      <w:r w:rsidR="00185408" w:rsidRPr="00EC1AB2">
        <w:rPr>
          <w:rFonts w:ascii="Times New Roman" w:hAnsi="Times New Roman" w:cs="Times New Roman"/>
          <w:sz w:val="24"/>
          <w:szCs w:val="24"/>
        </w:rPr>
        <w:t xml:space="preserve">sudaryti patrauklias sąlygas jaunimui siekti tyrėjo </w:t>
      </w:r>
      <w:r w:rsidR="005F4AF6" w:rsidRPr="00EC1AB2">
        <w:rPr>
          <w:rFonts w:ascii="Times New Roman" w:hAnsi="Times New Roman" w:cs="Times New Roman"/>
          <w:sz w:val="24"/>
          <w:szCs w:val="24"/>
        </w:rPr>
        <w:t xml:space="preserve">karjeros, t.y.  didinti </w:t>
      </w:r>
      <w:r w:rsidR="00185408" w:rsidRPr="00EC1AB2">
        <w:rPr>
          <w:rFonts w:ascii="Times New Roman" w:hAnsi="Times New Roman" w:cs="Times New Roman"/>
          <w:sz w:val="24"/>
          <w:szCs w:val="24"/>
        </w:rPr>
        <w:t>asmenų turi</w:t>
      </w:r>
      <w:r w:rsidR="005F4AF6" w:rsidRPr="00EC1AB2">
        <w:rPr>
          <w:rFonts w:ascii="Times New Roman" w:hAnsi="Times New Roman" w:cs="Times New Roman"/>
          <w:sz w:val="24"/>
          <w:szCs w:val="24"/>
        </w:rPr>
        <w:t xml:space="preserve">nčių </w:t>
      </w:r>
      <w:r w:rsidR="009C4F26" w:rsidRPr="00EC1AB2">
        <w:rPr>
          <w:rFonts w:ascii="Times New Roman" w:hAnsi="Times New Roman" w:cs="Times New Roman"/>
          <w:sz w:val="24"/>
          <w:szCs w:val="24"/>
        </w:rPr>
        <w:t>daktaro</w:t>
      </w:r>
      <w:r w:rsidR="005F4AF6" w:rsidRPr="00EC1AB2">
        <w:rPr>
          <w:rFonts w:ascii="Times New Roman" w:hAnsi="Times New Roman" w:cs="Times New Roman"/>
          <w:sz w:val="24"/>
          <w:szCs w:val="24"/>
        </w:rPr>
        <w:t xml:space="preserve"> laipsnį atlyginimus</w:t>
      </w:r>
      <w:r w:rsidR="003A3CAF" w:rsidRPr="00EC1AB2">
        <w:rPr>
          <w:rFonts w:ascii="Times New Roman" w:hAnsi="Times New Roman" w:cs="Times New Roman"/>
          <w:sz w:val="24"/>
          <w:szCs w:val="24"/>
        </w:rPr>
        <w:t xml:space="preserve"> </w:t>
      </w:r>
      <w:r w:rsidR="00185408" w:rsidRPr="00EC1AB2">
        <w:rPr>
          <w:rFonts w:ascii="Times New Roman" w:hAnsi="Times New Roman" w:cs="Times New Roman"/>
          <w:sz w:val="24"/>
          <w:szCs w:val="24"/>
        </w:rPr>
        <w:t>bei skatinti mo</w:t>
      </w:r>
      <w:r w:rsidR="003A3CAF" w:rsidRPr="00EC1AB2">
        <w:rPr>
          <w:rFonts w:ascii="Times New Roman" w:hAnsi="Times New Roman" w:cs="Times New Roman"/>
          <w:sz w:val="24"/>
          <w:szCs w:val="24"/>
        </w:rPr>
        <w:t>kslo ir verslo integraciją. Tai padėtų pasiekti geresnių rezultatų</w:t>
      </w:r>
      <w:r w:rsidR="00185408" w:rsidRPr="00EC1AB2">
        <w:rPr>
          <w:rFonts w:ascii="Times New Roman" w:hAnsi="Times New Roman" w:cs="Times New Roman"/>
          <w:sz w:val="24"/>
          <w:szCs w:val="24"/>
        </w:rPr>
        <w:t xml:space="preserve"> ne tik žmogiškųjų išteklių rodiklių</w:t>
      </w:r>
      <w:r w:rsidR="003A3CAF" w:rsidRPr="00EC1AB2">
        <w:rPr>
          <w:rFonts w:ascii="Times New Roman" w:hAnsi="Times New Roman" w:cs="Times New Roman"/>
          <w:sz w:val="24"/>
          <w:szCs w:val="24"/>
        </w:rPr>
        <w:t xml:space="preserve"> grupėje</w:t>
      </w:r>
      <w:r w:rsidR="00185408" w:rsidRPr="00EC1AB2">
        <w:rPr>
          <w:rFonts w:ascii="Times New Roman" w:hAnsi="Times New Roman" w:cs="Times New Roman"/>
          <w:sz w:val="24"/>
          <w:szCs w:val="24"/>
        </w:rPr>
        <w:t>,</w:t>
      </w:r>
      <w:r w:rsidR="00C26C87" w:rsidRPr="00EC1AB2">
        <w:rPr>
          <w:rFonts w:ascii="Times New Roman" w:hAnsi="Times New Roman" w:cs="Times New Roman"/>
          <w:sz w:val="24"/>
          <w:szCs w:val="24"/>
        </w:rPr>
        <w:t xml:space="preserve"> bet ir kuriant </w:t>
      </w:r>
      <w:r w:rsidR="00C26C87" w:rsidRPr="00EC1AB2">
        <w:rPr>
          <w:rFonts w:ascii="Times New Roman" w:hAnsi="Times New Roman" w:cs="Times New Roman"/>
          <w:bCs/>
          <w:sz w:val="24"/>
          <w:szCs w:val="24"/>
        </w:rPr>
        <w:t>atviras, itin geras ir patrauklias mokslinių tyrimų sistemas</w:t>
      </w:r>
      <w:r w:rsidR="005431C3" w:rsidRPr="00EC1AB2">
        <w:rPr>
          <w:rFonts w:ascii="Times New Roman" w:hAnsi="Times New Roman" w:cs="Times New Roman"/>
          <w:bCs/>
          <w:sz w:val="24"/>
          <w:szCs w:val="24"/>
        </w:rPr>
        <w:t>.</w:t>
      </w:r>
      <w:r w:rsidR="00185408" w:rsidRPr="00EC1AB2">
        <w:rPr>
          <w:rFonts w:ascii="Times New Roman" w:hAnsi="Times New Roman" w:cs="Times New Roman"/>
          <w:sz w:val="24"/>
          <w:szCs w:val="24"/>
        </w:rPr>
        <w:t xml:space="preserve"> </w:t>
      </w:r>
      <w:r w:rsidR="001E09CA" w:rsidRPr="00EC1AB2">
        <w:rPr>
          <w:rFonts w:ascii="Times New Roman" w:hAnsi="Times New Roman" w:cs="Times New Roman"/>
          <w:bCs/>
          <w:sz w:val="24"/>
          <w:szCs w:val="24"/>
        </w:rPr>
        <w:t>Kaip</w:t>
      </w:r>
      <w:r w:rsidR="00F243DE" w:rsidRPr="00EC1AB2">
        <w:rPr>
          <w:rFonts w:ascii="Times New Roman" w:hAnsi="Times New Roman" w:cs="Times New Roman"/>
          <w:bCs/>
          <w:sz w:val="24"/>
          <w:szCs w:val="24"/>
        </w:rPr>
        <w:t xml:space="preserve"> viena iš Lietuvos stipriųjų pusių, tikėtina </w:t>
      </w:r>
      <w:r w:rsidR="009C4F26" w:rsidRPr="00EC1AB2">
        <w:rPr>
          <w:rFonts w:ascii="Times New Roman" w:hAnsi="Times New Roman" w:cs="Times New Roman"/>
          <w:bCs/>
          <w:sz w:val="24"/>
          <w:szCs w:val="24"/>
        </w:rPr>
        <w:t>pagerinsianti</w:t>
      </w:r>
      <w:r w:rsidR="00F243DE" w:rsidRPr="00EC1AB2">
        <w:rPr>
          <w:rFonts w:ascii="Times New Roman" w:hAnsi="Times New Roman" w:cs="Times New Roman"/>
          <w:bCs/>
          <w:sz w:val="24"/>
          <w:szCs w:val="24"/>
        </w:rPr>
        <w:t xml:space="preserve"> ypač nuolatinės veiklos kategorijos rodiklius, įmonių skatinimas investuoti į MTEP taikant pelno mokesčio lengvatas.</w:t>
      </w:r>
      <w:r w:rsidR="007D2795" w:rsidRPr="00EC1AB2">
        <w:rPr>
          <w:rFonts w:ascii="Times New Roman" w:hAnsi="Times New Roman" w:cs="Times New Roman"/>
          <w:bCs/>
          <w:sz w:val="24"/>
          <w:szCs w:val="24"/>
        </w:rPr>
        <w:t xml:space="preserve"> Lengvatos pradėtos taikyti nuo 2008</w:t>
      </w:r>
      <w:r w:rsidR="00F32169" w:rsidRPr="00EC1AB2">
        <w:rPr>
          <w:rFonts w:ascii="Times New Roman" w:hAnsi="Times New Roman" w:cs="Times New Roman"/>
          <w:bCs/>
          <w:sz w:val="24"/>
          <w:szCs w:val="24"/>
        </w:rPr>
        <w:t xml:space="preserve"> m. ir pastebimas įmonių </w:t>
      </w:r>
      <w:r w:rsidR="009C4F26" w:rsidRPr="00EC1AB2">
        <w:rPr>
          <w:rFonts w:ascii="Times New Roman" w:hAnsi="Times New Roman" w:cs="Times New Roman"/>
          <w:bCs/>
          <w:sz w:val="24"/>
          <w:szCs w:val="24"/>
        </w:rPr>
        <w:t>aktyvėjimas</w:t>
      </w:r>
      <w:r w:rsidR="00F243DE" w:rsidRPr="00EC1AB2">
        <w:rPr>
          <w:rFonts w:ascii="Times New Roman" w:hAnsi="Times New Roman" w:cs="Times New Roman"/>
          <w:bCs/>
          <w:sz w:val="24"/>
          <w:szCs w:val="24"/>
        </w:rPr>
        <w:t xml:space="preserve"> (</w:t>
      </w:r>
      <w:r w:rsidR="00F243DE" w:rsidRPr="00EC1AB2">
        <w:rPr>
          <w:rFonts w:ascii="Times New Roman" w:hAnsi="Times New Roman" w:cs="Times New Roman"/>
          <w:sz w:val="24"/>
          <w:szCs w:val="24"/>
        </w:rPr>
        <w:t>VMI duomenimis, 2008 m. MTEP lengvata pasinaudojo 59 mokesčių mokėtojai, 2</w:t>
      </w:r>
      <w:r w:rsidR="00E94D35" w:rsidRPr="00EC1AB2">
        <w:rPr>
          <w:rFonts w:ascii="Times New Roman" w:hAnsi="Times New Roman" w:cs="Times New Roman"/>
          <w:sz w:val="24"/>
          <w:szCs w:val="24"/>
        </w:rPr>
        <w:t>009 m. – 206, o 2010 m. – 180), tačiau reikia pastebėti, kad išlaidų MTEP augimas, ne visada įta</w:t>
      </w:r>
      <w:r w:rsidR="00AA44A2" w:rsidRPr="00EC1AB2">
        <w:rPr>
          <w:rFonts w:ascii="Times New Roman" w:hAnsi="Times New Roman" w:cs="Times New Roman"/>
          <w:sz w:val="24"/>
          <w:szCs w:val="24"/>
        </w:rPr>
        <w:t>koja inovacijų pardavimą rinkai, reikalinga, kad atliekami MTEP bū</w:t>
      </w:r>
      <w:r w:rsidR="00D43B1B" w:rsidRPr="00EC1AB2">
        <w:rPr>
          <w:rFonts w:ascii="Times New Roman" w:hAnsi="Times New Roman" w:cs="Times New Roman"/>
          <w:sz w:val="24"/>
          <w:szCs w:val="24"/>
        </w:rPr>
        <w:t>tų pritaikyta rinkoms poreikiams, todėl</w:t>
      </w:r>
      <w:r w:rsidR="001031F5" w:rsidRPr="00EC1AB2">
        <w:rPr>
          <w:rFonts w:ascii="Times New Roman" w:hAnsi="Times New Roman" w:cs="Times New Roman"/>
          <w:sz w:val="24"/>
          <w:szCs w:val="24"/>
        </w:rPr>
        <w:t xml:space="preserve"> </w:t>
      </w:r>
      <w:r w:rsidR="00F243DE" w:rsidRPr="00EC1AB2">
        <w:rPr>
          <w:rFonts w:ascii="Times New Roman" w:hAnsi="Times New Roman" w:cs="Times New Roman"/>
          <w:sz w:val="24"/>
          <w:szCs w:val="24"/>
        </w:rPr>
        <w:t xml:space="preserve">SVV </w:t>
      </w:r>
      <w:r w:rsidR="00F243DE" w:rsidRPr="00EC1AB2">
        <w:rPr>
          <w:rFonts w:ascii="Times New Roman" w:hAnsi="Times New Roman" w:cs="Times New Roman"/>
          <w:bCs/>
          <w:sz w:val="24"/>
          <w:szCs w:val="24"/>
        </w:rPr>
        <w:t xml:space="preserve">bendradarbiavimo su </w:t>
      </w:r>
      <w:r w:rsidR="009C4F26" w:rsidRPr="00EC1AB2">
        <w:rPr>
          <w:rFonts w:ascii="Times New Roman" w:hAnsi="Times New Roman" w:cs="Times New Roman"/>
          <w:bCs/>
          <w:sz w:val="24"/>
          <w:szCs w:val="24"/>
        </w:rPr>
        <w:t>universitetais</w:t>
      </w:r>
      <w:r w:rsidR="00F243DE" w:rsidRPr="00EC1AB2">
        <w:rPr>
          <w:rFonts w:ascii="Times New Roman" w:hAnsi="Times New Roman" w:cs="Times New Roman"/>
          <w:bCs/>
          <w:sz w:val="24"/>
          <w:szCs w:val="24"/>
        </w:rPr>
        <w:t xml:space="preserve"> bei mokslo institutais</w:t>
      </w:r>
      <w:r w:rsidR="001031F5" w:rsidRPr="00EC1AB2">
        <w:rPr>
          <w:rFonts w:ascii="Times New Roman" w:hAnsi="Times New Roman" w:cs="Times New Roman"/>
          <w:bCs/>
          <w:sz w:val="24"/>
          <w:szCs w:val="24"/>
        </w:rPr>
        <w:t xml:space="preserve"> didinimui </w:t>
      </w:r>
      <w:r w:rsidR="00F243DE" w:rsidRPr="00EC1AB2">
        <w:rPr>
          <w:rFonts w:ascii="Times New Roman" w:hAnsi="Times New Roman" w:cs="Times New Roman"/>
          <w:bCs/>
          <w:sz w:val="24"/>
          <w:szCs w:val="24"/>
        </w:rPr>
        <w:t xml:space="preserve">pradėta taikyti priemonė – inovaciniai čekiai. Jeigu Lietuvos SVV aktyviai naudosis šia priemone, tai ateityje turėtų </w:t>
      </w:r>
      <w:r w:rsidR="00F243DE" w:rsidRPr="00EC1AB2">
        <w:rPr>
          <w:rFonts w:ascii="Times New Roman" w:hAnsi="Times New Roman" w:cs="Times New Roman"/>
          <w:sz w:val="24"/>
          <w:szCs w:val="24"/>
        </w:rPr>
        <w:t>pagreitėti žinių tarp mokslo</w:t>
      </w:r>
      <w:r w:rsidR="00D878AC" w:rsidRPr="00EC1AB2">
        <w:rPr>
          <w:rFonts w:ascii="Times New Roman" w:hAnsi="Times New Roman" w:cs="Times New Roman"/>
          <w:sz w:val="24"/>
          <w:szCs w:val="24"/>
        </w:rPr>
        <w:t xml:space="preserve"> institucijų</w:t>
      </w:r>
      <w:r w:rsidR="00F243DE" w:rsidRPr="00EC1AB2">
        <w:rPr>
          <w:rFonts w:ascii="Times New Roman" w:hAnsi="Times New Roman" w:cs="Times New Roman"/>
          <w:sz w:val="24"/>
          <w:szCs w:val="24"/>
        </w:rPr>
        <w:t xml:space="preserve"> ir verslo</w:t>
      </w:r>
      <w:r w:rsidR="00D878AC" w:rsidRPr="00EC1AB2">
        <w:rPr>
          <w:rFonts w:ascii="Times New Roman" w:hAnsi="Times New Roman" w:cs="Times New Roman"/>
          <w:sz w:val="24"/>
          <w:szCs w:val="24"/>
        </w:rPr>
        <w:t xml:space="preserve"> subjektų</w:t>
      </w:r>
      <w:r w:rsidR="00F243DE" w:rsidRPr="00EC1AB2">
        <w:rPr>
          <w:rFonts w:ascii="Times New Roman" w:hAnsi="Times New Roman" w:cs="Times New Roman"/>
          <w:sz w:val="24"/>
          <w:szCs w:val="24"/>
        </w:rPr>
        <w:t xml:space="preserve"> perdavimas, inovatyvių idėjų bei mokslinių tyrimų rezultatų komercializavimas, t.y. įmonės pradės naudotis mokslo pasiekimais ir naujausiais tyrimais, o mokslo institucijos – orientuos savo veiklą į verslo poreikius ir komercializuotus tyrimus.</w:t>
      </w:r>
      <w:r w:rsidR="00EA3BE8" w:rsidRPr="00EC1AB2">
        <w:rPr>
          <w:rFonts w:ascii="Times New Roman" w:hAnsi="Times New Roman" w:cs="Times New Roman"/>
          <w:sz w:val="24"/>
          <w:szCs w:val="24"/>
        </w:rPr>
        <w:t xml:space="preserve"> </w:t>
      </w:r>
      <w:r w:rsidR="001031F5" w:rsidRPr="00EC1AB2">
        <w:rPr>
          <w:rFonts w:ascii="Times New Roman" w:hAnsi="Times New Roman" w:cs="Times New Roman"/>
          <w:sz w:val="24"/>
          <w:szCs w:val="24"/>
        </w:rPr>
        <w:t>Taigi,</w:t>
      </w:r>
      <w:r w:rsidR="00F243DE" w:rsidRPr="00EC1AB2">
        <w:rPr>
          <w:rFonts w:ascii="Times New Roman" w:hAnsi="Times New Roman" w:cs="Times New Roman"/>
          <w:bCs/>
          <w:sz w:val="24"/>
          <w:szCs w:val="24"/>
        </w:rPr>
        <w:t xml:space="preserve"> Lietuvoje </w:t>
      </w:r>
      <w:r w:rsidR="00EA3BE8" w:rsidRPr="00EC1AB2">
        <w:rPr>
          <w:rFonts w:ascii="Times New Roman" w:hAnsi="Times New Roman" w:cs="Times New Roman"/>
          <w:bCs/>
          <w:sz w:val="24"/>
          <w:szCs w:val="24"/>
        </w:rPr>
        <w:t xml:space="preserve">žengiami pirmieji žingsniai skatinant </w:t>
      </w:r>
      <w:r w:rsidR="006334B0" w:rsidRPr="00EC1AB2">
        <w:rPr>
          <w:rFonts w:ascii="Times New Roman" w:hAnsi="Times New Roman" w:cs="Times New Roman"/>
          <w:bCs/>
          <w:sz w:val="24"/>
          <w:szCs w:val="24"/>
        </w:rPr>
        <w:t>i</w:t>
      </w:r>
      <w:r w:rsidR="00EA3BE8" w:rsidRPr="00EC1AB2">
        <w:rPr>
          <w:rFonts w:ascii="Times New Roman" w:hAnsi="Times New Roman" w:cs="Times New Roman"/>
          <w:bCs/>
          <w:sz w:val="24"/>
          <w:szCs w:val="24"/>
        </w:rPr>
        <w:t>novacijas.</w:t>
      </w:r>
    </w:p>
    <w:p w:rsidR="003221BF" w:rsidRPr="00EC1AB2" w:rsidRDefault="003B169F" w:rsidP="007A02A8">
      <w:pPr>
        <w:autoSpaceDE w:val="0"/>
        <w:autoSpaceDN w:val="0"/>
        <w:adjustRightInd w:val="0"/>
        <w:spacing w:after="0" w:line="360" w:lineRule="auto"/>
        <w:ind w:firstLine="567"/>
        <w:jc w:val="both"/>
        <w:rPr>
          <w:rFonts w:ascii="Times New Roman" w:hAnsi="Times New Roman" w:cs="Times New Roman"/>
          <w:bCs/>
          <w:sz w:val="24"/>
          <w:szCs w:val="24"/>
        </w:rPr>
      </w:pPr>
      <w:r w:rsidRPr="00EC1AB2">
        <w:rPr>
          <w:rFonts w:ascii="Times New Roman" w:hAnsi="Times New Roman" w:cs="Times New Roman"/>
          <w:bCs/>
          <w:sz w:val="24"/>
          <w:szCs w:val="24"/>
        </w:rPr>
        <w:t xml:space="preserve">Apibendrinant, </w:t>
      </w:r>
      <w:r w:rsidR="00C9090A" w:rsidRPr="00EC1AB2">
        <w:rPr>
          <w:rFonts w:ascii="Times New Roman" w:hAnsi="Times New Roman" w:cs="Times New Roman"/>
          <w:bCs/>
          <w:sz w:val="24"/>
          <w:szCs w:val="24"/>
        </w:rPr>
        <w:t xml:space="preserve">pasiektus </w:t>
      </w:r>
      <w:r w:rsidRPr="00EC1AB2">
        <w:rPr>
          <w:rFonts w:ascii="Times New Roman" w:hAnsi="Times New Roman" w:cs="Times New Roman"/>
          <w:bCs/>
          <w:sz w:val="24"/>
          <w:szCs w:val="24"/>
        </w:rPr>
        <w:t>Lietuvos rezultatu</w:t>
      </w:r>
      <w:r w:rsidR="0016355B" w:rsidRPr="00EC1AB2">
        <w:rPr>
          <w:rFonts w:ascii="Times New Roman" w:hAnsi="Times New Roman" w:cs="Times New Roman"/>
          <w:bCs/>
          <w:sz w:val="24"/>
          <w:szCs w:val="24"/>
        </w:rPr>
        <w:t>s</w:t>
      </w:r>
      <w:r w:rsidRPr="00EC1AB2">
        <w:rPr>
          <w:rFonts w:ascii="Times New Roman" w:hAnsi="Times New Roman" w:cs="Times New Roman"/>
          <w:bCs/>
          <w:sz w:val="24"/>
          <w:szCs w:val="24"/>
        </w:rPr>
        <w:t xml:space="preserve"> diegiant inovacijas, </w:t>
      </w:r>
      <w:r w:rsidR="00EA3BE8" w:rsidRPr="00EC1AB2">
        <w:rPr>
          <w:rFonts w:ascii="Times New Roman" w:hAnsi="Times New Roman" w:cs="Times New Roman"/>
          <w:bCs/>
          <w:sz w:val="24"/>
          <w:szCs w:val="24"/>
        </w:rPr>
        <w:t xml:space="preserve">vis dėlto </w:t>
      </w:r>
      <w:r w:rsidRPr="00EC1AB2">
        <w:rPr>
          <w:rFonts w:ascii="Times New Roman" w:hAnsi="Times New Roman" w:cs="Times New Roman"/>
          <w:bCs/>
          <w:sz w:val="24"/>
          <w:szCs w:val="24"/>
        </w:rPr>
        <w:t xml:space="preserve">prie stipriųjų pusių šiuo metu galima priskirti </w:t>
      </w:r>
      <w:r w:rsidR="0016355B" w:rsidRPr="00EC1AB2">
        <w:rPr>
          <w:rFonts w:ascii="Times New Roman" w:hAnsi="Times New Roman" w:cs="Times New Roman"/>
          <w:bCs/>
          <w:sz w:val="24"/>
          <w:szCs w:val="24"/>
        </w:rPr>
        <w:t>tik žmogiškuosiu</w:t>
      </w:r>
      <w:r w:rsidR="00922D9C" w:rsidRPr="00EC1AB2">
        <w:rPr>
          <w:rFonts w:ascii="Times New Roman" w:hAnsi="Times New Roman" w:cs="Times New Roman"/>
          <w:bCs/>
          <w:sz w:val="24"/>
          <w:szCs w:val="24"/>
        </w:rPr>
        <w:t>s išteklius, o kitose srityse yra</w:t>
      </w:r>
      <w:r w:rsidR="0016355B" w:rsidRPr="00EC1AB2">
        <w:rPr>
          <w:rFonts w:ascii="Times New Roman" w:hAnsi="Times New Roman" w:cs="Times New Roman"/>
          <w:bCs/>
          <w:sz w:val="24"/>
          <w:szCs w:val="24"/>
        </w:rPr>
        <w:t xml:space="preserve"> pastebimas dide</w:t>
      </w:r>
      <w:r w:rsidR="00922D9C" w:rsidRPr="00EC1AB2">
        <w:rPr>
          <w:rFonts w:ascii="Times New Roman" w:hAnsi="Times New Roman" w:cs="Times New Roman"/>
          <w:bCs/>
          <w:sz w:val="24"/>
          <w:szCs w:val="24"/>
        </w:rPr>
        <w:t>l</w:t>
      </w:r>
      <w:r w:rsidR="006141D5" w:rsidRPr="00EC1AB2">
        <w:rPr>
          <w:rFonts w:ascii="Times New Roman" w:hAnsi="Times New Roman" w:cs="Times New Roman"/>
          <w:bCs/>
          <w:sz w:val="24"/>
          <w:szCs w:val="24"/>
        </w:rPr>
        <w:t xml:space="preserve">is atsilikimas nuo ES vidurkio. </w:t>
      </w:r>
    </w:p>
    <w:p w:rsidR="00EA3BE8" w:rsidRPr="00EC1AB2" w:rsidRDefault="00EA3BE8" w:rsidP="007A02A8">
      <w:pPr>
        <w:autoSpaceDE w:val="0"/>
        <w:autoSpaceDN w:val="0"/>
        <w:adjustRightInd w:val="0"/>
        <w:spacing w:after="0" w:line="360" w:lineRule="auto"/>
        <w:ind w:firstLine="1298"/>
        <w:jc w:val="both"/>
        <w:rPr>
          <w:rFonts w:ascii="Times New Roman" w:hAnsi="Times New Roman" w:cs="Times New Roman"/>
          <w:bCs/>
          <w:sz w:val="24"/>
          <w:szCs w:val="24"/>
        </w:rPr>
      </w:pPr>
    </w:p>
    <w:p w:rsidR="00F243DE" w:rsidRPr="00EC1AB2" w:rsidRDefault="00FA5DFA" w:rsidP="00812D85">
      <w:pPr>
        <w:pStyle w:val="Heading2"/>
        <w:numPr>
          <w:ilvl w:val="1"/>
          <w:numId w:val="32"/>
        </w:numPr>
        <w:spacing w:before="0" w:after="0" w:line="360" w:lineRule="auto"/>
        <w:jc w:val="both"/>
        <w:rPr>
          <w:i w:val="0"/>
          <w:sz w:val="24"/>
          <w:szCs w:val="24"/>
        </w:rPr>
      </w:pPr>
      <w:bookmarkStart w:id="159" w:name="_Toc320567001"/>
      <w:bookmarkStart w:id="160" w:name="_Toc320567041"/>
      <w:bookmarkStart w:id="161" w:name="_Toc320567188"/>
      <w:bookmarkStart w:id="162" w:name="_Toc320761771"/>
      <w:bookmarkStart w:id="163" w:name="_Toc320761933"/>
      <w:bookmarkStart w:id="164" w:name="_Toc320762168"/>
      <w:bookmarkStart w:id="165" w:name="_Toc320762571"/>
      <w:bookmarkStart w:id="166" w:name="_Toc321092704"/>
      <w:r w:rsidRPr="00EC1AB2">
        <w:rPr>
          <w:i w:val="0"/>
          <w:sz w:val="24"/>
          <w:szCs w:val="24"/>
        </w:rPr>
        <w:t xml:space="preserve">Rizikos kapitalo fondų </w:t>
      </w:r>
      <w:r w:rsidR="00C25E79" w:rsidRPr="00EC1AB2">
        <w:rPr>
          <w:i w:val="0"/>
          <w:sz w:val="24"/>
          <w:szCs w:val="24"/>
        </w:rPr>
        <w:t xml:space="preserve"> investicijų</w:t>
      </w:r>
      <w:r w:rsidR="003221BF" w:rsidRPr="00EC1AB2">
        <w:rPr>
          <w:i w:val="0"/>
          <w:sz w:val="24"/>
          <w:szCs w:val="24"/>
        </w:rPr>
        <w:t xml:space="preserve"> ir suminio inova</w:t>
      </w:r>
      <w:r w:rsidR="006141D5" w:rsidRPr="00EC1AB2">
        <w:rPr>
          <w:i w:val="0"/>
          <w:sz w:val="24"/>
          <w:szCs w:val="24"/>
        </w:rPr>
        <w:t xml:space="preserve">tyvumo indekso sudedamųjų dalių </w:t>
      </w:r>
      <w:r w:rsidR="003221BF" w:rsidRPr="00EC1AB2">
        <w:rPr>
          <w:i w:val="0"/>
          <w:sz w:val="24"/>
          <w:szCs w:val="24"/>
        </w:rPr>
        <w:t>koreliacinė analizė</w:t>
      </w:r>
      <w:bookmarkEnd w:id="159"/>
      <w:bookmarkEnd w:id="160"/>
      <w:bookmarkEnd w:id="161"/>
      <w:bookmarkEnd w:id="162"/>
      <w:bookmarkEnd w:id="163"/>
      <w:bookmarkEnd w:id="164"/>
      <w:bookmarkEnd w:id="165"/>
      <w:bookmarkEnd w:id="166"/>
    </w:p>
    <w:p w:rsidR="0078529A" w:rsidRPr="00EC1AB2" w:rsidRDefault="0078529A" w:rsidP="007A02A8">
      <w:pPr>
        <w:autoSpaceDE w:val="0"/>
        <w:autoSpaceDN w:val="0"/>
        <w:adjustRightInd w:val="0"/>
        <w:spacing w:after="0" w:line="360" w:lineRule="auto"/>
        <w:jc w:val="center"/>
        <w:rPr>
          <w:rFonts w:ascii="Times New Roman" w:hAnsi="Times New Roman" w:cs="Times New Roman"/>
          <w:b/>
          <w:sz w:val="28"/>
          <w:szCs w:val="28"/>
        </w:rPr>
      </w:pPr>
    </w:p>
    <w:p w:rsidR="00090DF6" w:rsidRPr="00EC1AB2" w:rsidRDefault="00090DF6" w:rsidP="007A02A8">
      <w:pPr>
        <w:autoSpaceDE w:val="0"/>
        <w:autoSpaceDN w:val="0"/>
        <w:adjustRightInd w:val="0"/>
        <w:spacing w:after="0" w:line="360" w:lineRule="auto"/>
        <w:ind w:firstLine="567"/>
        <w:jc w:val="both"/>
        <w:rPr>
          <w:rFonts w:ascii="Times New Roman" w:hAnsi="Times New Roman" w:cs="Times New Roman"/>
          <w:bCs/>
          <w:sz w:val="24"/>
          <w:szCs w:val="24"/>
        </w:rPr>
      </w:pPr>
      <w:r w:rsidRPr="00EC1AB2">
        <w:rPr>
          <w:rFonts w:ascii="Times New Roman" w:hAnsi="Times New Roman" w:cs="Times New Roman"/>
          <w:bCs/>
          <w:sz w:val="24"/>
          <w:szCs w:val="24"/>
        </w:rPr>
        <w:t xml:space="preserve">Pastebėjus Lietuvos stiprų atsilikimą nuo ES vidurkio diegiant inovacijas </w:t>
      </w:r>
      <w:r w:rsidR="0024142C" w:rsidRPr="00EC1AB2">
        <w:rPr>
          <w:rFonts w:ascii="Times New Roman" w:hAnsi="Times New Roman" w:cs="Times New Roman"/>
          <w:bCs/>
          <w:sz w:val="24"/>
          <w:szCs w:val="24"/>
        </w:rPr>
        <w:t>s</w:t>
      </w:r>
      <w:r w:rsidRPr="00EC1AB2">
        <w:rPr>
          <w:rFonts w:ascii="Times New Roman" w:hAnsi="Times New Roman" w:cs="Times New Roman"/>
          <w:bCs/>
          <w:sz w:val="24"/>
          <w:szCs w:val="24"/>
        </w:rPr>
        <w:t>varbu išsiaiškinti, kaip RKF investicijos – vienas iš elementų, padedančių diegti inovacijas, priklausantis priemonių kategorijai, įtakoja kitas suminio inovatyvumo rodiklių kategorij</w:t>
      </w:r>
      <w:r w:rsidR="00D35378" w:rsidRPr="00EC1AB2">
        <w:rPr>
          <w:rFonts w:ascii="Times New Roman" w:hAnsi="Times New Roman" w:cs="Times New Roman"/>
          <w:bCs/>
          <w:sz w:val="24"/>
          <w:szCs w:val="24"/>
        </w:rPr>
        <w:t>as.</w:t>
      </w:r>
      <w:r w:rsidRPr="00EC1AB2">
        <w:rPr>
          <w:rFonts w:ascii="Times New Roman" w:hAnsi="Times New Roman" w:cs="Times New Roman"/>
          <w:bCs/>
          <w:sz w:val="24"/>
          <w:szCs w:val="24"/>
        </w:rPr>
        <w:t xml:space="preserve"> Šiam</w:t>
      </w:r>
      <w:r w:rsidR="0024142C" w:rsidRPr="00EC1AB2">
        <w:rPr>
          <w:rFonts w:ascii="Times New Roman" w:hAnsi="Times New Roman" w:cs="Times New Roman"/>
          <w:bCs/>
          <w:sz w:val="24"/>
          <w:szCs w:val="24"/>
        </w:rPr>
        <w:t xml:space="preserve"> tikslui pasiekti bus </w:t>
      </w:r>
      <w:r w:rsidRPr="00EC1AB2">
        <w:rPr>
          <w:rFonts w:ascii="Times New Roman" w:hAnsi="Times New Roman" w:cs="Times New Roman"/>
          <w:bCs/>
          <w:sz w:val="24"/>
          <w:szCs w:val="24"/>
        </w:rPr>
        <w:t>skaičiuojami koreliacijos koeficientai t</w:t>
      </w:r>
      <w:r w:rsidR="0078341B" w:rsidRPr="00EC1AB2">
        <w:rPr>
          <w:rFonts w:ascii="Times New Roman" w:hAnsi="Times New Roman" w:cs="Times New Roman"/>
          <w:bCs/>
          <w:sz w:val="24"/>
          <w:szCs w:val="24"/>
        </w:rPr>
        <w:t>arp RKF inves</w:t>
      </w:r>
      <w:r w:rsidR="00F37A93" w:rsidRPr="00EC1AB2">
        <w:rPr>
          <w:rFonts w:ascii="Times New Roman" w:hAnsi="Times New Roman" w:cs="Times New Roman"/>
          <w:bCs/>
          <w:sz w:val="24"/>
          <w:szCs w:val="24"/>
        </w:rPr>
        <w:t>ticijų proc.</w:t>
      </w:r>
      <w:r w:rsidR="0078341B" w:rsidRPr="00EC1AB2">
        <w:rPr>
          <w:rFonts w:ascii="Times New Roman" w:hAnsi="Times New Roman" w:cs="Times New Roman"/>
          <w:bCs/>
          <w:sz w:val="24"/>
          <w:szCs w:val="24"/>
        </w:rPr>
        <w:t xml:space="preserve"> nuo BVP</w:t>
      </w:r>
      <w:r w:rsidRPr="00EC1AB2">
        <w:rPr>
          <w:rFonts w:ascii="Times New Roman" w:hAnsi="Times New Roman" w:cs="Times New Roman"/>
          <w:bCs/>
          <w:sz w:val="24"/>
          <w:szCs w:val="24"/>
        </w:rPr>
        <w:t xml:space="preserve"> ir nuolatinės veiklos bei</w:t>
      </w:r>
      <w:r w:rsidR="003D6743" w:rsidRPr="00EC1AB2">
        <w:rPr>
          <w:rFonts w:ascii="Times New Roman" w:hAnsi="Times New Roman" w:cs="Times New Roman"/>
          <w:bCs/>
          <w:sz w:val="24"/>
          <w:szCs w:val="24"/>
        </w:rPr>
        <w:t xml:space="preserve"> rezultatų kategorijų rodiklių 2006-2011 m. tarp visų dabartinių ES šalių narių.</w:t>
      </w:r>
    </w:p>
    <w:p w:rsidR="00D35378" w:rsidRPr="00EC1AB2" w:rsidRDefault="0024142C" w:rsidP="007A02A8">
      <w:pPr>
        <w:autoSpaceDE w:val="0"/>
        <w:autoSpaceDN w:val="0"/>
        <w:adjustRightInd w:val="0"/>
        <w:spacing w:after="0" w:line="360" w:lineRule="auto"/>
        <w:ind w:firstLine="567"/>
        <w:jc w:val="both"/>
        <w:rPr>
          <w:rFonts w:ascii="Times New Roman" w:hAnsi="Times New Roman" w:cs="Times New Roman"/>
          <w:sz w:val="24"/>
          <w:szCs w:val="24"/>
        </w:rPr>
        <w:sectPr w:rsidR="00D35378" w:rsidRPr="00EC1AB2" w:rsidSect="007F1325">
          <w:headerReference w:type="default" r:id="rId35"/>
          <w:pgSz w:w="11906" w:h="16838"/>
          <w:pgMar w:top="1134" w:right="567" w:bottom="1134" w:left="1418" w:header="567" w:footer="567" w:gutter="0"/>
          <w:pgNumType w:start="3" w:chapStyle="1"/>
          <w:cols w:space="1296"/>
          <w:docGrid w:linePitch="360"/>
        </w:sectPr>
      </w:pPr>
      <w:r w:rsidRPr="00EC1AB2">
        <w:rPr>
          <w:rFonts w:ascii="Times New Roman" w:hAnsi="Times New Roman" w:cs="Times New Roman"/>
          <w:sz w:val="24"/>
          <w:szCs w:val="24"/>
        </w:rPr>
        <w:t>Koreliacijos koeficientas parodo ryšio tamprumą, o jo ženklas – ryšio pobūdį ir kryptį. Šio koeficiento reikšmė priklauso intervalui nuo -1 iki 1. Reikšmė</w:t>
      </w:r>
      <w:r w:rsidR="009D3DB0" w:rsidRPr="00EC1AB2">
        <w:rPr>
          <w:rFonts w:ascii="Times New Roman" w:hAnsi="Times New Roman" w:cs="Times New Roman"/>
          <w:sz w:val="24"/>
          <w:szCs w:val="24"/>
        </w:rPr>
        <w:t>s, artimos 1 ar -1, parodo, kad</w:t>
      </w:r>
    </w:p>
    <w:p w:rsidR="0024142C" w:rsidRPr="00EC1AB2" w:rsidRDefault="0024142C" w:rsidP="007A02A8">
      <w:p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sz w:val="24"/>
          <w:szCs w:val="24"/>
        </w:rPr>
        <w:lastRenderedPageBreak/>
        <w:t>tarp dviejų kintamųjų egzistuoja stipri priklausomybė. Ir atvirkščiai, reikšmės artimos 0, parodo, kad priklausomybė yra labai silpna. Kai koreliacijos koeficientas lygus 0, ryšio tarp kintamųjų nėra.</w:t>
      </w:r>
    </w:p>
    <w:p w:rsidR="0024142C" w:rsidRPr="00EC1AB2" w:rsidRDefault="0078529A"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Koreliacijos koeficientų</w:t>
      </w:r>
      <w:r w:rsidR="0024142C" w:rsidRPr="00EC1AB2">
        <w:rPr>
          <w:rFonts w:ascii="Times New Roman" w:hAnsi="Times New Roman" w:cs="Times New Roman"/>
          <w:sz w:val="24"/>
          <w:szCs w:val="24"/>
        </w:rPr>
        <w:t xml:space="preserve"> skaičiavimai atlikti su </w:t>
      </w:r>
      <w:r w:rsidR="0024142C" w:rsidRPr="00EC1AB2">
        <w:rPr>
          <w:rFonts w:ascii="Times New Roman" w:hAnsi="Times New Roman" w:cs="Times New Roman"/>
          <w:i/>
          <w:sz w:val="24"/>
          <w:szCs w:val="24"/>
        </w:rPr>
        <w:t>Microsoft Excel</w:t>
      </w:r>
      <w:r w:rsidR="0024142C" w:rsidRPr="00EC1AB2">
        <w:rPr>
          <w:rFonts w:ascii="Times New Roman" w:hAnsi="Times New Roman" w:cs="Times New Roman"/>
          <w:sz w:val="24"/>
          <w:szCs w:val="24"/>
        </w:rPr>
        <w:t xml:space="preserve"> funkcija </w:t>
      </w:r>
      <w:r w:rsidR="0024142C" w:rsidRPr="00EC1AB2">
        <w:rPr>
          <w:rFonts w:ascii="Times New Roman" w:hAnsi="Times New Roman" w:cs="Times New Roman"/>
          <w:i/>
          <w:sz w:val="24"/>
          <w:szCs w:val="24"/>
        </w:rPr>
        <w:t>CORREL</w:t>
      </w:r>
      <w:r w:rsidR="0024142C" w:rsidRPr="00EC1AB2">
        <w:rPr>
          <w:rFonts w:ascii="Times New Roman" w:hAnsi="Times New Roman" w:cs="Times New Roman"/>
          <w:sz w:val="24"/>
          <w:szCs w:val="24"/>
        </w:rPr>
        <w:t xml:space="preserve">. Siekiant išsiaiškinti ar koreliacijos koeficientai </w:t>
      </w:r>
      <w:r w:rsidR="0078341B" w:rsidRPr="00EC1AB2">
        <w:rPr>
          <w:rFonts w:ascii="Times New Roman" w:hAnsi="Times New Roman" w:cs="Times New Roman"/>
          <w:sz w:val="24"/>
          <w:szCs w:val="24"/>
        </w:rPr>
        <w:t xml:space="preserve">statistiškai </w:t>
      </w:r>
      <w:r w:rsidRPr="00EC1AB2">
        <w:rPr>
          <w:rFonts w:ascii="Times New Roman" w:hAnsi="Times New Roman" w:cs="Times New Roman"/>
          <w:sz w:val="24"/>
          <w:szCs w:val="24"/>
        </w:rPr>
        <w:t xml:space="preserve">reikšmingi </w:t>
      </w:r>
      <w:r w:rsidR="0024142C" w:rsidRPr="00EC1AB2">
        <w:rPr>
          <w:rFonts w:ascii="Times New Roman" w:hAnsi="Times New Roman" w:cs="Times New Roman"/>
          <w:sz w:val="24"/>
          <w:szCs w:val="24"/>
        </w:rPr>
        <w:t>suformuluotos hipotezės:</w:t>
      </w:r>
    </w:p>
    <w:p w:rsidR="009D3DB0" w:rsidRPr="00EC1AB2" w:rsidRDefault="0024142C"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H</w:t>
      </w:r>
      <w:r w:rsidRPr="00EC1AB2">
        <w:rPr>
          <w:rFonts w:ascii="Times New Roman" w:hAnsi="Times New Roman" w:cs="Times New Roman"/>
          <w:sz w:val="24"/>
          <w:szCs w:val="24"/>
          <w:vertAlign w:val="subscript"/>
        </w:rPr>
        <w:t>0</w:t>
      </w:r>
      <w:r w:rsidRPr="00EC1AB2">
        <w:rPr>
          <w:rFonts w:ascii="Times New Roman" w:hAnsi="Times New Roman" w:cs="Times New Roman"/>
          <w:sz w:val="24"/>
          <w:szCs w:val="24"/>
        </w:rPr>
        <w:t xml:space="preserve"> - koreliacijos koeficientas lygus nuliui;</w:t>
      </w:r>
    </w:p>
    <w:p w:rsidR="0024142C" w:rsidRPr="00EC1AB2" w:rsidRDefault="0024142C"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H</w:t>
      </w:r>
      <w:r w:rsidRPr="00EC1AB2">
        <w:rPr>
          <w:rFonts w:ascii="Times New Roman" w:hAnsi="Times New Roman" w:cs="Times New Roman"/>
          <w:sz w:val="24"/>
          <w:szCs w:val="24"/>
          <w:vertAlign w:val="subscript"/>
        </w:rPr>
        <w:t>1</w:t>
      </w:r>
      <w:r w:rsidRPr="00EC1AB2">
        <w:rPr>
          <w:rFonts w:ascii="Times New Roman" w:hAnsi="Times New Roman" w:cs="Times New Roman"/>
          <w:sz w:val="24"/>
          <w:szCs w:val="24"/>
        </w:rPr>
        <w:t xml:space="preserve"> - koreliacijos koeficientas nelygus nuliui.</w:t>
      </w:r>
    </w:p>
    <w:p w:rsidR="00B93ABD" w:rsidRPr="00EC1AB2" w:rsidRDefault="00B93ABD"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Jeigu t (statistika) &gt; t, kuris apskaičiuotas pasinaudojus </w:t>
      </w:r>
      <w:r w:rsidRPr="00EC1AB2">
        <w:rPr>
          <w:rFonts w:ascii="Times New Roman" w:hAnsi="Times New Roman" w:cs="Times New Roman"/>
          <w:i/>
          <w:sz w:val="24"/>
          <w:szCs w:val="24"/>
        </w:rPr>
        <w:t>Microsoft Excel</w:t>
      </w:r>
      <w:r w:rsidRPr="00EC1AB2">
        <w:rPr>
          <w:rFonts w:ascii="Times New Roman" w:hAnsi="Times New Roman" w:cs="Times New Roman"/>
          <w:sz w:val="24"/>
          <w:szCs w:val="24"/>
        </w:rPr>
        <w:t xml:space="preserve"> funkcija </w:t>
      </w:r>
      <w:r w:rsidRPr="00EC1AB2">
        <w:rPr>
          <w:rFonts w:ascii="Times New Roman" w:hAnsi="Times New Roman" w:cs="Times New Roman"/>
          <w:i/>
          <w:sz w:val="24"/>
          <w:szCs w:val="24"/>
        </w:rPr>
        <w:t>TINV</w:t>
      </w:r>
      <w:r w:rsidRPr="00EC1AB2">
        <w:rPr>
          <w:rFonts w:ascii="Times New Roman" w:hAnsi="Times New Roman" w:cs="Times New Roman"/>
          <w:sz w:val="24"/>
          <w:szCs w:val="24"/>
        </w:rPr>
        <w:t>, tai nulinė hipotezė atmetama ir priimama alternatyvioji, tai reiškia, kad koreliacijos koeficientas yra statistiškai reikšmingas.</w:t>
      </w:r>
    </w:p>
    <w:p w:rsidR="000B345A" w:rsidRPr="00EC1AB2" w:rsidRDefault="000B345A"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Pirmiausiai koreliacija apskaičiuota tarp RKF i</w:t>
      </w:r>
      <w:r w:rsidR="0078341B" w:rsidRPr="00EC1AB2">
        <w:rPr>
          <w:rFonts w:ascii="Times New Roman" w:hAnsi="Times New Roman" w:cs="Times New Roman"/>
          <w:sz w:val="24"/>
          <w:szCs w:val="24"/>
        </w:rPr>
        <w:t xml:space="preserve">nvesticijų </w:t>
      </w:r>
      <w:r w:rsidR="00F37A93" w:rsidRPr="00EC1AB2">
        <w:rPr>
          <w:rFonts w:ascii="Times New Roman" w:hAnsi="Times New Roman" w:cs="Times New Roman"/>
          <w:sz w:val="24"/>
          <w:szCs w:val="24"/>
        </w:rPr>
        <w:t>proc.</w:t>
      </w:r>
      <w:r w:rsidR="0078341B" w:rsidRPr="00EC1AB2">
        <w:rPr>
          <w:rFonts w:ascii="Times New Roman" w:hAnsi="Times New Roman" w:cs="Times New Roman"/>
          <w:sz w:val="24"/>
          <w:szCs w:val="24"/>
        </w:rPr>
        <w:t xml:space="preserve"> nuo BVP</w:t>
      </w:r>
      <w:r w:rsidRPr="00EC1AB2">
        <w:rPr>
          <w:rFonts w:ascii="Times New Roman" w:hAnsi="Times New Roman" w:cs="Times New Roman"/>
          <w:sz w:val="24"/>
          <w:szCs w:val="24"/>
        </w:rPr>
        <w:t xml:space="preserve"> ir nuolatinės veiklos kategorij</w:t>
      </w:r>
      <w:r w:rsidR="00F37A93" w:rsidRPr="00EC1AB2">
        <w:rPr>
          <w:rFonts w:ascii="Times New Roman" w:hAnsi="Times New Roman" w:cs="Times New Roman"/>
          <w:sz w:val="24"/>
          <w:szCs w:val="24"/>
        </w:rPr>
        <w:t>os rodiklių</w:t>
      </w:r>
      <w:r w:rsidR="00C57B55" w:rsidRPr="00EC1AB2">
        <w:rPr>
          <w:rFonts w:ascii="Times New Roman" w:hAnsi="Times New Roman" w:cs="Times New Roman"/>
          <w:sz w:val="24"/>
          <w:szCs w:val="24"/>
        </w:rPr>
        <w:t xml:space="preserve"> (</w:t>
      </w:r>
      <w:r w:rsidR="006F6993" w:rsidRPr="00EC1AB2">
        <w:rPr>
          <w:rFonts w:ascii="Times New Roman" w:hAnsi="Times New Roman" w:cs="Times New Roman"/>
          <w:sz w:val="24"/>
          <w:szCs w:val="24"/>
        </w:rPr>
        <w:t>žr. 5</w:t>
      </w:r>
      <w:r w:rsidR="00C57B55" w:rsidRPr="00EC1AB2">
        <w:rPr>
          <w:rFonts w:ascii="Times New Roman" w:hAnsi="Times New Roman" w:cs="Times New Roman"/>
          <w:sz w:val="24"/>
          <w:szCs w:val="24"/>
        </w:rPr>
        <w:t xml:space="preserve"> lent.)</w:t>
      </w:r>
      <w:r w:rsidR="00F37A93" w:rsidRPr="00EC1AB2">
        <w:rPr>
          <w:rFonts w:ascii="Times New Roman" w:hAnsi="Times New Roman" w:cs="Times New Roman"/>
          <w:sz w:val="24"/>
          <w:szCs w:val="24"/>
        </w:rPr>
        <w:t>.</w:t>
      </w:r>
    </w:p>
    <w:p w:rsidR="0077224C" w:rsidRPr="00EC1AB2" w:rsidRDefault="0077224C" w:rsidP="007A02A8">
      <w:pPr>
        <w:autoSpaceDE w:val="0"/>
        <w:autoSpaceDN w:val="0"/>
        <w:adjustRightInd w:val="0"/>
        <w:spacing w:after="0" w:line="360" w:lineRule="auto"/>
        <w:jc w:val="both"/>
        <w:rPr>
          <w:rFonts w:ascii="Times New Roman" w:hAnsi="Times New Roman" w:cs="Times New Roman"/>
          <w:sz w:val="24"/>
          <w:szCs w:val="24"/>
        </w:rPr>
      </w:pPr>
    </w:p>
    <w:p w:rsidR="0077224C" w:rsidRPr="00EC1AB2" w:rsidRDefault="006F6993" w:rsidP="007A02A8">
      <w:pPr>
        <w:pStyle w:val="Heading4"/>
        <w:spacing w:before="0" w:line="360" w:lineRule="auto"/>
        <w:jc w:val="center"/>
        <w:rPr>
          <w:rFonts w:ascii="Times New Roman" w:hAnsi="Times New Roman" w:cs="Times New Roman"/>
          <w:i w:val="0"/>
          <w:color w:val="auto"/>
          <w:sz w:val="24"/>
          <w:szCs w:val="24"/>
        </w:rPr>
      </w:pPr>
      <w:bookmarkStart w:id="167" w:name="_Toc320761934"/>
      <w:bookmarkStart w:id="168" w:name="_Toc320762169"/>
      <w:bookmarkStart w:id="169" w:name="_Toc320762572"/>
      <w:r w:rsidRPr="00EC1AB2">
        <w:rPr>
          <w:rFonts w:ascii="Times New Roman" w:hAnsi="Times New Roman" w:cs="Times New Roman"/>
          <w:b w:val="0"/>
          <w:i w:val="0"/>
          <w:color w:val="auto"/>
          <w:sz w:val="24"/>
          <w:szCs w:val="24"/>
        </w:rPr>
        <w:t>5</w:t>
      </w:r>
      <w:r w:rsidR="0077224C" w:rsidRPr="00EC1AB2">
        <w:rPr>
          <w:rFonts w:ascii="Times New Roman" w:hAnsi="Times New Roman" w:cs="Times New Roman"/>
          <w:b w:val="0"/>
          <w:i w:val="0"/>
          <w:color w:val="auto"/>
          <w:sz w:val="24"/>
          <w:szCs w:val="24"/>
        </w:rPr>
        <w:t xml:space="preserve"> lentelė.</w:t>
      </w:r>
      <w:r w:rsidR="009F7CAA" w:rsidRPr="00EC1AB2">
        <w:rPr>
          <w:rFonts w:ascii="Times New Roman" w:hAnsi="Times New Roman" w:cs="Times New Roman"/>
          <w:i w:val="0"/>
          <w:color w:val="auto"/>
          <w:sz w:val="24"/>
          <w:szCs w:val="24"/>
        </w:rPr>
        <w:t xml:space="preserve"> Rizikos kapitalo fondų</w:t>
      </w:r>
      <w:r w:rsidR="00F60D64" w:rsidRPr="00EC1AB2">
        <w:rPr>
          <w:rFonts w:ascii="Times New Roman" w:hAnsi="Times New Roman" w:cs="Times New Roman"/>
          <w:i w:val="0"/>
          <w:color w:val="auto"/>
          <w:sz w:val="24"/>
          <w:szCs w:val="24"/>
        </w:rPr>
        <w:t xml:space="preserve"> inv</w:t>
      </w:r>
      <w:r w:rsidR="007E27F7" w:rsidRPr="00EC1AB2">
        <w:rPr>
          <w:rFonts w:ascii="Times New Roman" w:hAnsi="Times New Roman" w:cs="Times New Roman"/>
          <w:i w:val="0"/>
          <w:color w:val="auto"/>
          <w:sz w:val="24"/>
          <w:szCs w:val="24"/>
        </w:rPr>
        <w:t>est</w:t>
      </w:r>
      <w:r w:rsidR="00A573C7" w:rsidRPr="00EC1AB2">
        <w:rPr>
          <w:rFonts w:ascii="Times New Roman" w:hAnsi="Times New Roman" w:cs="Times New Roman"/>
          <w:i w:val="0"/>
          <w:color w:val="auto"/>
          <w:sz w:val="24"/>
          <w:szCs w:val="24"/>
        </w:rPr>
        <w:t>icijų proc.</w:t>
      </w:r>
      <w:r w:rsidR="007E27F7" w:rsidRPr="00EC1AB2">
        <w:rPr>
          <w:rFonts w:ascii="Times New Roman" w:hAnsi="Times New Roman" w:cs="Times New Roman"/>
          <w:i w:val="0"/>
          <w:color w:val="auto"/>
          <w:sz w:val="24"/>
          <w:szCs w:val="24"/>
        </w:rPr>
        <w:t xml:space="preserve"> nuo BVP</w:t>
      </w:r>
      <w:r w:rsidR="00F60D64" w:rsidRPr="00EC1AB2">
        <w:rPr>
          <w:rFonts w:ascii="Times New Roman" w:hAnsi="Times New Roman" w:cs="Times New Roman"/>
          <w:i w:val="0"/>
          <w:color w:val="auto"/>
          <w:sz w:val="24"/>
          <w:szCs w:val="24"/>
        </w:rPr>
        <w:t xml:space="preserve"> ir suminio inovatyvumo indekso nuolatinės veiklos kategorijos rodiklių koreliacija</w:t>
      </w:r>
      <w:bookmarkEnd w:id="167"/>
      <w:bookmarkEnd w:id="168"/>
      <w:bookmarkEnd w:id="169"/>
    </w:p>
    <w:p w:rsidR="00D35378" w:rsidRPr="00EC1AB2" w:rsidRDefault="00D35378" w:rsidP="007A02A8">
      <w:pPr>
        <w:autoSpaceDE w:val="0"/>
        <w:autoSpaceDN w:val="0"/>
        <w:adjustRightInd w:val="0"/>
        <w:spacing w:after="0" w:line="360" w:lineRule="auto"/>
        <w:jc w:val="both"/>
        <w:rPr>
          <w:rFonts w:ascii="Times New Roman" w:hAnsi="Times New Roman" w:cs="Times New Roman"/>
          <w:sz w:val="24"/>
          <w:szCs w:val="24"/>
        </w:rPr>
      </w:pPr>
    </w:p>
    <w:tbl>
      <w:tblPr>
        <w:tblStyle w:val="TableGrid"/>
        <w:tblW w:w="4901" w:type="pct"/>
        <w:jc w:val="center"/>
        <w:tblInd w:w="392" w:type="dxa"/>
        <w:tblLook w:val="04A0" w:firstRow="1" w:lastRow="0" w:firstColumn="1" w:lastColumn="0" w:noHBand="0" w:noVBand="1"/>
      </w:tblPr>
      <w:tblGrid>
        <w:gridCol w:w="2338"/>
        <w:gridCol w:w="825"/>
        <w:gridCol w:w="825"/>
        <w:gridCol w:w="825"/>
        <w:gridCol w:w="823"/>
        <w:gridCol w:w="823"/>
        <w:gridCol w:w="823"/>
        <w:gridCol w:w="1043"/>
        <w:gridCol w:w="727"/>
        <w:gridCol w:w="884"/>
      </w:tblGrid>
      <w:tr w:rsidR="00087883" w:rsidRPr="00EC1AB2" w:rsidTr="00812D85">
        <w:trPr>
          <w:cantSplit/>
          <w:trHeight w:val="3515"/>
          <w:jc w:val="center"/>
        </w:trPr>
        <w:tc>
          <w:tcPr>
            <w:tcW w:w="1176" w:type="pct"/>
          </w:tcPr>
          <w:p w:rsidR="00D35378" w:rsidRPr="00EC1AB2" w:rsidRDefault="00D35378" w:rsidP="007A02A8">
            <w:pPr>
              <w:autoSpaceDE w:val="0"/>
              <w:autoSpaceDN w:val="0"/>
              <w:adjustRightInd w:val="0"/>
              <w:spacing w:line="360" w:lineRule="auto"/>
              <w:contextualSpacing/>
              <w:jc w:val="center"/>
              <w:rPr>
                <w:rFonts w:ascii="Times New Roman" w:hAnsi="Times New Roman" w:cs="Times New Roman"/>
                <w:b/>
                <w:sz w:val="24"/>
                <w:szCs w:val="24"/>
              </w:rPr>
            </w:pPr>
          </w:p>
        </w:tc>
        <w:tc>
          <w:tcPr>
            <w:tcW w:w="415" w:type="pct"/>
            <w:textDirection w:val="btLr"/>
          </w:tcPr>
          <w:p w:rsidR="00D35378" w:rsidRPr="00EC1AB2" w:rsidRDefault="00DA0FF7" w:rsidP="007A02A8">
            <w:pPr>
              <w:autoSpaceDE w:val="0"/>
              <w:autoSpaceDN w:val="0"/>
              <w:adjustRightInd w:val="0"/>
              <w:spacing w:line="360" w:lineRule="auto"/>
              <w:ind w:left="113" w:right="113"/>
              <w:contextualSpacing/>
              <w:rPr>
                <w:rFonts w:ascii="Times New Roman" w:hAnsi="Times New Roman" w:cs="Times New Roman"/>
                <w:b/>
                <w:sz w:val="18"/>
                <w:szCs w:val="18"/>
              </w:rPr>
            </w:pPr>
            <w:r w:rsidRPr="00EC1AB2">
              <w:rPr>
                <w:rFonts w:ascii="Times New Roman" w:hAnsi="Times New Roman" w:cs="Times New Roman"/>
                <w:sz w:val="18"/>
                <w:szCs w:val="18"/>
              </w:rPr>
              <w:t>Verslo išlaidos MTE</w:t>
            </w:r>
            <w:r w:rsidR="00A573C7" w:rsidRPr="00EC1AB2">
              <w:rPr>
                <w:rFonts w:ascii="Times New Roman" w:hAnsi="Times New Roman" w:cs="Times New Roman"/>
                <w:sz w:val="18"/>
                <w:szCs w:val="18"/>
              </w:rPr>
              <w:t>P proc.</w:t>
            </w:r>
            <w:r w:rsidR="00D35378" w:rsidRPr="00EC1AB2">
              <w:rPr>
                <w:rFonts w:ascii="Times New Roman" w:hAnsi="Times New Roman" w:cs="Times New Roman"/>
                <w:sz w:val="18"/>
                <w:szCs w:val="18"/>
              </w:rPr>
              <w:t xml:space="preserve"> nuo BVP</w:t>
            </w:r>
          </w:p>
        </w:tc>
        <w:tc>
          <w:tcPr>
            <w:tcW w:w="415" w:type="pct"/>
            <w:textDirection w:val="btLr"/>
          </w:tcPr>
          <w:p w:rsidR="00D35378" w:rsidRPr="00EC1AB2" w:rsidRDefault="00DA0FF7" w:rsidP="007A02A8">
            <w:pPr>
              <w:autoSpaceDE w:val="0"/>
              <w:autoSpaceDN w:val="0"/>
              <w:adjustRightInd w:val="0"/>
              <w:spacing w:line="360" w:lineRule="auto"/>
              <w:ind w:left="113" w:right="113"/>
              <w:contextualSpacing/>
              <w:rPr>
                <w:rFonts w:ascii="Times New Roman" w:hAnsi="Times New Roman" w:cs="Times New Roman"/>
                <w:b/>
                <w:sz w:val="18"/>
                <w:szCs w:val="18"/>
              </w:rPr>
            </w:pPr>
            <w:r w:rsidRPr="00EC1AB2">
              <w:rPr>
                <w:rFonts w:ascii="Times New Roman" w:hAnsi="Times New Roman" w:cs="Times New Roman"/>
                <w:sz w:val="18"/>
                <w:szCs w:val="18"/>
              </w:rPr>
              <w:t>Išlaidos ne MTE</w:t>
            </w:r>
            <w:r w:rsidR="00A573C7" w:rsidRPr="00EC1AB2">
              <w:rPr>
                <w:rFonts w:ascii="Times New Roman" w:hAnsi="Times New Roman" w:cs="Times New Roman"/>
                <w:sz w:val="18"/>
                <w:szCs w:val="18"/>
              </w:rPr>
              <w:t>P inovacijoms proc.</w:t>
            </w:r>
            <w:r w:rsidR="00D35378" w:rsidRPr="00EC1AB2">
              <w:rPr>
                <w:rFonts w:ascii="Times New Roman" w:hAnsi="Times New Roman" w:cs="Times New Roman"/>
                <w:sz w:val="18"/>
                <w:szCs w:val="18"/>
              </w:rPr>
              <w:t xml:space="preserve"> nuo apyvartos</w:t>
            </w:r>
          </w:p>
        </w:tc>
        <w:tc>
          <w:tcPr>
            <w:tcW w:w="415" w:type="pct"/>
            <w:textDirection w:val="btLr"/>
          </w:tcPr>
          <w:p w:rsidR="00D35378" w:rsidRPr="00EC1AB2" w:rsidRDefault="00D35378" w:rsidP="007A02A8">
            <w:pPr>
              <w:autoSpaceDE w:val="0"/>
              <w:autoSpaceDN w:val="0"/>
              <w:adjustRightInd w:val="0"/>
              <w:spacing w:line="360" w:lineRule="auto"/>
              <w:ind w:left="113" w:right="113"/>
              <w:contextualSpacing/>
              <w:rPr>
                <w:rFonts w:ascii="Times New Roman" w:hAnsi="Times New Roman" w:cs="Times New Roman"/>
                <w:b/>
                <w:sz w:val="18"/>
                <w:szCs w:val="18"/>
              </w:rPr>
            </w:pPr>
            <w:r w:rsidRPr="00EC1AB2">
              <w:rPr>
                <w:rFonts w:ascii="Times New Roman" w:hAnsi="Times New Roman" w:cs="Times New Roman"/>
                <w:sz w:val="18"/>
                <w:szCs w:val="18"/>
              </w:rPr>
              <w:t>Inovacijas vietoje diegiančių MVĮ procentinė dalis, palyginti su visomis MVĮ</w:t>
            </w:r>
          </w:p>
        </w:tc>
        <w:tc>
          <w:tcPr>
            <w:tcW w:w="414" w:type="pct"/>
            <w:textDirection w:val="btLr"/>
          </w:tcPr>
          <w:p w:rsidR="00D35378" w:rsidRPr="00EC1AB2" w:rsidRDefault="00D35378" w:rsidP="007A02A8">
            <w:pPr>
              <w:autoSpaceDE w:val="0"/>
              <w:autoSpaceDN w:val="0"/>
              <w:adjustRightInd w:val="0"/>
              <w:spacing w:line="360" w:lineRule="auto"/>
              <w:ind w:left="113" w:right="113"/>
              <w:contextualSpacing/>
              <w:rPr>
                <w:rFonts w:ascii="Times New Roman" w:hAnsi="Times New Roman" w:cs="Times New Roman"/>
                <w:b/>
                <w:sz w:val="18"/>
                <w:szCs w:val="18"/>
              </w:rPr>
            </w:pPr>
            <w:r w:rsidRPr="00EC1AB2">
              <w:rPr>
                <w:rFonts w:ascii="Times New Roman" w:hAnsi="Times New Roman" w:cs="Times New Roman"/>
                <w:sz w:val="18"/>
                <w:szCs w:val="18"/>
              </w:rPr>
              <w:t>Novatoriškų bendradarbiaujančių MVĮ procentinė dalis, palyginti su visomis MVĮ</w:t>
            </w:r>
          </w:p>
        </w:tc>
        <w:tc>
          <w:tcPr>
            <w:tcW w:w="414" w:type="pct"/>
            <w:textDirection w:val="btLr"/>
          </w:tcPr>
          <w:p w:rsidR="00D35378" w:rsidRPr="00EC1AB2" w:rsidRDefault="006123CC" w:rsidP="007A02A8">
            <w:pPr>
              <w:autoSpaceDE w:val="0"/>
              <w:autoSpaceDN w:val="0"/>
              <w:adjustRightInd w:val="0"/>
              <w:spacing w:line="360" w:lineRule="auto"/>
              <w:ind w:left="113" w:right="113"/>
              <w:contextualSpacing/>
              <w:rPr>
                <w:rFonts w:ascii="Times New Roman" w:hAnsi="Times New Roman" w:cs="Times New Roman"/>
                <w:b/>
                <w:sz w:val="18"/>
                <w:szCs w:val="18"/>
              </w:rPr>
            </w:pPr>
            <w:r w:rsidRPr="00EC1AB2">
              <w:rPr>
                <w:rFonts w:ascii="Times New Roman" w:hAnsi="Times New Roman" w:cs="Times New Roman"/>
                <w:sz w:val="18"/>
                <w:szCs w:val="18"/>
              </w:rPr>
              <w:t xml:space="preserve">Viešojo ir privačiojo </w:t>
            </w:r>
            <w:r w:rsidR="00D35378" w:rsidRPr="00EC1AB2">
              <w:rPr>
                <w:rFonts w:ascii="Times New Roman" w:hAnsi="Times New Roman" w:cs="Times New Roman"/>
                <w:sz w:val="18"/>
                <w:szCs w:val="18"/>
              </w:rPr>
              <w:t>sektoriaus bendrų publikacijų 1 mln. gyventojų skaičius</w:t>
            </w:r>
          </w:p>
        </w:tc>
        <w:tc>
          <w:tcPr>
            <w:tcW w:w="414" w:type="pct"/>
            <w:textDirection w:val="btLr"/>
          </w:tcPr>
          <w:p w:rsidR="00D35378" w:rsidRPr="00EC1AB2" w:rsidRDefault="00D35378" w:rsidP="007A02A8">
            <w:pPr>
              <w:autoSpaceDE w:val="0"/>
              <w:autoSpaceDN w:val="0"/>
              <w:adjustRightInd w:val="0"/>
              <w:spacing w:line="360" w:lineRule="auto"/>
              <w:ind w:left="113" w:right="113"/>
              <w:contextualSpacing/>
              <w:rPr>
                <w:rFonts w:ascii="Times New Roman" w:hAnsi="Times New Roman" w:cs="Times New Roman"/>
                <w:b/>
                <w:sz w:val="18"/>
                <w:szCs w:val="18"/>
              </w:rPr>
            </w:pPr>
            <w:r w:rsidRPr="00EC1AB2">
              <w:rPr>
                <w:rFonts w:ascii="Times New Roman" w:hAnsi="Times New Roman" w:cs="Times New Roman"/>
                <w:sz w:val="18"/>
                <w:szCs w:val="18"/>
              </w:rPr>
              <w:t xml:space="preserve">Paraiškos patentui gauti pagal patentinės kooperacijos sutartį 1 mlrd. BVP </w:t>
            </w:r>
          </w:p>
        </w:tc>
        <w:tc>
          <w:tcPr>
            <w:tcW w:w="525" w:type="pct"/>
            <w:textDirection w:val="btLr"/>
          </w:tcPr>
          <w:p w:rsidR="00D35378" w:rsidRPr="00EC1AB2" w:rsidRDefault="00D35378" w:rsidP="007A02A8">
            <w:pPr>
              <w:autoSpaceDE w:val="0"/>
              <w:autoSpaceDN w:val="0"/>
              <w:adjustRightInd w:val="0"/>
              <w:spacing w:line="360" w:lineRule="auto"/>
              <w:ind w:left="113" w:right="113"/>
              <w:rPr>
                <w:rFonts w:ascii="Times New Roman" w:hAnsi="Times New Roman" w:cs="Times New Roman"/>
                <w:sz w:val="18"/>
                <w:szCs w:val="18"/>
              </w:rPr>
            </w:pPr>
            <w:r w:rsidRPr="00EC1AB2">
              <w:rPr>
                <w:rFonts w:ascii="Times New Roman" w:hAnsi="Times New Roman" w:cs="Times New Roman"/>
                <w:sz w:val="18"/>
                <w:szCs w:val="18"/>
              </w:rPr>
              <w:t>Paraiškos dėl patentų, susijusių su visuomenės problemomis, pagal patentinės</w:t>
            </w:r>
          </w:p>
          <w:p w:rsidR="00D35378" w:rsidRPr="00EC1AB2" w:rsidRDefault="00D35378" w:rsidP="007A02A8">
            <w:pPr>
              <w:autoSpaceDE w:val="0"/>
              <w:autoSpaceDN w:val="0"/>
              <w:adjustRightInd w:val="0"/>
              <w:spacing w:line="360" w:lineRule="auto"/>
              <w:ind w:left="113" w:right="113"/>
              <w:contextualSpacing/>
              <w:rPr>
                <w:rFonts w:ascii="Times New Roman" w:hAnsi="Times New Roman" w:cs="Times New Roman"/>
                <w:sz w:val="18"/>
                <w:szCs w:val="18"/>
              </w:rPr>
            </w:pPr>
            <w:r w:rsidRPr="00EC1AB2">
              <w:rPr>
                <w:rFonts w:ascii="Times New Roman" w:hAnsi="Times New Roman" w:cs="Times New Roman"/>
                <w:sz w:val="18"/>
                <w:szCs w:val="18"/>
              </w:rPr>
              <w:t xml:space="preserve">kooperacijos sutartį 1 mlrd. BVP </w:t>
            </w:r>
          </w:p>
        </w:tc>
        <w:tc>
          <w:tcPr>
            <w:tcW w:w="366" w:type="pct"/>
            <w:textDirection w:val="btLr"/>
          </w:tcPr>
          <w:p w:rsidR="00D35378" w:rsidRPr="00EC1AB2" w:rsidRDefault="00D35378" w:rsidP="007A02A8">
            <w:pPr>
              <w:autoSpaceDE w:val="0"/>
              <w:autoSpaceDN w:val="0"/>
              <w:adjustRightInd w:val="0"/>
              <w:spacing w:line="360" w:lineRule="auto"/>
              <w:ind w:left="113" w:right="113"/>
              <w:rPr>
                <w:rFonts w:ascii="Times New Roman" w:hAnsi="Times New Roman" w:cs="Times New Roman"/>
                <w:sz w:val="18"/>
                <w:szCs w:val="18"/>
              </w:rPr>
            </w:pPr>
            <w:r w:rsidRPr="00EC1AB2">
              <w:rPr>
                <w:rFonts w:ascii="Times New Roman" w:hAnsi="Times New Roman" w:cs="Times New Roman"/>
                <w:sz w:val="18"/>
                <w:szCs w:val="18"/>
              </w:rPr>
              <w:t>Bendrijos prekių ženklų 1 mlrd. BVP</w:t>
            </w:r>
          </w:p>
        </w:tc>
        <w:tc>
          <w:tcPr>
            <w:tcW w:w="445" w:type="pct"/>
            <w:textDirection w:val="btLr"/>
          </w:tcPr>
          <w:p w:rsidR="00D35378" w:rsidRPr="00EC1AB2" w:rsidRDefault="00D35378" w:rsidP="007A02A8">
            <w:pPr>
              <w:autoSpaceDE w:val="0"/>
              <w:autoSpaceDN w:val="0"/>
              <w:adjustRightInd w:val="0"/>
              <w:spacing w:line="360" w:lineRule="auto"/>
              <w:ind w:left="113" w:right="113"/>
              <w:rPr>
                <w:rFonts w:ascii="Times New Roman" w:hAnsi="Times New Roman" w:cs="Times New Roman"/>
                <w:sz w:val="18"/>
                <w:szCs w:val="18"/>
              </w:rPr>
            </w:pPr>
            <w:r w:rsidRPr="00EC1AB2">
              <w:rPr>
                <w:rFonts w:ascii="Times New Roman" w:hAnsi="Times New Roman" w:cs="Times New Roman"/>
                <w:sz w:val="18"/>
                <w:szCs w:val="18"/>
              </w:rPr>
              <w:t>Bendrijos pramoninio dizaino registravimas 1 mlrd. BVP</w:t>
            </w:r>
          </w:p>
        </w:tc>
      </w:tr>
      <w:tr w:rsidR="00F300B1" w:rsidRPr="00EC1AB2" w:rsidTr="00707195">
        <w:trPr>
          <w:trHeight w:val="621"/>
          <w:jc w:val="center"/>
        </w:trPr>
        <w:tc>
          <w:tcPr>
            <w:tcW w:w="1176" w:type="pct"/>
            <w:vAlign w:val="center"/>
          </w:tcPr>
          <w:p w:rsidR="00D35378" w:rsidRPr="00EC1AB2" w:rsidRDefault="00D35378" w:rsidP="007A02A8">
            <w:pPr>
              <w:pStyle w:val="ListParagraph"/>
              <w:autoSpaceDE w:val="0"/>
              <w:autoSpaceDN w:val="0"/>
              <w:adjustRightInd w:val="0"/>
              <w:spacing w:line="360" w:lineRule="auto"/>
              <w:ind w:left="0"/>
              <w:jc w:val="center"/>
              <w:rPr>
                <w:rFonts w:ascii="Times New Roman" w:hAnsi="Times New Roman" w:cs="Times New Roman"/>
                <w:sz w:val="18"/>
                <w:szCs w:val="18"/>
              </w:rPr>
            </w:pPr>
            <w:r w:rsidRPr="00EC1AB2">
              <w:rPr>
                <w:rFonts w:ascii="Times New Roman" w:hAnsi="Times New Roman" w:cs="Times New Roman"/>
                <w:b/>
                <w:sz w:val="18"/>
                <w:szCs w:val="18"/>
              </w:rPr>
              <w:t xml:space="preserve">r </w:t>
            </w:r>
            <w:r w:rsidRPr="00EC1AB2">
              <w:rPr>
                <w:rFonts w:ascii="Times New Roman" w:hAnsi="Times New Roman" w:cs="Times New Roman"/>
                <w:sz w:val="18"/>
                <w:szCs w:val="18"/>
              </w:rPr>
              <w:t>(koreliacijos koeficientas)</w:t>
            </w:r>
          </w:p>
        </w:tc>
        <w:tc>
          <w:tcPr>
            <w:tcW w:w="415" w:type="pct"/>
            <w:vAlign w:val="center"/>
          </w:tcPr>
          <w:p w:rsidR="00D35378" w:rsidRPr="00EC1AB2" w:rsidRDefault="00D35378"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0,385</w:t>
            </w:r>
          </w:p>
        </w:tc>
        <w:tc>
          <w:tcPr>
            <w:tcW w:w="415" w:type="pct"/>
            <w:vAlign w:val="center"/>
          </w:tcPr>
          <w:p w:rsidR="00D35378" w:rsidRPr="00EC1AB2" w:rsidRDefault="00A87B75"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0,151</w:t>
            </w:r>
          </w:p>
        </w:tc>
        <w:tc>
          <w:tcPr>
            <w:tcW w:w="415" w:type="pct"/>
            <w:vAlign w:val="center"/>
          </w:tcPr>
          <w:p w:rsidR="00D35378" w:rsidRPr="00EC1AB2" w:rsidRDefault="00D35378"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0,378</w:t>
            </w:r>
          </w:p>
        </w:tc>
        <w:tc>
          <w:tcPr>
            <w:tcW w:w="414" w:type="pct"/>
            <w:vAlign w:val="center"/>
          </w:tcPr>
          <w:p w:rsidR="00D35378" w:rsidRPr="00EC1AB2" w:rsidRDefault="00D35378"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0,506</w:t>
            </w:r>
          </w:p>
        </w:tc>
        <w:tc>
          <w:tcPr>
            <w:tcW w:w="414" w:type="pct"/>
            <w:vAlign w:val="center"/>
          </w:tcPr>
          <w:p w:rsidR="00D35378" w:rsidRPr="00EC1AB2" w:rsidRDefault="00D35378"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0,414</w:t>
            </w:r>
          </w:p>
        </w:tc>
        <w:tc>
          <w:tcPr>
            <w:tcW w:w="414" w:type="pct"/>
            <w:vAlign w:val="center"/>
          </w:tcPr>
          <w:p w:rsidR="00D35378" w:rsidRPr="00EC1AB2" w:rsidRDefault="00D35378"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0,332</w:t>
            </w:r>
          </w:p>
        </w:tc>
        <w:tc>
          <w:tcPr>
            <w:tcW w:w="525" w:type="pct"/>
            <w:vAlign w:val="center"/>
          </w:tcPr>
          <w:p w:rsidR="00D35378" w:rsidRPr="00EC1AB2" w:rsidRDefault="00D35378"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0,270</w:t>
            </w:r>
          </w:p>
        </w:tc>
        <w:tc>
          <w:tcPr>
            <w:tcW w:w="366" w:type="pct"/>
            <w:vAlign w:val="center"/>
          </w:tcPr>
          <w:p w:rsidR="00D35378" w:rsidRPr="00EC1AB2" w:rsidRDefault="00D35378"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0,709</w:t>
            </w:r>
          </w:p>
        </w:tc>
        <w:tc>
          <w:tcPr>
            <w:tcW w:w="445" w:type="pct"/>
            <w:vAlign w:val="center"/>
          </w:tcPr>
          <w:p w:rsidR="00D35378" w:rsidRPr="00EC1AB2" w:rsidRDefault="00D35378"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0,242</w:t>
            </w:r>
          </w:p>
        </w:tc>
      </w:tr>
      <w:tr w:rsidR="00F300B1" w:rsidRPr="00EC1AB2" w:rsidTr="00707195">
        <w:trPr>
          <w:trHeight w:val="621"/>
          <w:jc w:val="center"/>
        </w:trPr>
        <w:tc>
          <w:tcPr>
            <w:tcW w:w="1176" w:type="pct"/>
            <w:vAlign w:val="center"/>
          </w:tcPr>
          <w:p w:rsidR="00D35378" w:rsidRPr="00EC1AB2" w:rsidRDefault="00D35378" w:rsidP="007A02A8">
            <w:pPr>
              <w:pStyle w:val="ListParagraph"/>
              <w:autoSpaceDE w:val="0"/>
              <w:autoSpaceDN w:val="0"/>
              <w:adjustRightInd w:val="0"/>
              <w:spacing w:line="360" w:lineRule="auto"/>
              <w:ind w:left="0"/>
              <w:jc w:val="center"/>
              <w:rPr>
                <w:rFonts w:ascii="Times New Roman" w:hAnsi="Times New Roman" w:cs="Times New Roman"/>
                <w:sz w:val="18"/>
                <w:szCs w:val="18"/>
              </w:rPr>
            </w:pPr>
            <w:r w:rsidRPr="00EC1AB2">
              <w:rPr>
                <w:rFonts w:ascii="Times New Roman" w:hAnsi="Times New Roman" w:cs="Times New Roman"/>
                <w:b/>
                <w:sz w:val="18"/>
                <w:szCs w:val="18"/>
              </w:rPr>
              <w:t xml:space="preserve">t </w:t>
            </w:r>
            <w:r w:rsidRPr="00EC1AB2">
              <w:rPr>
                <w:rFonts w:ascii="Times New Roman" w:hAnsi="Times New Roman" w:cs="Times New Roman"/>
                <w:sz w:val="18"/>
                <w:szCs w:val="18"/>
              </w:rPr>
              <w:t>(statistika)</w:t>
            </w:r>
          </w:p>
        </w:tc>
        <w:tc>
          <w:tcPr>
            <w:tcW w:w="415" w:type="pct"/>
            <w:vAlign w:val="center"/>
          </w:tcPr>
          <w:p w:rsidR="00D35378" w:rsidRPr="00EC1AB2" w:rsidRDefault="00D35378"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2,331</w:t>
            </w:r>
          </w:p>
        </w:tc>
        <w:tc>
          <w:tcPr>
            <w:tcW w:w="415" w:type="pct"/>
            <w:vAlign w:val="center"/>
          </w:tcPr>
          <w:p w:rsidR="00D35378" w:rsidRPr="00EC1AB2" w:rsidRDefault="00D35378"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2,331</w:t>
            </w:r>
          </w:p>
        </w:tc>
        <w:tc>
          <w:tcPr>
            <w:tcW w:w="415" w:type="pct"/>
            <w:vAlign w:val="center"/>
          </w:tcPr>
          <w:p w:rsidR="00D35378" w:rsidRPr="00EC1AB2" w:rsidRDefault="00D35378"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2,331</w:t>
            </w:r>
          </w:p>
        </w:tc>
        <w:tc>
          <w:tcPr>
            <w:tcW w:w="414" w:type="pct"/>
            <w:vAlign w:val="center"/>
          </w:tcPr>
          <w:p w:rsidR="00D35378" w:rsidRPr="00EC1AB2" w:rsidRDefault="00D35378"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2,331</w:t>
            </w:r>
          </w:p>
        </w:tc>
        <w:tc>
          <w:tcPr>
            <w:tcW w:w="414" w:type="pct"/>
            <w:vAlign w:val="center"/>
          </w:tcPr>
          <w:p w:rsidR="00D35378" w:rsidRPr="00EC1AB2" w:rsidRDefault="00D35378"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2,331</w:t>
            </w:r>
          </w:p>
        </w:tc>
        <w:tc>
          <w:tcPr>
            <w:tcW w:w="414" w:type="pct"/>
            <w:vAlign w:val="center"/>
          </w:tcPr>
          <w:p w:rsidR="00D35378" w:rsidRPr="00EC1AB2" w:rsidRDefault="00D35378"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2,331</w:t>
            </w:r>
          </w:p>
        </w:tc>
        <w:tc>
          <w:tcPr>
            <w:tcW w:w="525" w:type="pct"/>
            <w:vAlign w:val="center"/>
          </w:tcPr>
          <w:p w:rsidR="00D35378" w:rsidRPr="00EC1AB2" w:rsidRDefault="00D35378"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2,331</w:t>
            </w:r>
          </w:p>
        </w:tc>
        <w:tc>
          <w:tcPr>
            <w:tcW w:w="366" w:type="pct"/>
            <w:vAlign w:val="center"/>
          </w:tcPr>
          <w:p w:rsidR="00D35378" w:rsidRPr="00EC1AB2" w:rsidRDefault="00D35378"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2,331</w:t>
            </w:r>
          </w:p>
        </w:tc>
        <w:tc>
          <w:tcPr>
            <w:tcW w:w="445" w:type="pct"/>
            <w:vAlign w:val="center"/>
          </w:tcPr>
          <w:p w:rsidR="00D35378" w:rsidRPr="00EC1AB2" w:rsidRDefault="00D35378"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2,331</w:t>
            </w:r>
          </w:p>
        </w:tc>
      </w:tr>
      <w:tr w:rsidR="00F300B1" w:rsidRPr="00EC1AB2" w:rsidTr="00707195">
        <w:trPr>
          <w:trHeight w:val="621"/>
          <w:jc w:val="center"/>
        </w:trPr>
        <w:tc>
          <w:tcPr>
            <w:tcW w:w="1176" w:type="pct"/>
            <w:vAlign w:val="center"/>
          </w:tcPr>
          <w:p w:rsidR="00D35378" w:rsidRPr="00EC1AB2" w:rsidRDefault="00D35378" w:rsidP="007A02A8">
            <w:pPr>
              <w:pStyle w:val="ListParagraph"/>
              <w:autoSpaceDE w:val="0"/>
              <w:autoSpaceDN w:val="0"/>
              <w:adjustRightInd w:val="0"/>
              <w:spacing w:line="360" w:lineRule="auto"/>
              <w:ind w:left="0"/>
              <w:jc w:val="center"/>
              <w:rPr>
                <w:rFonts w:ascii="Times New Roman" w:hAnsi="Times New Roman" w:cs="Times New Roman"/>
                <w:b/>
                <w:sz w:val="18"/>
                <w:szCs w:val="18"/>
              </w:rPr>
            </w:pPr>
            <w:r w:rsidRPr="00EC1AB2">
              <w:rPr>
                <w:rFonts w:ascii="Times New Roman" w:hAnsi="Times New Roman" w:cs="Times New Roman"/>
                <w:b/>
                <w:sz w:val="18"/>
                <w:szCs w:val="18"/>
              </w:rPr>
              <w:t>t</w:t>
            </w:r>
          </w:p>
        </w:tc>
        <w:tc>
          <w:tcPr>
            <w:tcW w:w="415" w:type="pct"/>
            <w:vAlign w:val="center"/>
          </w:tcPr>
          <w:p w:rsidR="00D35378" w:rsidRPr="00EC1AB2" w:rsidRDefault="00D35378"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2,644</w:t>
            </w:r>
          </w:p>
        </w:tc>
        <w:tc>
          <w:tcPr>
            <w:tcW w:w="415" w:type="pct"/>
            <w:vAlign w:val="center"/>
          </w:tcPr>
          <w:p w:rsidR="00D35378" w:rsidRPr="00EC1AB2" w:rsidRDefault="00A87B75"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0,954</w:t>
            </w:r>
          </w:p>
        </w:tc>
        <w:tc>
          <w:tcPr>
            <w:tcW w:w="415" w:type="pct"/>
            <w:vAlign w:val="center"/>
          </w:tcPr>
          <w:p w:rsidR="00D35378" w:rsidRPr="00EC1AB2" w:rsidRDefault="00D35378"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2,546</w:t>
            </w:r>
          </w:p>
        </w:tc>
        <w:tc>
          <w:tcPr>
            <w:tcW w:w="414" w:type="pct"/>
            <w:vAlign w:val="center"/>
          </w:tcPr>
          <w:p w:rsidR="00D35378" w:rsidRPr="00EC1AB2" w:rsidRDefault="00D35378"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3,663</w:t>
            </w:r>
          </w:p>
        </w:tc>
        <w:tc>
          <w:tcPr>
            <w:tcW w:w="414" w:type="pct"/>
            <w:vAlign w:val="center"/>
          </w:tcPr>
          <w:p w:rsidR="00D35378" w:rsidRPr="00EC1AB2" w:rsidRDefault="00D35378"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2,840</w:t>
            </w:r>
          </w:p>
        </w:tc>
        <w:tc>
          <w:tcPr>
            <w:tcW w:w="414" w:type="pct"/>
            <w:vAlign w:val="center"/>
          </w:tcPr>
          <w:p w:rsidR="00D35378" w:rsidRPr="00EC1AB2" w:rsidRDefault="00D35378"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2,198</w:t>
            </w:r>
          </w:p>
        </w:tc>
        <w:tc>
          <w:tcPr>
            <w:tcW w:w="525" w:type="pct"/>
            <w:vAlign w:val="center"/>
          </w:tcPr>
          <w:p w:rsidR="00D35378" w:rsidRPr="00EC1AB2" w:rsidRDefault="00D35378"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1,751</w:t>
            </w:r>
          </w:p>
        </w:tc>
        <w:tc>
          <w:tcPr>
            <w:tcW w:w="366" w:type="pct"/>
            <w:vAlign w:val="center"/>
          </w:tcPr>
          <w:p w:rsidR="00D35378" w:rsidRPr="00EC1AB2" w:rsidRDefault="00D35378"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6,395</w:t>
            </w:r>
          </w:p>
        </w:tc>
        <w:tc>
          <w:tcPr>
            <w:tcW w:w="445" w:type="pct"/>
            <w:vAlign w:val="center"/>
          </w:tcPr>
          <w:p w:rsidR="00D35378" w:rsidRPr="00EC1AB2" w:rsidRDefault="00D35378"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1,557</w:t>
            </w:r>
          </w:p>
        </w:tc>
      </w:tr>
    </w:tbl>
    <w:p w:rsidR="00933119" w:rsidRPr="00EC1AB2" w:rsidRDefault="00933119" w:rsidP="007A02A8">
      <w:pPr>
        <w:autoSpaceDE w:val="0"/>
        <w:autoSpaceDN w:val="0"/>
        <w:adjustRightInd w:val="0"/>
        <w:spacing w:after="0" w:line="360" w:lineRule="auto"/>
        <w:jc w:val="both"/>
        <w:rPr>
          <w:rFonts w:ascii="Times New Roman" w:hAnsi="Times New Roman" w:cs="Times New Roman"/>
          <w:sz w:val="24"/>
          <w:szCs w:val="24"/>
        </w:rPr>
      </w:pPr>
    </w:p>
    <w:p w:rsidR="0077224C" w:rsidRPr="00EC1AB2" w:rsidRDefault="0077224C" w:rsidP="007A02A8">
      <w:pPr>
        <w:autoSpaceDE w:val="0"/>
        <w:autoSpaceDN w:val="0"/>
        <w:adjustRightInd w:val="0"/>
        <w:spacing w:after="0" w:line="360" w:lineRule="auto"/>
        <w:ind w:firstLine="567"/>
        <w:jc w:val="both"/>
        <w:rPr>
          <w:rFonts w:ascii="Times New Roman" w:hAnsi="Times New Roman" w:cs="Times New Roman"/>
          <w:b/>
          <w:sz w:val="20"/>
          <w:szCs w:val="20"/>
        </w:rPr>
      </w:pPr>
      <w:r w:rsidRPr="00EC1AB2">
        <w:rPr>
          <w:rFonts w:ascii="Times New Roman" w:hAnsi="Times New Roman" w:cs="Times New Roman"/>
          <w:b/>
          <w:sz w:val="20"/>
          <w:szCs w:val="20"/>
        </w:rPr>
        <w:t xml:space="preserve">Šaltinis: </w:t>
      </w:r>
      <w:r w:rsidRPr="00EC1AB2">
        <w:rPr>
          <w:rFonts w:ascii="Times New Roman" w:hAnsi="Times New Roman" w:cs="Times New Roman"/>
          <w:sz w:val="20"/>
          <w:szCs w:val="20"/>
        </w:rPr>
        <w:t>sudaryta autorės</w:t>
      </w:r>
    </w:p>
    <w:p w:rsidR="00933119" w:rsidRPr="00EC1AB2" w:rsidRDefault="00933119" w:rsidP="007A02A8">
      <w:pPr>
        <w:autoSpaceDE w:val="0"/>
        <w:autoSpaceDN w:val="0"/>
        <w:adjustRightInd w:val="0"/>
        <w:spacing w:after="0" w:line="360" w:lineRule="auto"/>
        <w:contextualSpacing/>
        <w:rPr>
          <w:rFonts w:ascii="Times New Roman" w:hAnsi="Times New Roman" w:cs="Times New Roman"/>
          <w:sz w:val="24"/>
          <w:szCs w:val="24"/>
        </w:rPr>
      </w:pPr>
    </w:p>
    <w:p w:rsidR="003D1D0C" w:rsidRPr="00EC1AB2" w:rsidRDefault="00A87B75"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Kaip matyti iš </w:t>
      </w:r>
      <w:r w:rsidR="006F6993" w:rsidRPr="00EC1AB2">
        <w:rPr>
          <w:rFonts w:ascii="Times New Roman" w:hAnsi="Times New Roman" w:cs="Times New Roman"/>
          <w:sz w:val="24"/>
          <w:szCs w:val="24"/>
        </w:rPr>
        <w:t>5</w:t>
      </w:r>
      <w:r w:rsidRPr="00EC1AB2">
        <w:rPr>
          <w:rFonts w:ascii="Times New Roman" w:hAnsi="Times New Roman" w:cs="Times New Roman"/>
          <w:sz w:val="24"/>
          <w:szCs w:val="24"/>
        </w:rPr>
        <w:t xml:space="preserve"> lent. </w:t>
      </w:r>
      <w:r w:rsidR="00506CE1" w:rsidRPr="00EC1AB2">
        <w:rPr>
          <w:rFonts w:ascii="Times New Roman" w:hAnsi="Times New Roman" w:cs="Times New Roman"/>
          <w:sz w:val="24"/>
          <w:szCs w:val="24"/>
        </w:rPr>
        <w:t xml:space="preserve">tarp </w:t>
      </w:r>
      <w:r w:rsidR="00F37A93" w:rsidRPr="00EC1AB2">
        <w:rPr>
          <w:rFonts w:ascii="Times New Roman" w:hAnsi="Times New Roman" w:cs="Times New Roman"/>
          <w:sz w:val="24"/>
          <w:szCs w:val="24"/>
        </w:rPr>
        <w:t>RKF investicijų proc.</w:t>
      </w:r>
      <w:r w:rsidR="00506CE1" w:rsidRPr="00EC1AB2">
        <w:rPr>
          <w:rFonts w:ascii="Times New Roman" w:hAnsi="Times New Roman" w:cs="Times New Roman"/>
          <w:sz w:val="24"/>
          <w:szCs w:val="24"/>
        </w:rPr>
        <w:t xml:space="preserve"> nuo BVP ir visų nuolatinės veiklos kategorijos rodiklių</w:t>
      </w:r>
      <w:r w:rsidR="004877A6" w:rsidRPr="00EC1AB2">
        <w:rPr>
          <w:rFonts w:ascii="Times New Roman" w:hAnsi="Times New Roman" w:cs="Times New Roman"/>
          <w:sz w:val="24"/>
          <w:szCs w:val="24"/>
        </w:rPr>
        <w:t xml:space="preserve"> egzistuoja teigiamas ryšys, tačiau </w:t>
      </w:r>
      <w:r w:rsidR="0078529A" w:rsidRPr="00EC1AB2">
        <w:rPr>
          <w:rFonts w:ascii="Times New Roman" w:hAnsi="Times New Roman" w:cs="Times New Roman"/>
          <w:sz w:val="24"/>
          <w:szCs w:val="24"/>
        </w:rPr>
        <w:t>rodiklių  i</w:t>
      </w:r>
      <w:r w:rsidR="00230B95" w:rsidRPr="00EC1AB2">
        <w:rPr>
          <w:rFonts w:ascii="Times New Roman" w:hAnsi="Times New Roman" w:cs="Times New Roman"/>
          <w:sz w:val="24"/>
          <w:szCs w:val="24"/>
        </w:rPr>
        <w:t>šlaidų</w:t>
      </w:r>
      <w:r w:rsidR="0078529A" w:rsidRPr="00EC1AB2">
        <w:rPr>
          <w:rFonts w:ascii="Times New Roman" w:hAnsi="Times New Roman" w:cs="Times New Roman"/>
          <w:sz w:val="24"/>
          <w:szCs w:val="24"/>
        </w:rPr>
        <w:t xml:space="preserve"> ne MTEP inovacijoms procentais nuo apyvartos, p</w:t>
      </w:r>
      <w:r w:rsidR="00230B95" w:rsidRPr="00EC1AB2">
        <w:rPr>
          <w:rFonts w:ascii="Times New Roman" w:hAnsi="Times New Roman" w:cs="Times New Roman"/>
          <w:sz w:val="24"/>
          <w:szCs w:val="24"/>
        </w:rPr>
        <w:t>araiškų</w:t>
      </w:r>
      <w:r w:rsidR="0078529A" w:rsidRPr="00EC1AB2">
        <w:rPr>
          <w:rFonts w:ascii="Times New Roman" w:hAnsi="Times New Roman" w:cs="Times New Roman"/>
          <w:sz w:val="24"/>
          <w:szCs w:val="24"/>
        </w:rPr>
        <w:t xml:space="preserve"> patentui gauti pagal patentinės kooperacijos sutartį 1 mlrd. BVP, p</w:t>
      </w:r>
      <w:r w:rsidR="00230B95" w:rsidRPr="00EC1AB2">
        <w:rPr>
          <w:rFonts w:ascii="Times New Roman" w:hAnsi="Times New Roman" w:cs="Times New Roman"/>
          <w:sz w:val="24"/>
          <w:szCs w:val="24"/>
        </w:rPr>
        <w:t>araiškų</w:t>
      </w:r>
      <w:r w:rsidR="0078529A" w:rsidRPr="00EC1AB2">
        <w:rPr>
          <w:rFonts w:ascii="Times New Roman" w:hAnsi="Times New Roman" w:cs="Times New Roman"/>
          <w:sz w:val="24"/>
          <w:szCs w:val="24"/>
        </w:rPr>
        <w:t xml:space="preserve"> dėl patentų, susijusių su visuomenės problemomis, pagal patentinės kooperacijos sutartį 1 mlrd. BVP</w:t>
      </w:r>
      <w:r w:rsidR="00230B95" w:rsidRPr="00EC1AB2">
        <w:rPr>
          <w:rFonts w:ascii="Times New Roman" w:hAnsi="Times New Roman" w:cs="Times New Roman"/>
          <w:sz w:val="24"/>
          <w:szCs w:val="24"/>
        </w:rPr>
        <w:t xml:space="preserve"> ir</w:t>
      </w:r>
      <w:r w:rsidR="0078529A" w:rsidRPr="00EC1AB2">
        <w:rPr>
          <w:rFonts w:ascii="Times New Roman" w:hAnsi="Times New Roman" w:cs="Times New Roman"/>
          <w:sz w:val="24"/>
          <w:szCs w:val="24"/>
        </w:rPr>
        <w:t xml:space="preserve"> </w:t>
      </w:r>
      <w:r w:rsidR="0078529A" w:rsidRPr="00EC1AB2">
        <w:rPr>
          <w:rFonts w:ascii="Times New Roman" w:hAnsi="Times New Roman" w:cs="Times New Roman"/>
          <w:sz w:val="24"/>
          <w:szCs w:val="24"/>
        </w:rPr>
        <w:lastRenderedPageBreak/>
        <w:t xml:space="preserve">bendrijos </w:t>
      </w:r>
      <w:r w:rsidR="00230B95" w:rsidRPr="00EC1AB2">
        <w:rPr>
          <w:rFonts w:ascii="Times New Roman" w:hAnsi="Times New Roman" w:cs="Times New Roman"/>
          <w:sz w:val="24"/>
          <w:szCs w:val="24"/>
        </w:rPr>
        <w:t>pramoninio dizaino registravimo</w:t>
      </w:r>
      <w:r w:rsidR="0078529A" w:rsidRPr="00EC1AB2">
        <w:rPr>
          <w:rFonts w:ascii="Times New Roman" w:hAnsi="Times New Roman" w:cs="Times New Roman"/>
          <w:sz w:val="24"/>
          <w:szCs w:val="24"/>
        </w:rPr>
        <w:t xml:space="preserve"> 1 mlrd. BVP </w:t>
      </w:r>
      <w:r w:rsidR="006219EB" w:rsidRPr="00EC1AB2">
        <w:rPr>
          <w:rFonts w:ascii="Times New Roman" w:hAnsi="Times New Roman" w:cs="Times New Roman"/>
          <w:sz w:val="24"/>
          <w:szCs w:val="24"/>
        </w:rPr>
        <w:t>a</w:t>
      </w:r>
      <w:r w:rsidR="0078529A" w:rsidRPr="00EC1AB2">
        <w:rPr>
          <w:rFonts w:ascii="Times New Roman" w:hAnsi="Times New Roman" w:cs="Times New Roman"/>
          <w:sz w:val="24"/>
          <w:szCs w:val="24"/>
        </w:rPr>
        <w:t>pskaičiuoti Stjudento kriterijai</w:t>
      </w:r>
      <w:r w:rsidR="006219EB" w:rsidRPr="00EC1AB2">
        <w:rPr>
          <w:rFonts w:ascii="Times New Roman" w:hAnsi="Times New Roman" w:cs="Times New Roman"/>
          <w:sz w:val="24"/>
          <w:szCs w:val="24"/>
        </w:rPr>
        <w:t xml:space="preserve"> (t) yra </w:t>
      </w:r>
      <w:r w:rsidR="0078529A" w:rsidRPr="00EC1AB2">
        <w:rPr>
          <w:rFonts w:ascii="Times New Roman" w:hAnsi="Times New Roman" w:cs="Times New Roman"/>
          <w:sz w:val="24"/>
          <w:szCs w:val="24"/>
        </w:rPr>
        <w:t>mažesni</w:t>
      </w:r>
      <w:r w:rsidR="00CC307B" w:rsidRPr="00EC1AB2">
        <w:rPr>
          <w:rFonts w:ascii="Times New Roman" w:hAnsi="Times New Roman" w:cs="Times New Roman"/>
          <w:sz w:val="24"/>
          <w:szCs w:val="24"/>
        </w:rPr>
        <w:t xml:space="preserve"> už Stjudento kriterijaus reikšmę apskaičiuotą pasinaudojus </w:t>
      </w:r>
      <w:r w:rsidR="00CC307B" w:rsidRPr="00EC1AB2">
        <w:rPr>
          <w:rFonts w:ascii="Times New Roman" w:hAnsi="Times New Roman" w:cs="Times New Roman"/>
          <w:i/>
          <w:sz w:val="24"/>
          <w:szCs w:val="24"/>
        </w:rPr>
        <w:t xml:space="preserve">Microsoft Excel </w:t>
      </w:r>
      <w:r w:rsidR="00CC307B" w:rsidRPr="00EC1AB2">
        <w:rPr>
          <w:rFonts w:ascii="Times New Roman" w:hAnsi="Times New Roman" w:cs="Times New Roman"/>
          <w:sz w:val="24"/>
          <w:szCs w:val="24"/>
        </w:rPr>
        <w:t xml:space="preserve">funkcija </w:t>
      </w:r>
      <w:r w:rsidR="00CC307B" w:rsidRPr="00EC1AB2">
        <w:rPr>
          <w:rFonts w:ascii="Times New Roman" w:hAnsi="Times New Roman" w:cs="Times New Roman"/>
          <w:i/>
          <w:sz w:val="24"/>
          <w:szCs w:val="24"/>
        </w:rPr>
        <w:t>TINV</w:t>
      </w:r>
      <w:r w:rsidR="004877A6" w:rsidRPr="00EC1AB2">
        <w:rPr>
          <w:rFonts w:ascii="Times New Roman" w:hAnsi="Times New Roman" w:cs="Times New Roman"/>
          <w:sz w:val="24"/>
          <w:szCs w:val="24"/>
        </w:rPr>
        <w:t xml:space="preserve"> </w:t>
      </w:r>
      <w:r w:rsidR="003D1D0C" w:rsidRPr="00EC1AB2">
        <w:rPr>
          <w:rFonts w:ascii="Times New Roman" w:hAnsi="Times New Roman" w:cs="Times New Roman"/>
          <w:sz w:val="24"/>
          <w:szCs w:val="24"/>
        </w:rPr>
        <w:t xml:space="preserve">, tai reiškia, </w:t>
      </w:r>
      <w:r w:rsidR="00C97C29" w:rsidRPr="00EC1AB2">
        <w:rPr>
          <w:rFonts w:ascii="Times New Roman" w:hAnsi="Times New Roman" w:cs="Times New Roman"/>
          <w:sz w:val="24"/>
          <w:szCs w:val="24"/>
        </w:rPr>
        <w:t xml:space="preserve">kad </w:t>
      </w:r>
      <w:r w:rsidR="00F37A93" w:rsidRPr="00EC1AB2">
        <w:rPr>
          <w:rFonts w:ascii="Times New Roman" w:hAnsi="Times New Roman" w:cs="Times New Roman"/>
          <w:sz w:val="24"/>
          <w:szCs w:val="24"/>
        </w:rPr>
        <w:t>tarp RKF proc.</w:t>
      </w:r>
      <w:r w:rsidR="003D1D0C" w:rsidRPr="00EC1AB2">
        <w:rPr>
          <w:rFonts w:ascii="Times New Roman" w:hAnsi="Times New Roman" w:cs="Times New Roman"/>
          <w:sz w:val="24"/>
          <w:szCs w:val="24"/>
        </w:rPr>
        <w:t xml:space="preserve"> nuo BVP ir šių rodiklių </w:t>
      </w:r>
      <w:r w:rsidR="00C97C29" w:rsidRPr="00EC1AB2">
        <w:rPr>
          <w:rFonts w:ascii="Times New Roman" w:hAnsi="Times New Roman" w:cs="Times New Roman"/>
          <w:sz w:val="24"/>
          <w:szCs w:val="24"/>
        </w:rPr>
        <w:t xml:space="preserve">koreliacijos koeficientai nėra </w:t>
      </w:r>
      <w:r w:rsidR="001164CC" w:rsidRPr="00EC1AB2">
        <w:rPr>
          <w:rFonts w:ascii="Times New Roman" w:hAnsi="Times New Roman" w:cs="Times New Roman"/>
          <w:sz w:val="24"/>
          <w:szCs w:val="24"/>
        </w:rPr>
        <w:t xml:space="preserve">statistiškai </w:t>
      </w:r>
      <w:r w:rsidR="003D1D0C" w:rsidRPr="00EC1AB2">
        <w:rPr>
          <w:rFonts w:ascii="Times New Roman" w:hAnsi="Times New Roman" w:cs="Times New Roman"/>
          <w:sz w:val="24"/>
          <w:szCs w:val="24"/>
        </w:rPr>
        <w:t>reikšmingi.</w:t>
      </w:r>
    </w:p>
    <w:p w:rsidR="00933119" w:rsidRPr="00EC1AB2" w:rsidRDefault="0020052E" w:rsidP="007A02A8">
      <w:pPr>
        <w:autoSpaceDE w:val="0"/>
        <w:autoSpaceDN w:val="0"/>
        <w:adjustRightInd w:val="0"/>
        <w:spacing w:after="0" w:line="360" w:lineRule="auto"/>
        <w:ind w:firstLine="360"/>
        <w:jc w:val="both"/>
        <w:rPr>
          <w:rFonts w:ascii="Times New Roman" w:hAnsi="Times New Roman" w:cs="Times New Roman"/>
          <w:sz w:val="24"/>
          <w:szCs w:val="24"/>
        </w:rPr>
      </w:pPr>
      <w:r w:rsidRPr="00EC1AB2">
        <w:rPr>
          <w:rFonts w:ascii="Times New Roman" w:hAnsi="Times New Roman" w:cs="Times New Roman"/>
          <w:sz w:val="24"/>
          <w:szCs w:val="24"/>
        </w:rPr>
        <w:t>Tarp RKF investicijų proc.</w:t>
      </w:r>
      <w:r w:rsidR="00D913E3" w:rsidRPr="00EC1AB2">
        <w:rPr>
          <w:rFonts w:ascii="Times New Roman" w:hAnsi="Times New Roman" w:cs="Times New Roman"/>
          <w:sz w:val="24"/>
          <w:szCs w:val="24"/>
        </w:rPr>
        <w:t xml:space="preserve"> nuo BVP ir </w:t>
      </w:r>
      <w:r w:rsidR="00903C6A" w:rsidRPr="00EC1AB2">
        <w:rPr>
          <w:rFonts w:ascii="Times New Roman" w:hAnsi="Times New Roman" w:cs="Times New Roman"/>
          <w:sz w:val="24"/>
          <w:szCs w:val="24"/>
        </w:rPr>
        <w:t>išlaidų MTEP procentais nuo BVP, inovacijas vietoje diegiančių MVĮ procentinės dalies, palyginti su visomis MVĮ</w:t>
      </w:r>
      <w:r w:rsidR="001164CC" w:rsidRPr="00EC1AB2">
        <w:rPr>
          <w:rFonts w:ascii="Times New Roman" w:hAnsi="Times New Roman" w:cs="Times New Roman"/>
          <w:sz w:val="24"/>
          <w:szCs w:val="24"/>
        </w:rPr>
        <w:t xml:space="preserve"> egzistuoja s</w:t>
      </w:r>
      <w:r w:rsidR="00F67BDB" w:rsidRPr="00EC1AB2">
        <w:rPr>
          <w:rFonts w:ascii="Times New Roman" w:hAnsi="Times New Roman" w:cs="Times New Roman"/>
          <w:sz w:val="24"/>
          <w:szCs w:val="24"/>
        </w:rPr>
        <w:t>ilpnas teigiamas, tačiau statistiškai reikšmingas ryšys</w:t>
      </w:r>
      <w:r w:rsidRPr="00EC1AB2">
        <w:rPr>
          <w:rFonts w:ascii="Times New Roman" w:hAnsi="Times New Roman" w:cs="Times New Roman"/>
          <w:sz w:val="24"/>
          <w:szCs w:val="24"/>
        </w:rPr>
        <w:t xml:space="preserve">; tarp </w:t>
      </w:r>
      <w:r w:rsidR="00B97C13" w:rsidRPr="00EC1AB2">
        <w:rPr>
          <w:rFonts w:ascii="Times New Roman" w:hAnsi="Times New Roman" w:cs="Times New Roman"/>
          <w:sz w:val="24"/>
          <w:szCs w:val="24"/>
        </w:rPr>
        <w:t>novatoriškų bendradarbiaujančių MVĮ procentinės dalies palyginti su visomis MVĮ</w:t>
      </w:r>
      <w:r w:rsidR="00420918" w:rsidRPr="00EC1AB2">
        <w:rPr>
          <w:rFonts w:ascii="Times New Roman" w:hAnsi="Times New Roman" w:cs="Times New Roman"/>
          <w:sz w:val="24"/>
          <w:szCs w:val="24"/>
        </w:rPr>
        <w:t xml:space="preserve"> ir </w:t>
      </w:r>
      <w:r w:rsidR="00B97C13" w:rsidRPr="00EC1AB2">
        <w:rPr>
          <w:rFonts w:ascii="Times New Roman" w:hAnsi="Times New Roman" w:cs="Times New Roman"/>
          <w:sz w:val="24"/>
          <w:szCs w:val="24"/>
        </w:rPr>
        <w:t>viešojo ir privačiojo sektoriaus bendrų publi</w:t>
      </w:r>
      <w:r w:rsidR="00420918" w:rsidRPr="00EC1AB2">
        <w:rPr>
          <w:rFonts w:ascii="Times New Roman" w:hAnsi="Times New Roman" w:cs="Times New Roman"/>
          <w:sz w:val="24"/>
          <w:szCs w:val="24"/>
        </w:rPr>
        <w:t>kacijų 1 mln. gyventojų skaičiaus</w:t>
      </w:r>
      <w:r w:rsidRPr="00EC1AB2">
        <w:rPr>
          <w:rFonts w:ascii="Times New Roman" w:hAnsi="Times New Roman" w:cs="Times New Roman"/>
          <w:sz w:val="24"/>
          <w:szCs w:val="24"/>
        </w:rPr>
        <w:t xml:space="preserve"> – vidutinio stiprumo teigiamas ryšys; o </w:t>
      </w:r>
      <w:r w:rsidR="00D772A1" w:rsidRPr="00EC1AB2">
        <w:rPr>
          <w:rFonts w:ascii="Times New Roman" w:hAnsi="Times New Roman" w:cs="Times New Roman"/>
          <w:sz w:val="24"/>
          <w:szCs w:val="24"/>
        </w:rPr>
        <w:t>bendrijos prekių ženklų 1 mlrd. BVP</w:t>
      </w:r>
      <w:r w:rsidRPr="00EC1AB2">
        <w:rPr>
          <w:rFonts w:ascii="Times New Roman" w:hAnsi="Times New Roman" w:cs="Times New Roman"/>
          <w:sz w:val="24"/>
          <w:szCs w:val="24"/>
        </w:rPr>
        <w:t xml:space="preserve"> – stiprus teigiamas ryšys.</w:t>
      </w:r>
      <w:r w:rsidR="008C3F24" w:rsidRPr="00EC1AB2">
        <w:rPr>
          <w:rFonts w:ascii="Times New Roman" w:hAnsi="Times New Roman" w:cs="Times New Roman"/>
          <w:sz w:val="24"/>
          <w:szCs w:val="24"/>
        </w:rPr>
        <w:t xml:space="preserve"> </w:t>
      </w:r>
      <w:r w:rsidR="006F6993" w:rsidRPr="00EC1AB2">
        <w:rPr>
          <w:rFonts w:ascii="Times New Roman" w:hAnsi="Times New Roman" w:cs="Times New Roman"/>
          <w:sz w:val="24"/>
          <w:szCs w:val="24"/>
        </w:rPr>
        <w:t>6</w:t>
      </w:r>
      <w:r w:rsidR="00FB13AD" w:rsidRPr="00EC1AB2">
        <w:rPr>
          <w:rFonts w:ascii="Times New Roman" w:hAnsi="Times New Roman" w:cs="Times New Roman"/>
          <w:sz w:val="24"/>
          <w:szCs w:val="24"/>
        </w:rPr>
        <w:t xml:space="preserve"> lent. pateikti koreliacijos koeficientai tarp RKF investicijų santykio proc. nuo BVP ir rezultatų kategorijos rodiklių.</w:t>
      </w:r>
    </w:p>
    <w:p w:rsidR="002C563A" w:rsidRPr="00EC1AB2" w:rsidRDefault="002C563A" w:rsidP="007A02A8">
      <w:pPr>
        <w:autoSpaceDE w:val="0"/>
        <w:autoSpaceDN w:val="0"/>
        <w:adjustRightInd w:val="0"/>
        <w:spacing w:after="0" w:line="360" w:lineRule="auto"/>
        <w:jc w:val="both"/>
        <w:rPr>
          <w:rFonts w:ascii="Times New Roman" w:hAnsi="Times New Roman" w:cs="Times New Roman"/>
          <w:sz w:val="24"/>
          <w:szCs w:val="24"/>
        </w:rPr>
      </w:pPr>
    </w:p>
    <w:p w:rsidR="00E908B7" w:rsidRPr="00EC1AB2" w:rsidRDefault="006F6993" w:rsidP="007A02A8">
      <w:pPr>
        <w:pStyle w:val="Heading4"/>
        <w:spacing w:before="0" w:line="360" w:lineRule="auto"/>
        <w:jc w:val="center"/>
        <w:rPr>
          <w:rFonts w:ascii="Times New Roman" w:hAnsi="Times New Roman" w:cs="Times New Roman"/>
          <w:i w:val="0"/>
          <w:color w:val="auto"/>
          <w:sz w:val="24"/>
          <w:szCs w:val="24"/>
        </w:rPr>
      </w:pPr>
      <w:bookmarkStart w:id="170" w:name="_Toc320761935"/>
      <w:bookmarkStart w:id="171" w:name="_Toc320762170"/>
      <w:bookmarkStart w:id="172" w:name="_Toc320762573"/>
      <w:r w:rsidRPr="00EC1AB2">
        <w:rPr>
          <w:rFonts w:ascii="Times New Roman" w:hAnsi="Times New Roman" w:cs="Times New Roman"/>
          <w:b w:val="0"/>
          <w:i w:val="0"/>
          <w:color w:val="auto"/>
          <w:sz w:val="24"/>
          <w:szCs w:val="24"/>
        </w:rPr>
        <w:t>6</w:t>
      </w:r>
      <w:r w:rsidR="00E908B7" w:rsidRPr="00EC1AB2">
        <w:rPr>
          <w:rFonts w:ascii="Times New Roman" w:hAnsi="Times New Roman" w:cs="Times New Roman"/>
          <w:b w:val="0"/>
          <w:i w:val="0"/>
          <w:color w:val="auto"/>
          <w:sz w:val="24"/>
          <w:szCs w:val="24"/>
        </w:rPr>
        <w:t xml:space="preserve"> lentelė.</w:t>
      </w:r>
      <w:r w:rsidR="009F7CAA" w:rsidRPr="00EC1AB2">
        <w:rPr>
          <w:rFonts w:ascii="Times New Roman" w:hAnsi="Times New Roman" w:cs="Times New Roman"/>
          <w:i w:val="0"/>
          <w:color w:val="auto"/>
          <w:sz w:val="24"/>
          <w:szCs w:val="24"/>
        </w:rPr>
        <w:t xml:space="preserve"> Rizikos kapitalo fondų</w:t>
      </w:r>
      <w:r w:rsidR="00E908B7" w:rsidRPr="00EC1AB2">
        <w:rPr>
          <w:rFonts w:ascii="Times New Roman" w:hAnsi="Times New Roman" w:cs="Times New Roman"/>
          <w:i w:val="0"/>
          <w:color w:val="auto"/>
          <w:sz w:val="24"/>
          <w:szCs w:val="24"/>
        </w:rPr>
        <w:t xml:space="preserve"> investicijų apimties ir suminio inovatyvumo indekso rezultatų kategorijos rodiklių koreliacija</w:t>
      </w:r>
      <w:bookmarkEnd w:id="170"/>
      <w:bookmarkEnd w:id="171"/>
      <w:bookmarkEnd w:id="172"/>
    </w:p>
    <w:p w:rsidR="00E908B7" w:rsidRPr="00EC1AB2" w:rsidRDefault="00E908B7" w:rsidP="007A02A8">
      <w:pPr>
        <w:autoSpaceDE w:val="0"/>
        <w:autoSpaceDN w:val="0"/>
        <w:adjustRightInd w:val="0"/>
        <w:spacing w:after="0" w:line="360" w:lineRule="auto"/>
        <w:ind w:firstLine="360"/>
        <w:contextualSpacing/>
        <w:jc w:val="center"/>
        <w:rPr>
          <w:rFonts w:ascii="Times New Roman" w:hAnsi="Times New Roman" w:cs="Times New Roman"/>
          <w:b/>
          <w:sz w:val="24"/>
          <w:szCs w:val="24"/>
        </w:rPr>
      </w:pPr>
    </w:p>
    <w:tbl>
      <w:tblPr>
        <w:tblStyle w:val="TableGrid"/>
        <w:tblW w:w="5000" w:type="pct"/>
        <w:jc w:val="center"/>
        <w:tblLook w:val="04A0" w:firstRow="1" w:lastRow="0" w:firstColumn="1" w:lastColumn="0" w:noHBand="0" w:noVBand="1"/>
      </w:tblPr>
      <w:tblGrid>
        <w:gridCol w:w="1424"/>
        <w:gridCol w:w="1245"/>
        <w:gridCol w:w="1409"/>
        <w:gridCol w:w="1277"/>
        <w:gridCol w:w="1133"/>
        <w:gridCol w:w="1275"/>
        <w:gridCol w:w="1129"/>
        <w:gridCol w:w="1245"/>
      </w:tblGrid>
      <w:tr w:rsidR="00707195" w:rsidRPr="00EC1AB2" w:rsidTr="0024192E">
        <w:trPr>
          <w:cantSplit/>
          <w:trHeight w:val="3458"/>
          <w:jc w:val="center"/>
        </w:trPr>
        <w:tc>
          <w:tcPr>
            <w:tcW w:w="702" w:type="pct"/>
          </w:tcPr>
          <w:p w:rsidR="00E908B7" w:rsidRPr="00EC1AB2" w:rsidRDefault="00E908B7" w:rsidP="007A02A8">
            <w:pPr>
              <w:autoSpaceDE w:val="0"/>
              <w:autoSpaceDN w:val="0"/>
              <w:adjustRightInd w:val="0"/>
              <w:spacing w:line="360" w:lineRule="auto"/>
              <w:contextualSpacing/>
              <w:jc w:val="center"/>
              <w:rPr>
                <w:rFonts w:ascii="Times New Roman" w:hAnsi="Times New Roman" w:cs="Times New Roman"/>
                <w:b/>
                <w:sz w:val="24"/>
                <w:szCs w:val="24"/>
              </w:rPr>
            </w:pPr>
          </w:p>
        </w:tc>
        <w:tc>
          <w:tcPr>
            <w:tcW w:w="614" w:type="pct"/>
            <w:textDirection w:val="btLr"/>
          </w:tcPr>
          <w:p w:rsidR="00E908B7" w:rsidRPr="00EC1AB2" w:rsidRDefault="00E908B7" w:rsidP="007A02A8">
            <w:pPr>
              <w:autoSpaceDE w:val="0"/>
              <w:autoSpaceDN w:val="0"/>
              <w:adjustRightInd w:val="0"/>
              <w:spacing w:line="360" w:lineRule="auto"/>
              <w:ind w:left="113" w:right="113"/>
              <w:rPr>
                <w:rFonts w:ascii="Times New Roman" w:hAnsi="Times New Roman" w:cs="Times New Roman"/>
                <w:sz w:val="18"/>
                <w:szCs w:val="18"/>
              </w:rPr>
            </w:pPr>
            <w:r w:rsidRPr="00EC1AB2">
              <w:rPr>
                <w:rFonts w:ascii="Times New Roman" w:hAnsi="Times New Roman" w:cs="Times New Roman"/>
                <w:sz w:val="18"/>
                <w:szCs w:val="18"/>
              </w:rPr>
              <w:t>Daugiau nei 10 darbuotojų turinčių MVĮ, kuriančių novatoriškus produktus ar</w:t>
            </w:r>
          </w:p>
          <w:p w:rsidR="00E908B7" w:rsidRPr="00EC1AB2" w:rsidRDefault="00E908B7" w:rsidP="007A02A8">
            <w:pPr>
              <w:autoSpaceDE w:val="0"/>
              <w:autoSpaceDN w:val="0"/>
              <w:adjustRightInd w:val="0"/>
              <w:spacing w:line="360" w:lineRule="auto"/>
              <w:ind w:left="113" w:right="113"/>
              <w:contextualSpacing/>
              <w:rPr>
                <w:rFonts w:ascii="Times New Roman" w:hAnsi="Times New Roman" w:cs="Times New Roman"/>
                <w:b/>
                <w:sz w:val="18"/>
                <w:szCs w:val="18"/>
              </w:rPr>
            </w:pPr>
            <w:r w:rsidRPr="00EC1AB2">
              <w:rPr>
                <w:rFonts w:ascii="Times New Roman" w:hAnsi="Times New Roman" w:cs="Times New Roman"/>
                <w:sz w:val="18"/>
                <w:szCs w:val="18"/>
              </w:rPr>
              <w:t>procesus, procentinė dalis, palyginti su visomis MVĮ</w:t>
            </w:r>
          </w:p>
        </w:tc>
        <w:tc>
          <w:tcPr>
            <w:tcW w:w="695" w:type="pct"/>
            <w:textDirection w:val="btLr"/>
          </w:tcPr>
          <w:p w:rsidR="00E908B7" w:rsidRPr="00EC1AB2" w:rsidRDefault="00E908B7" w:rsidP="007A02A8">
            <w:pPr>
              <w:autoSpaceDE w:val="0"/>
              <w:autoSpaceDN w:val="0"/>
              <w:adjustRightInd w:val="0"/>
              <w:spacing w:line="360" w:lineRule="auto"/>
              <w:ind w:left="113" w:right="113"/>
              <w:rPr>
                <w:rFonts w:ascii="Times New Roman" w:hAnsi="Times New Roman" w:cs="Times New Roman"/>
                <w:sz w:val="18"/>
                <w:szCs w:val="18"/>
              </w:rPr>
            </w:pPr>
            <w:r w:rsidRPr="00EC1AB2">
              <w:rPr>
                <w:rFonts w:ascii="Times New Roman" w:hAnsi="Times New Roman" w:cs="Times New Roman"/>
                <w:sz w:val="18"/>
                <w:szCs w:val="18"/>
              </w:rPr>
              <w:t>Daugiau nei 10 darbuotojų turinčių MVĮ, diegiančių rinkodaros ar</w:t>
            </w:r>
          </w:p>
          <w:p w:rsidR="00E908B7" w:rsidRPr="00EC1AB2" w:rsidRDefault="00E908B7" w:rsidP="007A02A8">
            <w:pPr>
              <w:autoSpaceDE w:val="0"/>
              <w:autoSpaceDN w:val="0"/>
              <w:adjustRightInd w:val="0"/>
              <w:spacing w:line="360" w:lineRule="auto"/>
              <w:ind w:left="113" w:right="113"/>
              <w:contextualSpacing/>
              <w:rPr>
                <w:rFonts w:ascii="Times New Roman" w:hAnsi="Times New Roman" w:cs="Times New Roman"/>
                <w:b/>
                <w:sz w:val="18"/>
                <w:szCs w:val="18"/>
              </w:rPr>
            </w:pPr>
            <w:r w:rsidRPr="00EC1AB2">
              <w:rPr>
                <w:rFonts w:ascii="Times New Roman" w:hAnsi="Times New Roman" w:cs="Times New Roman"/>
                <w:sz w:val="18"/>
                <w:szCs w:val="18"/>
              </w:rPr>
              <w:t>organizacines inovacijas, procentinė dalis, palyginti su visomis MVĮ</w:t>
            </w:r>
          </w:p>
        </w:tc>
        <w:tc>
          <w:tcPr>
            <w:tcW w:w="630" w:type="pct"/>
            <w:textDirection w:val="btLr"/>
          </w:tcPr>
          <w:p w:rsidR="00E908B7" w:rsidRPr="00EC1AB2" w:rsidRDefault="00E908B7" w:rsidP="007A02A8">
            <w:pPr>
              <w:autoSpaceDE w:val="0"/>
              <w:autoSpaceDN w:val="0"/>
              <w:adjustRightInd w:val="0"/>
              <w:spacing w:line="360" w:lineRule="auto"/>
              <w:ind w:left="113" w:right="113"/>
              <w:contextualSpacing/>
              <w:rPr>
                <w:rFonts w:ascii="Times New Roman" w:hAnsi="Times New Roman" w:cs="Times New Roman"/>
                <w:b/>
                <w:sz w:val="18"/>
                <w:szCs w:val="18"/>
              </w:rPr>
            </w:pPr>
            <w:r w:rsidRPr="00EC1AB2">
              <w:rPr>
                <w:rFonts w:ascii="Times New Roman" w:hAnsi="Times New Roman" w:cs="Times New Roman"/>
                <w:sz w:val="18"/>
                <w:szCs w:val="18"/>
              </w:rPr>
              <w:t>Užimtumo daug žinių reik</w:t>
            </w:r>
            <w:r w:rsidR="003A0CA0" w:rsidRPr="00EC1AB2">
              <w:rPr>
                <w:rFonts w:ascii="Times New Roman" w:hAnsi="Times New Roman" w:cs="Times New Roman"/>
                <w:sz w:val="18"/>
                <w:szCs w:val="18"/>
              </w:rPr>
              <w:t xml:space="preserve">alaujančiuose sektoriuose </w:t>
            </w:r>
            <w:r w:rsidRPr="00EC1AB2">
              <w:rPr>
                <w:rFonts w:ascii="Times New Roman" w:hAnsi="Times New Roman" w:cs="Times New Roman"/>
                <w:sz w:val="18"/>
                <w:szCs w:val="18"/>
              </w:rPr>
              <w:t>(gamyba ir paslaugos) procentinė dalis, palyginti su visu užimtumu</w:t>
            </w:r>
          </w:p>
        </w:tc>
        <w:tc>
          <w:tcPr>
            <w:tcW w:w="559" w:type="pct"/>
            <w:textDirection w:val="btLr"/>
          </w:tcPr>
          <w:p w:rsidR="00E908B7" w:rsidRPr="00EC1AB2" w:rsidRDefault="00E908B7" w:rsidP="007A02A8">
            <w:pPr>
              <w:autoSpaceDE w:val="0"/>
              <w:autoSpaceDN w:val="0"/>
              <w:adjustRightInd w:val="0"/>
              <w:spacing w:line="360" w:lineRule="auto"/>
              <w:ind w:left="113" w:right="113"/>
              <w:rPr>
                <w:rFonts w:ascii="Times New Roman" w:hAnsi="Times New Roman" w:cs="Times New Roman"/>
                <w:sz w:val="18"/>
                <w:szCs w:val="18"/>
              </w:rPr>
            </w:pPr>
            <w:r w:rsidRPr="00EC1AB2">
              <w:rPr>
                <w:rFonts w:ascii="Times New Roman" w:hAnsi="Times New Roman" w:cs="Times New Roman"/>
                <w:sz w:val="18"/>
                <w:szCs w:val="18"/>
              </w:rPr>
              <w:t>Vidutinių ir pažangiųjų technologijų gamybos eksporto procentinė dalis,</w:t>
            </w:r>
          </w:p>
          <w:p w:rsidR="00E908B7" w:rsidRPr="00EC1AB2" w:rsidRDefault="00E908B7" w:rsidP="007A02A8">
            <w:pPr>
              <w:autoSpaceDE w:val="0"/>
              <w:autoSpaceDN w:val="0"/>
              <w:adjustRightInd w:val="0"/>
              <w:spacing w:line="360" w:lineRule="auto"/>
              <w:ind w:left="113" w:right="113"/>
              <w:contextualSpacing/>
              <w:rPr>
                <w:rFonts w:ascii="Times New Roman" w:hAnsi="Times New Roman" w:cs="Times New Roman"/>
                <w:b/>
                <w:sz w:val="18"/>
                <w:szCs w:val="18"/>
              </w:rPr>
            </w:pPr>
            <w:r w:rsidRPr="00EC1AB2">
              <w:rPr>
                <w:rFonts w:ascii="Times New Roman" w:hAnsi="Times New Roman" w:cs="Times New Roman"/>
                <w:sz w:val="18"/>
                <w:szCs w:val="18"/>
              </w:rPr>
              <w:t>palyginti su visu produktų eksportu</w:t>
            </w:r>
          </w:p>
        </w:tc>
        <w:tc>
          <w:tcPr>
            <w:tcW w:w="629" w:type="pct"/>
            <w:textDirection w:val="btLr"/>
          </w:tcPr>
          <w:p w:rsidR="00E908B7" w:rsidRPr="00EC1AB2" w:rsidRDefault="00E908B7" w:rsidP="007A02A8">
            <w:pPr>
              <w:autoSpaceDE w:val="0"/>
              <w:autoSpaceDN w:val="0"/>
              <w:adjustRightInd w:val="0"/>
              <w:spacing w:line="360" w:lineRule="auto"/>
              <w:ind w:left="113" w:right="113"/>
              <w:rPr>
                <w:rFonts w:ascii="Times New Roman" w:hAnsi="Times New Roman" w:cs="Times New Roman"/>
                <w:sz w:val="18"/>
                <w:szCs w:val="18"/>
              </w:rPr>
            </w:pPr>
            <w:r w:rsidRPr="00EC1AB2">
              <w:rPr>
                <w:rFonts w:ascii="Times New Roman" w:hAnsi="Times New Roman" w:cs="Times New Roman"/>
                <w:sz w:val="18"/>
                <w:szCs w:val="18"/>
              </w:rPr>
              <w:t>Daug žini</w:t>
            </w:r>
            <w:r w:rsidR="003A0CA0" w:rsidRPr="00EC1AB2">
              <w:rPr>
                <w:rFonts w:ascii="Times New Roman" w:hAnsi="Times New Roman" w:cs="Times New Roman"/>
                <w:sz w:val="18"/>
                <w:szCs w:val="18"/>
              </w:rPr>
              <w:t xml:space="preserve">ų reikalaujančių paslaugų </w:t>
            </w:r>
            <w:r w:rsidRPr="00EC1AB2">
              <w:rPr>
                <w:rFonts w:ascii="Times New Roman" w:hAnsi="Times New Roman" w:cs="Times New Roman"/>
                <w:sz w:val="18"/>
                <w:szCs w:val="18"/>
              </w:rPr>
              <w:t>eksporto procentinė dalis, palyginti</w:t>
            </w:r>
          </w:p>
          <w:p w:rsidR="00E908B7" w:rsidRPr="00EC1AB2" w:rsidRDefault="00E908B7" w:rsidP="007A02A8">
            <w:pPr>
              <w:autoSpaceDE w:val="0"/>
              <w:autoSpaceDN w:val="0"/>
              <w:adjustRightInd w:val="0"/>
              <w:spacing w:line="360" w:lineRule="auto"/>
              <w:ind w:left="113" w:right="113"/>
              <w:contextualSpacing/>
              <w:rPr>
                <w:rFonts w:ascii="Times New Roman" w:hAnsi="Times New Roman" w:cs="Times New Roman"/>
                <w:b/>
                <w:sz w:val="18"/>
                <w:szCs w:val="18"/>
              </w:rPr>
            </w:pPr>
            <w:r w:rsidRPr="00EC1AB2">
              <w:rPr>
                <w:rFonts w:ascii="Times New Roman" w:hAnsi="Times New Roman" w:cs="Times New Roman"/>
                <w:sz w:val="18"/>
                <w:szCs w:val="18"/>
              </w:rPr>
              <w:t>su visu paslaugų eksportu</w:t>
            </w:r>
          </w:p>
        </w:tc>
        <w:tc>
          <w:tcPr>
            <w:tcW w:w="557" w:type="pct"/>
            <w:textDirection w:val="btLr"/>
          </w:tcPr>
          <w:p w:rsidR="00E908B7" w:rsidRPr="00EC1AB2" w:rsidRDefault="00E908B7" w:rsidP="007A02A8">
            <w:pPr>
              <w:autoSpaceDE w:val="0"/>
              <w:autoSpaceDN w:val="0"/>
              <w:adjustRightInd w:val="0"/>
              <w:spacing w:line="360" w:lineRule="auto"/>
              <w:ind w:left="113" w:right="113"/>
              <w:contextualSpacing/>
              <w:rPr>
                <w:rFonts w:ascii="Times New Roman" w:hAnsi="Times New Roman" w:cs="Times New Roman"/>
                <w:sz w:val="18"/>
                <w:szCs w:val="18"/>
              </w:rPr>
            </w:pPr>
            <w:r w:rsidRPr="00EC1AB2">
              <w:rPr>
                <w:rFonts w:ascii="Times New Roman" w:hAnsi="Times New Roman" w:cs="Times New Roman"/>
                <w:sz w:val="18"/>
                <w:szCs w:val="18"/>
              </w:rPr>
              <w:t>Naujų inovacijų pardavimas rinkai ir įmonėms procentais nuo apyvartos</w:t>
            </w:r>
          </w:p>
        </w:tc>
        <w:tc>
          <w:tcPr>
            <w:tcW w:w="614" w:type="pct"/>
            <w:textDirection w:val="btLr"/>
          </w:tcPr>
          <w:p w:rsidR="00E908B7" w:rsidRPr="00EC1AB2" w:rsidRDefault="00E908B7" w:rsidP="007A02A8">
            <w:pPr>
              <w:autoSpaceDE w:val="0"/>
              <w:autoSpaceDN w:val="0"/>
              <w:adjustRightInd w:val="0"/>
              <w:spacing w:line="360" w:lineRule="auto"/>
              <w:ind w:left="113" w:right="113"/>
              <w:rPr>
                <w:rFonts w:ascii="Times New Roman" w:hAnsi="Times New Roman" w:cs="Times New Roman"/>
                <w:sz w:val="18"/>
                <w:szCs w:val="18"/>
              </w:rPr>
            </w:pPr>
            <w:r w:rsidRPr="00EC1AB2">
              <w:rPr>
                <w:rFonts w:ascii="Times New Roman" w:hAnsi="Times New Roman" w:cs="Times New Roman"/>
                <w:sz w:val="18"/>
                <w:szCs w:val="18"/>
              </w:rPr>
              <w:t>Su licencijomis ir patentais susijusios pajamos iš užsienio procentais nuo BVP</w:t>
            </w:r>
          </w:p>
        </w:tc>
      </w:tr>
      <w:tr w:rsidR="00707195" w:rsidRPr="00EC1AB2" w:rsidTr="0024192E">
        <w:trPr>
          <w:trHeight w:val="621"/>
          <w:jc w:val="center"/>
        </w:trPr>
        <w:tc>
          <w:tcPr>
            <w:tcW w:w="702" w:type="pct"/>
          </w:tcPr>
          <w:p w:rsidR="00E908B7" w:rsidRPr="00EC1AB2" w:rsidRDefault="00E908B7" w:rsidP="007A02A8">
            <w:pPr>
              <w:pStyle w:val="ListParagraph"/>
              <w:autoSpaceDE w:val="0"/>
              <w:autoSpaceDN w:val="0"/>
              <w:adjustRightInd w:val="0"/>
              <w:spacing w:line="360" w:lineRule="auto"/>
              <w:ind w:left="0"/>
              <w:rPr>
                <w:rFonts w:ascii="Times New Roman" w:hAnsi="Times New Roman" w:cs="Times New Roman"/>
                <w:sz w:val="18"/>
                <w:szCs w:val="18"/>
              </w:rPr>
            </w:pPr>
            <w:r w:rsidRPr="00EC1AB2">
              <w:rPr>
                <w:rFonts w:ascii="Times New Roman" w:hAnsi="Times New Roman" w:cs="Times New Roman"/>
                <w:b/>
                <w:sz w:val="18"/>
                <w:szCs w:val="18"/>
              </w:rPr>
              <w:t xml:space="preserve">r </w:t>
            </w:r>
            <w:r w:rsidRPr="00EC1AB2">
              <w:rPr>
                <w:rFonts w:ascii="Times New Roman" w:hAnsi="Times New Roman" w:cs="Times New Roman"/>
                <w:sz w:val="18"/>
                <w:szCs w:val="18"/>
              </w:rPr>
              <w:t>(koreliacijos koeficientas)</w:t>
            </w:r>
          </w:p>
        </w:tc>
        <w:tc>
          <w:tcPr>
            <w:tcW w:w="614" w:type="pct"/>
            <w:vAlign w:val="center"/>
          </w:tcPr>
          <w:p w:rsidR="00E908B7" w:rsidRPr="00EC1AB2" w:rsidRDefault="00E908B7"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0,276</w:t>
            </w:r>
          </w:p>
        </w:tc>
        <w:tc>
          <w:tcPr>
            <w:tcW w:w="695" w:type="pct"/>
            <w:vAlign w:val="center"/>
          </w:tcPr>
          <w:p w:rsidR="00E908B7" w:rsidRPr="00EC1AB2" w:rsidRDefault="00E908B7"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0,159</w:t>
            </w:r>
          </w:p>
        </w:tc>
        <w:tc>
          <w:tcPr>
            <w:tcW w:w="630" w:type="pct"/>
            <w:vAlign w:val="center"/>
          </w:tcPr>
          <w:p w:rsidR="00E908B7" w:rsidRPr="00EC1AB2" w:rsidRDefault="00E908B7"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0,658</w:t>
            </w:r>
          </w:p>
        </w:tc>
        <w:tc>
          <w:tcPr>
            <w:tcW w:w="559" w:type="pct"/>
            <w:vAlign w:val="center"/>
          </w:tcPr>
          <w:p w:rsidR="00E908B7" w:rsidRPr="00EC1AB2" w:rsidRDefault="00E908B7"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-0,150</w:t>
            </w:r>
          </w:p>
        </w:tc>
        <w:tc>
          <w:tcPr>
            <w:tcW w:w="629" w:type="pct"/>
            <w:vAlign w:val="center"/>
          </w:tcPr>
          <w:p w:rsidR="00E908B7" w:rsidRPr="00EC1AB2" w:rsidRDefault="00E908B7"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0,5106</w:t>
            </w:r>
          </w:p>
        </w:tc>
        <w:tc>
          <w:tcPr>
            <w:tcW w:w="557" w:type="pct"/>
            <w:vAlign w:val="center"/>
          </w:tcPr>
          <w:p w:rsidR="00E908B7" w:rsidRPr="00EC1AB2" w:rsidRDefault="00E908B7"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0,546</w:t>
            </w:r>
          </w:p>
        </w:tc>
        <w:tc>
          <w:tcPr>
            <w:tcW w:w="614" w:type="pct"/>
            <w:vAlign w:val="center"/>
          </w:tcPr>
          <w:p w:rsidR="00E908B7" w:rsidRPr="00EC1AB2" w:rsidRDefault="00E908B7"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0,445</w:t>
            </w:r>
          </w:p>
        </w:tc>
      </w:tr>
      <w:tr w:rsidR="00707195" w:rsidRPr="00EC1AB2" w:rsidTr="0024192E">
        <w:trPr>
          <w:trHeight w:val="621"/>
          <w:jc w:val="center"/>
        </w:trPr>
        <w:tc>
          <w:tcPr>
            <w:tcW w:w="702" w:type="pct"/>
          </w:tcPr>
          <w:p w:rsidR="00E908B7" w:rsidRPr="00EC1AB2" w:rsidRDefault="00E908B7" w:rsidP="007A02A8">
            <w:pPr>
              <w:pStyle w:val="ListParagraph"/>
              <w:autoSpaceDE w:val="0"/>
              <w:autoSpaceDN w:val="0"/>
              <w:adjustRightInd w:val="0"/>
              <w:spacing w:line="360" w:lineRule="auto"/>
              <w:ind w:left="0"/>
              <w:rPr>
                <w:rFonts w:ascii="Times New Roman" w:hAnsi="Times New Roman" w:cs="Times New Roman"/>
                <w:sz w:val="18"/>
                <w:szCs w:val="18"/>
              </w:rPr>
            </w:pPr>
            <w:r w:rsidRPr="00EC1AB2">
              <w:rPr>
                <w:rFonts w:ascii="Times New Roman" w:hAnsi="Times New Roman" w:cs="Times New Roman"/>
                <w:b/>
                <w:sz w:val="18"/>
                <w:szCs w:val="18"/>
              </w:rPr>
              <w:t xml:space="preserve">t </w:t>
            </w:r>
            <w:r w:rsidRPr="00EC1AB2">
              <w:rPr>
                <w:rFonts w:ascii="Times New Roman" w:hAnsi="Times New Roman" w:cs="Times New Roman"/>
                <w:sz w:val="18"/>
                <w:szCs w:val="18"/>
              </w:rPr>
              <w:t>(statistika)</w:t>
            </w:r>
          </w:p>
        </w:tc>
        <w:tc>
          <w:tcPr>
            <w:tcW w:w="614" w:type="pct"/>
            <w:vAlign w:val="center"/>
          </w:tcPr>
          <w:p w:rsidR="00E908B7" w:rsidRPr="00EC1AB2" w:rsidRDefault="00E908B7"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2,331</w:t>
            </w:r>
          </w:p>
        </w:tc>
        <w:tc>
          <w:tcPr>
            <w:tcW w:w="695" w:type="pct"/>
            <w:vAlign w:val="center"/>
          </w:tcPr>
          <w:p w:rsidR="00E908B7" w:rsidRPr="00EC1AB2" w:rsidRDefault="00E908B7"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2,331</w:t>
            </w:r>
          </w:p>
        </w:tc>
        <w:tc>
          <w:tcPr>
            <w:tcW w:w="630" w:type="pct"/>
            <w:vAlign w:val="center"/>
          </w:tcPr>
          <w:p w:rsidR="00E908B7" w:rsidRPr="00EC1AB2" w:rsidRDefault="00E908B7"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2,331</w:t>
            </w:r>
          </w:p>
        </w:tc>
        <w:tc>
          <w:tcPr>
            <w:tcW w:w="559" w:type="pct"/>
            <w:vAlign w:val="center"/>
          </w:tcPr>
          <w:p w:rsidR="00E908B7" w:rsidRPr="00EC1AB2" w:rsidRDefault="00E908B7"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2,331</w:t>
            </w:r>
          </w:p>
        </w:tc>
        <w:tc>
          <w:tcPr>
            <w:tcW w:w="629" w:type="pct"/>
            <w:vAlign w:val="center"/>
          </w:tcPr>
          <w:p w:rsidR="00E908B7" w:rsidRPr="00EC1AB2" w:rsidRDefault="00E908B7"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2,331</w:t>
            </w:r>
          </w:p>
        </w:tc>
        <w:tc>
          <w:tcPr>
            <w:tcW w:w="557" w:type="pct"/>
            <w:vAlign w:val="center"/>
          </w:tcPr>
          <w:p w:rsidR="00E908B7" w:rsidRPr="00EC1AB2" w:rsidRDefault="00E908B7"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2,331</w:t>
            </w:r>
          </w:p>
        </w:tc>
        <w:tc>
          <w:tcPr>
            <w:tcW w:w="614" w:type="pct"/>
            <w:vAlign w:val="center"/>
          </w:tcPr>
          <w:p w:rsidR="00E908B7" w:rsidRPr="00EC1AB2" w:rsidRDefault="00E908B7"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2,331</w:t>
            </w:r>
          </w:p>
        </w:tc>
      </w:tr>
      <w:tr w:rsidR="00707195" w:rsidRPr="00EC1AB2" w:rsidTr="0024192E">
        <w:trPr>
          <w:trHeight w:val="621"/>
          <w:jc w:val="center"/>
        </w:trPr>
        <w:tc>
          <w:tcPr>
            <w:tcW w:w="702" w:type="pct"/>
          </w:tcPr>
          <w:p w:rsidR="00E908B7" w:rsidRPr="00EC1AB2" w:rsidRDefault="00E908B7" w:rsidP="007A02A8">
            <w:pPr>
              <w:pStyle w:val="ListParagraph"/>
              <w:autoSpaceDE w:val="0"/>
              <w:autoSpaceDN w:val="0"/>
              <w:adjustRightInd w:val="0"/>
              <w:spacing w:line="360" w:lineRule="auto"/>
              <w:ind w:left="0"/>
              <w:rPr>
                <w:rFonts w:ascii="Times New Roman" w:hAnsi="Times New Roman" w:cs="Times New Roman"/>
                <w:b/>
                <w:sz w:val="18"/>
                <w:szCs w:val="18"/>
              </w:rPr>
            </w:pPr>
            <w:r w:rsidRPr="00EC1AB2">
              <w:rPr>
                <w:rFonts w:ascii="Times New Roman" w:hAnsi="Times New Roman" w:cs="Times New Roman"/>
                <w:b/>
                <w:sz w:val="18"/>
                <w:szCs w:val="18"/>
              </w:rPr>
              <w:t>t</w:t>
            </w:r>
          </w:p>
        </w:tc>
        <w:tc>
          <w:tcPr>
            <w:tcW w:w="614" w:type="pct"/>
            <w:vAlign w:val="center"/>
          </w:tcPr>
          <w:p w:rsidR="00E908B7" w:rsidRPr="00EC1AB2" w:rsidRDefault="00E908B7"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1,792</w:t>
            </w:r>
          </w:p>
        </w:tc>
        <w:tc>
          <w:tcPr>
            <w:tcW w:w="695" w:type="pct"/>
            <w:vAlign w:val="center"/>
          </w:tcPr>
          <w:p w:rsidR="00E908B7" w:rsidRPr="00EC1AB2" w:rsidRDefault="00E908B7"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1,012</w:t>
            </w:r>
          </w:p>
        </w:tc>
        <w:tc>
          <w:tcPr>
            <w:tcW w:w="630" w:type="pct"/>
            <w:vAlign w:val="center"/>
          </w:tcPr>
          <w:p w:rsidR="00E908B7" w:rsidRPr="00EC1AB2" w:rsidRDefault="00E908B7"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5,486</w:t>
            </w:r>
          </w:p>
        </w:tc>
        <w:tc>
          <w:tcPr>
            <w:tcW w:w="559" w:type="pct"/>
            <w:vAlign w:val="center"/>
          </w:tcPr>
          <w:p w:rsidR="00E908B7" w:rsidRPr="00EC1AB2" w:rsidRDefault="00E908B7"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0,948</w:t>
            </w:r>
          </w:p>
        </w:tc>
        <w:tc>
          <w:tcPr>
            <w:tcW w:w="629" w:type="pct"/>
            <w:vAlign w:val="center"/>
          </w:tcPr>
          <w:p w:rsidR="00E908B7" w:rsidRPr="00EC1AB2" w:rsidRDefault="00E908B7"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3,709</w:t>
            </w:r>
          </w:p>
        </w:tc>
        <w:tc>
          <w:tcPr>
            <w:tcW w:w="557" w:type="pct"/>
            <w:vAlign w:val="center"/>
          </w:tcPr>
          <w:p w:rsidR="00E908B7" w:rsidRPr="00EC1AB2" w:rsidRDefault="00E908B7"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4,073</w:t>
            </w:r>
          </w:p>
        </w:tc>
        <w:tc>
          <w:tcPr>
            <w:tcW w:w="614" w:type="pct"/>
            <w:vAlign w:val="center"/>
          </w:tcPr>
          <w:p w:rsidR="00E908B7" w:rsidRPr="00EC1AB2" w:rsidRDefault="00E908B7" w:rsidP="007A02A8">
            <w:pPr>
              <w:autoSpaceDE w:val="0"/>
              <w:autoSpaceDN w:val="0"/>
              <w:adjustRightInd w:val="0"/>
              <w:spacing w:line="360" w:lineRule="auto"/>
              <w:contextualSpacing/>
              <w:jc w:val="center"/>
              <w:rPr>
                <w:rFonts w:ascii="Times New Roman" w:hAnsi="Times New Roman" w:cs="Times New Roman"/>
                <w:sz w:val="20"/>
                <w:szCs w:val="20"/>
              </w:rPr>
            </w:pPr>
            <w:r w:rsidRPr="00EC1AB2">
              <w:rPr>
                <w:rFonts w:ascii="Times New Roman" w:hAnsi="Times New Roman" w:cs="Times New Roman"/>
                <w:sz w:val="20"/>
                <w:szCs w:val="20"/>
              </w:rPr>
              <w:t>3,104</w:t>
            </w:r>
          </w:p>
        </w:tc>
      </w:tr>
    </w:tbl>
    <w:p w:rsidR="00933119" w:rsidRPr="00EC1AB2" w:rsidRDefault="00933119" w:rsidP="007A02A8">
      <w:pPr>
        <w:autoSpaceDE w:val="0"/>
        <w:autoSpaceDN w:val="0"/>
        <w:adjustRightInd w:val="0"/>
        <w:spacing w:after="0" w:line="360" w:lineRule="auto"/>
        <w:jc w:val="both"/>
        <w:rPr>
          <w:rFonts w:ascii="Times New Roman" w:hAnsi="Times New Roman" w:cs="Times New Roman"/>
          <w:sz w:val="24"/>
          <w:szCs w:val="24"/>
        </w:rPr>
      </w:pPr>
    </w:p>
    <w:p w:rsidR="00933119" w:rsidRPr="00EC1AB2" w:rsidRDefault="00933119" w:rsidP="007A02A8">
      <w:pPr>
        <w:autoSpaceDE w:val="0"/>
        <w:autoSpaceDN w:val="0"/>
        <w:adjustRightInd w:val="0"/>
        <w:spacing w:after="0" w:line="360" w:lineRule="auto"/>
        <w:ind w:firstLine="567"/>
        <w:jc w:val="both"/>
        <w:rPr>
          <w:rFonts w:ascii="Times New Roman" w:hAnsi="Times New Roman" w:cs="Times New Roman"/>
          <w:sz w:val="20"/>
          <w:szCs w:val="20"/>
        </w:rPr>
      </w:pPr>
      <w:r w:rsidRPr="00EC1AB2">
        <w:rPr>
          <w:rFonts w:ascii="Times New Roman" w:hAnsi="Times New Roman" w:cs="Times New Roman"/>
          <w:b/>
          <w:sz w:val="20"/>
          <w:szCs w:val="20"/>
        </w:rPr>
        <w:t>Šaltinis:</w:t>
      </w:r>
      <w:r w:rsidRPr="00EC1AB2">
        <w:rPr>
          <w:rFonts w:ascii="Times New Roman" w:hAnsi="Times New Roman" w:cs="Times New Roman"/>
          <w:sz w:val="20"/>
          <w:szCs w:val="20"/>
        </w:rPr>
        <w:t xml:space="preserve"> sudaryta darbo autorės</w:t>
      </w:r>
    </w:p>
    <w:p w:rsidR="00087883" w:rsidRPr="00EC1AB2" w:rsidRDefault="00087883" w:rsidP="007A02A8">
      <w:pPr>
        <w:autoSpaceDE w:val="0"/>
        <w:autoSpaceDN w:val="0"/>
        <w:adjustRightInd w:val="0"/>
        <w:spacing w:after="0" w:line="360" w:lineRule="auto"/>
        <w:ind w:firstLine="567"/>
        <w:jc w:val="both"/>
        <w:rPr>
          <w:rFonts w:ascii="Times New Roman" w:hAnsi="Times New Roman" w:cs="Times New Roman"/>
          <w:sz w:val="24"/>
          <w:szCs w:val="24"/>
        </w:rPr>
      </w:pPr>
    </w:p>
    <w:p w:rsidR="001A31B3" w:rsidRPr="00EC1AB2" w:rsidRDefault="00390222"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Kaip matyt iš 6</w:t>
      </w:r>
      <w:r w:rsidR="001A31B3" w:rsidRPr="00EC1AB2">
        <w:rPr>
          <w:rFonts w:ascii="Times New Roman" w:hAnsi="Times New Roman" w:cs="Times New Roman"/>
          <w:sz w:val="24"/>
          <w:szCs w:val="24"/>
        </w:rPr>
        <w:t xml:space="preserve"> lent.</w:t>
      </w:r>
      <w:r w:rsidR="00F40E4F" w:rsidRPr="00EC1AB2">
        <w:rPr>
          <w:rFonts w:ascii="Times New Roman" w:hAnsi="Times New Roman" w:cs="Times New Roman"/>
          <w:sz w:val="24"/>
          <w:szCs w:val="24"/>
        </w:rPr>
        <w:t xml:space="preserve"> statistiškai reikšmingo ryšio nėra tarp RKF investicijų proc. nuo BVP ir </w:t>
      </w:r>
      <w:r w:rsidR="004E6438" w:rsidRPr="00EC1AB2">
        <w:rPr>
          <w:rFonts w:ascii="Times New Roman" w:hAnsi="Times New Roman" w:cs="Times New Roman"/>
          <w:sz w:val="24"/>
          <w:szCs w:val="24"/>
        </w:rPr>
        <w:t>d</w:t>
      </w:r>
      <w:r w:rsidR="00534F64" w:rsidRPr="00EC1AB2">
        <w:rPr>
          <w:rFonts w:ascii="Times New Roman" w:hAnsi="Times New Roman" w:cs="Times New Roman"/>
          <w:sz w:val="24"/>
          <w:szCs w:val="24"/>
        </w:rPr>
        <w:t xml:space="preserve">augiau nei 10 darbuotojų turinčių MVĮ, kuriančių novatoriškus produktus ar </w:t>
      </w:r>
      <w:r w:rsidR="004E6438" w:rsidRPr="00EC1AB2">
        <w:rPr>
          <w:rFonts w:ascii="Times New Roman" w:hAnsi="Times New Roman" w:cs="Times New Roman"/>
          <w:sz w:val="24"/>
          <w:szCs w:val="24"/>
        </w:rPr>
        <w:t>procesus, procentinės dalies</w:t>
      </w:r>
      <w:r w:rsidR="00534F64" w:rsidRPr="00EC1AB2">
        <w:rPr>
          <w:rFonts w:ascii="Times New Roman" w:hAnsi="Times New Roman" w:cs="Times New Roman"/>
          <w:sz w:val="24"/>
          <w:szCs w:val="24"/>
        </w:rPr>
        <w:t xml:space="preserve">, palyginti su visomis MVĮ, </w:t>
      </w:r>
      <w:r w:rsidR="004E6438" w:rsidRPr="00EC1AB2">
        <w:rPr>
          <w:rFonts w:ascii="Times New Roman" w:hAnsi="Times New Roman" w:cs="Times New Roman"/>
          <w:sz w:val="24"/>
          <w:szCs w:val="24"/>
        </w:rPr>
        <w:t>d</w:t>
      </w:r>
      <w:r w:rsidR="00534F64" w:rsidRPr="00EC1AB2">
        <w:rPr>
          <w:rFonts w:ascii="Times New Roman" w:hAnsi="Times New Roman" w:cs="Times New Roman"/>
          <w:sz w:val="24"/>
          <w:szCs w:val="24"/>
        </w:rPr>
        <w:t xml:space="preserve">augiau nei 10 darbuotojų turinčių MVĮ, diegiančių rinkodaros ar </w:t>
      </w:r>
      <w:r w:rsidR="00534F64" w:rsidRPr="00EC1AB2">
        <w:rPr>
          <w:rFonts w:ascii="Times New Roman" w:hAnsi="Times New Roman" w:cs="Times New Roman"/>
          <w:sz w:val="24"/>
          <w:szCs w:val="24"/>
        </w:rPr>
        <w:lastRenderedPageBreak/>
        <w:t>organizacines inovacijas, procentinė</w:t>
      </w:r>
      <w:r w:rsidR="004E6438" w:rsidRPr="00EC1AB2">
        <w:rPr>
          <w:rFonts w:ascii="Times New Roman" w:hAnsi="Times New Roman" w:cs="Times New Roman"/>
          <w:sz w:val="24"/>
          <w:szCs w:val="24"/>
        </w:rPr>
        <w:t>s dalies</w:t>
      </w:r>
      <w:r w:rsidR="00534F64" w:rsidRPr="00EC1AB2">
        <w:rPr>
          <w:rFonts w:ascii="Times New Roman" w:hAnsi="Times New Roman" w:cs="Times New Roman"/>
          <w:sz w:val="24"/>
          <w:szCs w:val="24"/>
        </w:rPr>
        <w:t>, palyginti su visomis MVĮ</w:t>
      </w:r>
      <w:r w:rsidR="004E6438" w:rsidRPr="00EC1AB2">
        <w:rPr>
          <w:rFonts w:ascii="Times New Roman" w:hAnsi="Times New Roman" w:cs="Times New Roman"/>
          <w:sz w:val="24"/>
          <w:szCs w:val="24"/>
        </w:rPr>
        <w:t xml:space="preserve"> bei</w:t>
      </w:r>
      <w:r w:rsidR="00534F64" w:rsidRPr="00EC1AB2">
        <w:rPr>
          <w:rFonts w:ascii="Times New Roman" w:hAnsi="Times New Roman" w:cs="Times New Roman"/>
          <w:sz w:val="24"/>
          <w:szCs w:val="24"/>
        </w:rPr>
        <w:t xml:space="preserve"> </w:t>
      </w:r>
      <w:r w:rsidR="004E6438" w:rsidRPr="00EC1AB2">
        <w:rPr>
          <w:rFonts w:ascii="Times New Roman" w:hAnsi="Times New Roman" w:cs="Times New Roman"/>
          <w:sz w:val="24"/>
          <w:szCs w:val="24"/>
        </w:rPr>
        <w:t>v</w:t>
      </w:r>
      <w:r w:rsidR="00534F64" w:rsidRPr="00EC1AB2">
        <w:rPr>
          <w:rFonts w:ascii="Times New Roman" w:hAnsi="Times New Roman" w:cs="Times New Roman"/>
          <w:sz w:val="24"/>
          <w:szCs w:val="24"/>
        </w:rPr>
        <w:t>idutinių ir pažangiųjų technologijų gamybos eksporto procentinė</w:t>
      </w:r>
      <w:r w:rsidR="004E6438" w:rsidRPr="00EC1AB2">
        <w:rPr>
          <w:rFonts w:ascii="Times New Roman" w:hAnsi="Times New Roman" w:cs="Times New Roman"/>
          <w:sz w:val="24"/>
          <w:szCs w:val="24"/>
        </w:rPr>
        <w:t>s dalies</w:t>
      </w:r>
      <w:r w:rsidR="00534F64" w:rsidRPr="00EC1AB2">
        <w:rPr>
          <w:rFonts w:ascii="Times New Roman" w:hAnsi="Times New Roman" w:cs="Times New Roman"/>
          <w:sz w:val="24"/>
          <w:szCs w:val="24"/>
        </w:rPr>
        <w:t>, pal</w:t>
      </w:r>
      <w:r w:rsidR="00EE18BE" w:rsidRPr="00EC1AB2">
        <w:rPr>
          <w:rFonts w:ascii="Times New Roman" w:hAnsi="Times New Roman" w:cs="Times New Roman"/>
          <w:sz w:val="24"/>
          <w:szCs w:val="24"/>
        </w:rPr>
        <w:t xml:space="preserve">yginti su visu produktų eksportu. </w:t>
      </w:r>
    </w:p>
    <w:p w:rsidR="00912A7C" w:rsidRPr="00EC1AB2" w:rsidRDefault="00912A7C"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RKF investicijoms didėjant didėja ir užimtumas daug  žinių rei</w:t>
      </w:r>
      <w:r w:rsidR="00281678" w:rsidRPr="00EC1AB2">
        <w:rPr>
          <w:rFonts w:ascii="Times New Roman" w:hAnsi="Times New Roman" w:cs="Times New Roman"/>
          <w:sz w:val="24"/>
          <w:szCs w:val="24"/>
        </w:rPr>
        <w:t>kalaujančiuose sektoriuose</w:t>
      </w:r>
      <w:r w:rsidRPr="00EC1AB2">
        <w:rPr>
          <w:rFonts w:ascii="Times New Roman" w:hAnsi="Times New Roman" w:cs="Times New Roman"/>
          <w:sz w:val="24"/>
          <w:szCs w:val="24"/>
        </w:rPr>
        <w:t xml:space="preserve"> (gamyba ir paslaugos), daug žin</w:t>
      </w:r>
      <w:r w:rsidR="00281678" w:rsidRPr="00EC1AB2">
        <w:rPr>
          <w:rFonts w:ascii="Times New Roman" w:hAnsi="Times New Roman" w:cs="Times New Roman"/>
          <w:sz w:val="24"/>
          <w:szCs w:val="24"/>
        </w:rPr>
        <w:t>ių reikalaujančių paslaugų</w:t>
      </w:r>
      <w:r w:rsidRPr="00EC1AB2">
        <w:rPr>
          <w:rFonts w:ascii="Times New Roman" w:hAnsi="Times New Roman" w:cs="Times New Roman"/>
          <w:sz w:val="24"/>
          <w:szCs w:val="24"/>
        </w:rPr>
        <w:t xml:space="preserve"> eksporto, naujų inovacijų pardavimas rinkai bei RKF investicijos teigiamai įtakoja su licencijomis ir patentais susi</w:t>
      </w:r>
      <w:r w:rsidR="00281678" w:rsidRPr="00EC1AB2">
        <w:rPr>
          <w:rFonts w:ascii="Times New Roman" w:hAnsi="Times New Roman" w:cs="Times New Roman"/>
          <w:sz w:val="24"/>
          <w:szCs w:val="24"/>
        </w:rPr>
        <w:t>jusių pajamų iš užsienio augimą, nes tarp minėtų rodiklių egzistuota</w:t>
      </w:r>
      <w:r w:rsidR="00390222" w:rsidRPr="00EC1AB2">
        <w:rPr>
          <w:rFonts w:ascii="Times New Roman" w:hAnsi="Times New Roman" w:cs="Times New Roman"/>
          <w:sz w:val="24"/>
          <w:szCs w:val="24"/>
        </w:rPr>
        <w:t xml:space="preserve"> vidutinio stiprumo statistiškai</w:t>
      </w:r>
      <w:r w:rsidR="00281678" w:rsidRPr="00EC1AB2">
        <w:rPr>
          <w:rFonts w:ascii="Times New Roman" w:hAnsi="Times New Roman" w:cs="Times New Roman"/>
          <w:sz w:val="24"/>
          <w:szCs w:val="24"/>
        </w:rPr>
        <w:t xml:space="preserve"> reikšmingas teigiamas ryšys. </w:t>
      </w:r>
    </w:p>
    <w:p w:rsidR="008E05F5" w:rsidRPr="00EC1AB2" w:rsidRDefault="00252C0C"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Taigi, RKF investicijos teigiamai įtakoja tiek nuolatinės veiklos, tiek rezultatų kategorijos rodiklius, </w:t>
      </w:r>
      <w:r w:rsidR="00900B8E" w:rsidRPr="00EC1AB2">
        <w:rPr>
          <w:rFonts w:ascii="Times New Roman" w:hAnsi="Times New Roman" w:cs="Times New Roman"/>
          <w:sz w:val="24"/>
          <w:szCs w:val="24"/>
        </w:rPr>
        <w:t xml:space="preserve">o ypač teigiamai įtakoja ekonominio poveikio grupės rodiklius, pagal kuriuos Lietuva yra paskutinėje vietoje lyginant su kitomis ES šalimis, todėl </w:t>
      </w:r>
      <w:r w:rsidR="004D201B" w:rsidRPr="00EC1AB2">
        <w:rPr>
          <w:rFonts w:ascii="Times New Roman" w:hAnsi="Times New Roman" w:cs="Times New Roman"/>
          <w:sz w:val="24"/>
          <w:szCs w:val="24"/>
        </w:rPr>
        <w:t>g</w:t>
      </w:r>
      <w:r w:rsidR="001C0E0C" w:rsidRPr="00EC1AB2">
        <w:rPr>
          <w:rFonts w:ascii="Times New Roman" w:hAnsi="Times New Roman" w:cs="Times New Roman"/>
          <w:sz w:val="24"/>
          <w:szCs w:val="24"/>
        </w:rPr>
        <w:t xml:space="preserve">aliama teigti, kad </w:t>
      </w:r>
      <w:r w:rsidR="00C13AD5" w:rsidRPr="00EC1AB2">
        <w:rPr>
          <w:rFonts w:ascii="Times New Roman" w:hAnsi="Times New Roman" w:cs="Times New Roman"/>
          <w:sz w:val="24"/>
          <w:szCs w:val="24"/>
        </w:rPr>
        <w:t>didelis Lietuvos atsilikimas diegiant i</w:t>
      </w:r>
      <w:r w:rsidR="0066567D" w:rsidRPr="00EC1AB2">
        <w:rPr>
          <w:rFonts w:ascii="Times New Roman" w:hAnsi="Times New Roman" w:cs="Times New Roman"/>
          <w:sz w:val="24"/>
          <w:szCs w:val="24"/>
        </w:rPr>
        <w:t xml:space="preserve">novacijas šalyje iš dalies yra susijęs su RKF nepaplitimu šalyje. </w:t>
      </w:r>
      <w:r w:rsidR="00E41EE9" w:rsidRPr="00EC1AB2">
        <w:rPr>
          <w:rFonts w:ascii="Times New Roman" w:hAnsi="Times New Roman" w:cs="Times New Roman"/>
          <w:sz w:val="24"/>
          <w:szCs w:val="24"/>
        </w:rPr>
        <w:t>Iškelta H</w:t>
      </w:r>
      <w:r w:rsidR="00E41EE9" w:rsidRPr="00EC1AB2">
        <w:rPr>
          <w:rFonts w:ascii="Times New Roman" w:hAnsi="Times New Roman" w:cs="Times New Roman"/>
          <w:sz w:val="24"/>
          <w:szCs w:val="24"/>
          <w:vertAlign w:val="subscript"/>
        </w:rPr>
        <w:t>0</w:t>
      </w:r>
      <w:r w:rsidR="00E41EE9" w:rsidRPr="00EC1AB2">
        <w:rPr>
          <w:rFonts w:ascii="Times New Roman" w:hAnsi="Times New Roman" w:cs="Times New Roman"/>
          <w:sz w:val="24"/>
          <w:szCs w:val="24"/>
        </w:rPr>
        <w:t xml:space="preserve"> - </w:t>
      </w:r>
      <w:r w:rsidR="00E57776" w:rsidRPr="00EC1AB2">
        <w:rPr>
          <w:rFonts w:ascii="Times New Roman" w:hAnsi="Times New Roman" w:cs="Times New Roman"/>
          <w:sz w:val="24"/>
          <w:szCs w:val="24"/>
        </w:rPr>
        <w:t>RKF investicijos neįtakoja šalies pasiekimų inovacijų srityje atmetama, todėl galima pereiti prie antrojo tyrimo etapo.</w:t>
      </w:r>
    </w:p>
    <w:p w:rsidR="00716A4B" w:rsidRPr="00EC1AB2" w:rsidRDefault="00716A4B" w:rsidP="007A02A8">
      <w:pPr>
        <w:autoSpaceDE w:val="0"/>
        <w:autoSpaceDN w:val="0"/>
        <w:adjustRightInd w:val="0"/>
        <w:spacing w:after="0" w:line="360" w:lineRule="auto"/>
        <w:contextualSpacing/>
        <w:jc w:val="both"/>
        <w:rPr>
          <w:rFonts w:ascii="Times New Roman" w:hAnsi="Times New Roman" w:cs="Times New Roman"/>
          <w:sz w:val="24"/>
          <w:szCs w:val="24"/>
        </w:rPr>
      </w:pPr>
    </w:p>
    <w:p w:rsidR="008E05F5" w:rsidRPr="00EC1AB2" w:rsidRDefault="004D17F7" w:rsidP="00812D85">
      <w:pPr>
        <w:pStyle w:val="Heading2"/>
        <w:numPr>
          <w:ilvl w:val="1"/>
          <w:numId w:val="32"/>
        </w:numPr>
        <w:spacing w:before="0" w:after="0" w:line="360" w:lineRule="auto"/>
        <w:jc w:val="both"/>
        <w:rPr>
          <w:i w:val="0"/>
          <w:sz w:val="24"/>
          <w:szCs w:val="24"/>
        </w:rPr>
      </w:pPr>
      <w:bookmarkStart w:id="173" w:name="_Toc320567002"/>
      <w:bookmarkStart w:id="174" w:name="_Toc320567042"/>
      <w:bookmarkStart w:id="175" w:name="_Toc320567189"/>
      <w:bookmarkStart w:id="176" w:name="_Toc320761772"/>
      <w:bookmarkStart w:id="177" w:name="_Toc320761936"/>
      <w:bookmarkStart w:id="178" w:name="_Toc320762171"/>
      <w:bookmarkStart w:id="179" w:name="_Toc320762574"/>
      <w:bookmarkStart w:id="180" w:name="_Toc321092705"/>
      <w:r w:rsidRPr="00EC1AB2">
        <w:rPr>
          <w:i w:val="0"/>
          <w:sz w:val="24"/>
          <w:szCs w:val="24"/>
        </w:rPr>
        <w:t>Rizikos kapitalo fondų</w:t>
      </w:r>
      <w:r w:rsidR="008E05F5" w:rsidRPr="00EC1AB2">
        <w:rPr>
          <w:i w:val="0"/>
          <w:sz w:val="24"/>
          <w:szCs w:val="24"/>
        </w:rPr>
        <w:t xml:space="preserve"> plėtros pr</w:t>
      </w:r>
      <w:r w:rsidR="004D7DAB" w:rsidRPr="00EC1AB2">
        <w:rPr>
          <w:i w:val="0"/>
          <w:sz w:val="24"/>
          <w:szCs w:val="24"/>
        </w:rPr>
        <w:t>oblem</w:t>
      </w:r>
      <w:r w:rsidR="009E73C1" w:rsidRPr="00EC1AB2">
        <w:rPr>
          <w:i w:val="0"/>
          <w:sz w:val="24"/>
          <w:szCs w:val="24"/>
        </w:rPr>
        <w:t>ų tyrimas</w:t>
      </w:r>
      <w:bookmarkEnd w:id="173"/>
      <w:bookmarkEnd w:id="174"/>
      <w:bookmarkEnd w:id="175"/>
      <w:bookmarkEnd w:id="176"/>
      <w:bookmarkEnd w:id="177"/>
      <w:bookmarkEnd w:id="178"/>
      <w:bookmarkEnd w:id="179"/>
      <w:bookmarkEnd w:id="180"/>
    </w:p>
    <w:p w:rsidR="00716A4B" w:rsidRPr="00EC1AB2" w:rsidRDefault="00716A4B" w:rsidP="007A02A8">
      <w:pPr>
        <w:autoSpaceDE w:val="0"/>
        <w:autoSpaceDN w:val="0"/>
        <w:adjustRightInd w:val="0"/>
        <w:spacing w:after="0" w:line="360" w:lineRule="auto"/>
        <w:contextualSpacing/>
        <w:rPr>
          <w:rFonts w:ascii="Times New Roman" w:hAnsi="Times New Roman" w:cs="Times New Roman"/>
          <w:b/>
          <w:sz w:val="28"/>
          <w:szCs w:val="28"/>
        </w:rPr>
      </w:pPr>
    </w:p>
    <w:p w:rsidR="00C828FD" w:rsidRPr="00EC1AB2" w:rsidRDefault="00DC63C0" w:rsidP="007A02A8">
      <w:pPr>
        <w:autoSpaceDE w:val="0"/>
        <w:autoSpaceDN w:val="0"/>
        <w:adjustRightInd w:val="0"/>
        <w:spacing w:after="0" w:line="360" w:lineRule="auto"/>
        <w:ind w:firstLine="567"/>
        <w:jc w:val="both"/>
        <w:rPr>
          <w:rFonts w:ascii="Times New Roman" w:eastAsia="Times New Roman" w:hAnsi="Times New Roman" w:cs="Times New Roman"/>
          <w:sz w:val="24"/>
          <w:szCs w:val="24"/>
          <w:lang w:eastAsia="lt-LT"/>
        </w:rPr>
      </w:pPr>
      <w:r w:rsidRPr="00EC1AB2">
        <w:rPr>
          <w:rFonts w:ascii="Times New Roman" w:eastAsia="Times New Roman" w:hAnsi="Times New Roman" w:cs="Times New Roman"/>
          <w:sz w:val="24"/>
          <w:szCs w:val="24"/>
          <w:lang w:eastAsia="lt-LT"/>
        </w:rPr>
        <w:t>RKF plėtros problemoms identifikuoti pasirinktas plačiai sociologiniuose tyrimuose taikomas metodas – ekspertų vertinimo metodas. Siekiant panaudoti šį metodą pirmiausiai buvo suformuota kvalifikuotų ekspertų grupė  iš 5 asmenų, susijusių su RKF veikla L</w:t>
      </w:r>
      <w:r w:rsidR="00DE5CEE" w:rsidRPr="00EC1AB2">
        <w:rPr>
          <w:rFonts w:ascii="Times New Roman" w:eastAsia="Times New Roman" w:hAnsi="Times New Roman" w:cs="Times New Roman"/>
          <w:sz w:val="24"/>
          <w:szCs w:val="24"/>
          <w:lang w:eastAsia="lt-LT"/>
        </w:rPr>
        <w:t>ietuvoje. E</w:t>
      </w:r>
      <w:r w:rsidRPr="00EC1AB2">
        <w:rPr>
          <w:rFonts w:ascii="Times New Roman" w:eastAsia="Times New Roman" w:hAnsi="Times New Roman" w:cs="Times New Roman"/>
          <w:sz w:val="24"/>
          <w:szCs w:val="24"/>
          <w:lang w:eastAsia="lt-LT"/>
        </w:rPr>
        <w:t>kspertų vertinimo metodui dažniausiai pasirenkami 5-7 žmonės.</w:t>
      </w:r>
    </w:p>
    <w:p w:rsidR="00DC63C0" w:rsidRPr="00EC1AB2" w:rsidRDefault="00972A4B" w:rsidP="007A02A8">
      <w:pPr>
        <w:autoSpaceDE w:val="0"/>
        <w:autoSpaceDN w:val="0"/>
        <w:adjustRightInd w:val="0"/>
        <w:spacing w:after="0" w:line="360" w:lineRule="auto"/>
        <w:ind w:firstLine="567"/>
        <w:jc w:val="both"/>
        <w:rPr>
          <w:rFonts w:ascii="Times New Roman" w:eastAsia="Times New Roman" w:hAnsi="Times New Roman" w:cs="Times New Roman"/>
          <w:sz w:val="24"/>
          <w:szCs w:val="24"/>
          <w:lang w:eastAsia="lt-LT"/>
        </w:rPr>
      </w:pPr>
      <w:r w:rsidRPr="00EC1AB2">
        <w:rPr>
          <w:rFonts w:ascii="Times New Roman" w:eastAsia="Times New Roman" w:hAnsi="Times New Roman" w:cs="Times New Roman"/>
          <w:sz w:val="24"/>
          <w:szCs w:val="24"/>
          <w:lang w:eastAsia="lt-LT"/>
        </w:rPr>
        <w:t xml:space="preserve"> Tyrime dalyvavusiems asmenims</w:t>
      </w:r>
      <w:r w:rsidR="00DC63C0" w:rsidRPr="00EC1AB2">
        <w:rPr>
          <w:rFonts w:ascii="Times New Roman" w:eastAsia="Times New Roman" w:hAnsi="Times New Roman" w:cs="Times New Roman"/>
          <w:sz w:val="24"/>
          <w:szCs w:val="24"/>
          <w:lang w:eastAsia="lt-LT"/>
        </w:rPr>
        <w:t xml:space="preserve"> </w:t>
      </w:r>
      <w:r w:rsidRPr="00EC1AB2">
        <w:rPr>
          <w:rFonts w:ascii="Times New Roman" w:eastAsia="Times New Roman" w:hAnsi="Times New Roman" w:cs="Times New Roman"/>
          <w:sz w:val="24"/>
          <w:szCs w:val="24"/>
          <w:lang w:eastAsia="lt-LT"/>
        </w:rPr>
        <w:t>buvo pateikta</w:t>
      </w:r>
      <w:r w:rsidR="00DC63C0" w:rsidRPr="00EC1AB2">
        <w:rPr>
          <w:rFonts w:ascii="Times New Roman" w:eastAsia="Times New Roman" w:hAnsi="Times New Roman" w:cs="Times New Roman"/>
          <w:sz w:val="24"/>
          <w:szCs w:val="24"/>
          <w:lang w:eastAsia="lt-LT"/>
        </w:rPr>
        <w:t xml:space="preserve"> </w:t>
      </w:r>
      <w:r w:rsidRPr="00EC1AB2">
        <w:rPr>
          <w:rFonts w:ascii="Times New Roman" w:eastAsia="Times New Roman" w:hAnsi="Times New Roman" w:cs="Times New Roman"/>
          <w:sz w:val="24"/>
          <w:szCs w:val="24"/>
          <w:lang w:eastAsia="lt-LT"/>
        </w:rPr>
        <w:t>Jankauskienės (2009) sudaryta</w:t>
      </w:r>
      <w:r w:rsidR="00DC63C0" w:rsidRPr="00EC1AB2">
        <w:rPr>
          <w:rFonts w:ascii="Times New Roman" w:eastAsia="Times New Roman" w:hAnsi="Times New Roman" w:cs="Times New Roman"/>
          <w:sz w:val="24"/>
          <w:szCs w:val="24"/>
          <w:lang w:eastAsia="lt-LT"/>
        </w:rPr>
        <w:t xml:space="preserve"> rizikos kapitalo sektoriaus plėtros veiksnių schemą (žr. 5 priedą), </w:t>
      </w:r>
      <w:r w:rsidR="00F853F0" w:rsidRPr="00EC1AB2">
        <w:rPr>
          <w:rFonts w:ascii="Times New Roman" w:eastAsia="Times New Roman" w:hAnsi="Times New Roman" w:cs="Times New Roman"/>
          <w:sz w:val="24"/>
          <w:szCs w:val="24"/>
          <w:lang w:eastAsia="lt-LT"/>
        </w:rPr>
        <w:t>kurioje išskirti tiek pasiūlos,</w:t>
      </w:r>
      <w:r w:rsidRPr="00EC1AB2">
        <w:rPr>
          <w:rFonts w:ascii="Times New Roman" w:eastAsia="Times New Roman" w:hAnsi="Times New Roman" w:cs="Times New Roman"/>
          <w:sz w:val="24"/>
          <w:szCs w:val="24"/>
          <w:lang w:eastAsia="lt-LT"/>
        </w:rPr>
        <w:t xml:space="preserve"> tiek paklausos veiksniai, </w:t>
      </w:r>
      <w:r w:rsidR="003B0CBB" w:rsidRPr="00EC1AB2">
        <w:rPr>
          <w:rFonts w:ascii="Times New Roman" w:eastAsia="Times New Roman" w:hAnsi="Times New Roman" w:cs="Times New Roman"/>
          <w:sz w:val="24"/>
          <w:szCs w:val="24"/>
          <w:lang w:eastAsia="lt-LT"/>
        </w:rPr>
        <w:t>suskirstyti į tris grupes, t.y. si</w:t>
      </w:r>
      <w:r w:rsidR="000725C0" w:rsidRPr="00EC1AB2">
        <w:rPr>
          <w:rFonts w:ascii="Times New Roman" w:eastAsia="Times New Roman" w:hAnsi="Times New Roman" w:cs="Times New Roman"/>
          <w:sz w:val="24"/>
          <w:szCs w:val="24"/>
          <w:lang w:eastAsia="lt-LT"/>
        </w:rPr>
        <w:t>s</w:t>
      </w:r>
      <w:r w:rsidRPr="00EC1AB2">
        <w:rPr>
          <w:rFonts w:ascii="Times New Roman" w:eastAsia="Times New Roman" w:hAnsi="Times New Roman" w:cs="Times New Roman"/>
          <w:sz w:val="24"/>
          <w:szCs w:val="24"/>
          <w:lang w:eastAsia="lt-LT"/>
        </w:rPr>
        <w:t>teminius (vienodai įtakoja</w:t>
      </w:r>
      <w:r w:rsidR="003B0CBB" w:rsidRPr="00EC1AB2">
        <w:rPr>
          <w:rFonts w:ascii="Times New Roman" w:eastAsia="Times New Roman" w:hAnsi="Times New Roman" w:cs="Times New Roman"/>
          <w:sz w:val="24"/>
          <w:szCs w:val="24"/>
          <w:lang w:eastAsia="lt-LT"/>
        </w:rPr>
        <w:t xml:space="preserve"> tiek pakl</w:t>
      </w:r>
      <w:r w:rsidR="000725C0" w:rsidRPr="00EC1AB2">
        <w:rPr>
          <w:rFonts w:ascii="Times New Roman" w:eastAsia="Times New Roman" w:hAnsi="Times New Roman" w:cs="Times New Roman"/>
          <w:sz w:val="24"/>
          <w:szCs w:val="24"/>
          <w:lang w:eastAsia="lt-LT"/>
        </w:rPr>
        <w:t>ausą, tiek pasiūlą), bendruosiu</w:t>
      </w:r>
      <w:r w:rsidRPr="00EC1AB2">
        <w:rPr>
          <w:rFonts w:ascii="Times New Roman" w:eastAsia="Times New Roman" w:hAnsi="Times New Roman" w:cs="Times New Roman"/>
          <w:sz w:val="24"/>
          <w:szCs w:val="24"/>
          <w:lang w:eastAsia="lt-LT"/>
        </w:rPr>
        <w:t>s (įtakoja</w:t>
      </w:r>
      <w:r w:rsidR="003B0CBB" w:rsidRPr="00EC1AB2">
        <w:rPr>
          <w:rFonts w:ascii="Times New Roman" w:eastAsia="Times New Roman" w:hAnsi="Times New Roman" w:cs="Times New Roman"/>
          <w:sz w:val="24"/>
          <w:szCs w:val="24"/>
          <w:lang w:eastAsia="lt-LT"/>
        </w:rPr>
        <w:t xml:space="preserve"> tiek pasiūlą, tiek paklausą, tačiau skirt</w:t>
      </w:r>
      <w:r w:rsidR="000725C0" w:rsidRPr="00EC1AB2">
        <w:rPr>
          <w:rFonts w:ascii="Times New Roman" w:eastAsia="Times New Roman" w:hAnsi="Times New Roman" w:cs="Times New Roman"/>
          <w:sz w:val="24"/>
          <w:szCs w:val="24"/>
          <w:lang w:eastAsia="lt-LT"/>
        </w:rPr>
        <w:t>ingais aspektais) ir specifinius</w:t>
      </w:r>
      <w:r w:rsidRPr="00EC1AB2">
        <w:rPr>
          <w:rFonts w:ascii="Times New Roman" w:eastAsia="Times New Roman" w:hAnsi="Times New Roman" w:cs="Times New Roman"/>
          <w:sz w:val="24"/>
          <w:szCs w:val="24"/>
          <w:lang w:eastAsia="lt-LT"/>
        </w:rPr>
        <w:t xml:space="preserve"> (įtakoja</w:t>
      </w:r>
      <w:r w:rsidR="003B0CBB" w:rsidRPr="00EC1AB2">
        <w:rPr>
          <w:rFonts w:ascii="Times New Roman" w:eastAsia="Times New Roman" w:hAnsi="Times New Roman" w:cs="Times New Roman"/>
          <w:sz w:val="24"/>
          <w:szCs w:val="24"/>
          <w:lang w:eastAsia="lt-LT"/>
        </w:rPr>
        <w:t xml:space="preserve"> t</w:t>
      </w:r>
      <w:r w:rsidRPr="00EC1AB2">
        <w:rPr>
          <w:rFonts w:ascii="Times New Roman" w:eastAsia="Times New Roman" w:hAnsi="Times New Roman" w:cs="Times New Roman"/>
          <w:sz w:val="24"/>
          <w:szCs w:val="24"/>
          <w:lang w:eastAsia="lt-LT"/>
        </w:rPr>
        <w:t>ik pasiūlą arba tik paklausą). Ekspertų buvo paprašyta</w:t>
      </w:r>
      <w:r w:rsidR="00241FFA" w:rsidRPr="00EC1AB2">
        <w:rPr>
          <w:rFonts w:ascii="Times New Roman" w:eastAsia="Times New Roman" w:hAnsi="Times New Roman" w:cs="Times New Roman"/>
          <w:sz w:val="24"/>
          <w:szCs w:val="24"/>
          <w:lang w:eastAsia="lt-LT"/>
        </w:rPr>
        <w:t>,</w:t>
      </w:r>
      <w:r w:rsidRPr="00EC1AB2">
        <w:rPr>
          <w:rFonts w:ascii="Times New Roman" w:eastAsia="Times New Roman" w:hAnsi="Times New Roman" w:cs="Times New Roman"/>
          <w:sz w:val="24"/>
          <w:szCs w:val="24"/>
          <w:lang w:eastAsia="lt-LT"/>
        </w:rPr>
        <w:t xml:space="preserve"> </w:t>
      </w:r>
      <w:r w:rsidR="00401069" w:rsidRPr="00EC1AB2">
        <w:rPr>
          <w:rFonts w:ascii="Times New Roman" w:eastAsia="Times New Roman" w:hAnsi="Times New Roman" w:cs="Times New Roman"/>
          <w:sz w:val="24"/>
          <w:szCs w:val="24"/>
          <w:lang w:eastAsia="lt-LT"/>
        </w:rPr>
        <w:t>remiantis pateikta schema</w:t>
      </w:r>
      <w:r w:rsidR="00241FFA" w:rsidRPr="00EC1AB2">
        <w:rPr>
          <w:rFonts w:ascii="Times New Roman" w:eastAsia="Times New Roman" w:hAnsi="Times New Roman" w:cs="Times New Roman"/>
          <w:sz w:val="24"/>
          <w:szCs w:val="24"/>
          <w:lang w:eastAsia="lt-LT"/>
        </w:rPr>
        <w:t>,</w:t>
      </w:r>
      <w:r w:rsidR="00401069" w:rsidRPr="00EC1AB2">
        <w:rPr>
          <w:rFonts w:ascii="Times New Roman" w:eastAsia="Times New Roman" w:hAnsi="Times New Roman" w:cs="Times New Roman"/>
          <w:sz w:val="24"/>
          <w:szCs w:val="24"/>
          <w:lang w:eastAsia="lt-LT"/>
        </w:rPr>
        <w:t xml:space="preserve"> </w:t>
      </w:r>
      <w:r w:rsidR="009A158F" w:rsidRPr="00EC1AB2">
        <w:rPr>
          <w:rFonts w:ascii="Times New Roman" w:eastAsia="Times New Roman" w:hAnsi="Times New Roman" w:cs="Times New Roman"/>
          <w:sz w:val="24"/>
          <w:szCs w:val="24"/>
          <w:lang w:eastAsia="lt-LT"/>
        </w:rPr>
        <w:t>įvardi</w:t>
      </w:r>
      <w:r w:rsidRPr="00EC1AB2">
        <w:rPr>
          <w:rFonts w:ascii="Times New Roman" w:eastAsia="Times New Roman" w:hAnsi="Times New Roman" w:cs="Times New Roman"/>
          <w:sz w:val="24"/>
          <w:szCs w:val="24"/>
          <w:lang w:eastAsia="lt-LT"/>
        </w:rPr>
        <w:t>nti</w:t>
      </w:r>
      <w:r w:rsidR="00413684" w:rsidRPr="00EC1AB2">
        <w:rPr>
          <w:rFonts w:ascii="Times New Roman" w:eastAsia="Times New Roman" w:hAnsi="Times New Roman" w:cs="Times New Roman"/>
          <w:sz w:val="24"/>
          <w:szCs w:val="24"/>
          <w:lang w:eastAsia="lt-LT"/>
        </w:rPr>
        <w:t xml:space="preserve"> </w:t>
      </w:r>
      <w:r w:rsidR="009A158F" w:rsidRPr="00EC1AB2">
        <w:rPr>
          <w:rFonts w:ascii="Times New Roman" w:eastAsia="Times New Roman" w:hAnsi="Times New Roman" w:cs="Times New Roman"/>
          <w:sz w:val="24"/>
          <w:szCs w:val="24"/>
          <w:lang w:eastAsia="lt-LT"/>
        </w:rPr>
        <w:t>keturis</w:t>
      </w:r>
      <w:r w:rsidR="00DC63C0" w:rsidRPr="00EC1AB2">
        <w:rPr>
          <w:rFonts w:ascii="Times New Roman" w:eastAsia="Times New Roman" w:hAnsi="Times New Roman" w:cs="Times New Roman"/>
          <w:sz w:val="24"/>
          <w:szCs w:val="24"/>
          <w:lang w:eastAsia="lt-LT"/>
        </w:rPr>
        <w:t xml:space="preserve"> pagal svarbumą veiksnius, jų nuomone, labiausiai neigiamai įtakojančius RKF plėtrą Lietuvoje. </w:t>
      </w:r>
    </w:p>
    <w:p w:rsidR="00F853F0" w:rsidRPr="00EC1AB2" w:rsidRDefault="00C90F38" w:rsidP="007A02A8">
      <w:pPr>
        <w:autoSpaceDE w:val="0"/>
        <w:autoSpaceDN w:val="0"/>
        <w:adjustRightInd w:val="0"/>
        <w:spacing w:after="0" w:line="360" w:lineRule="auto"/>
        <w:ind w:firstLine="567"/>
        <w:jc w:val="both"/>
        <w:rPr>
          <w:rFonts w:ascii="Times New Roman" w:eastAsia="Times New Roman" w:hAnsi="Times New Roman" w:cs="Times New Roman"/>
          <w:sz w:val="24"/>
          <w:szCs w:val="24"/>
          <w:lang w:eastAsia="lt-LT"/>
        </w:rPr>
      </w:pPr>
      <w:r w:rsidRPr="00EC1AB2">
        <w:rPr>
          <w:rFonts w:ascii="Times New Roman" w:eastAsia="Times New Roman" w:hAnsi="Times New Roman" w:cs="Times New Roman"/>
          <w:sz w:val="24"/>
          <w:szCs w:val="24"/>
          <w:lang w:eastAsia="lt-LT"/>
        </w:rPr>
        <w:t>Taigi, e</w:t>
      </w:r>
      <w:r w:rsidR="0032750D" w:rsidRPr="00EC1AB2">
        <w:rPr>
          <w:rFonts w:ascii="Times New Roman" w:eastAsia="Times New Roman" w:hAnsi="Times New Roman" w:cs="Times New Roman"/>
          <w:sz w:val="24"/>
          <w:szCs w:val="24"/>
          <w:lang w:eastAsia="lt-LT"/>
        </w:rPr>
        <w:t>kspertai išskyrė šiuos veiksnius, neigiamai įtakojančius RKF plėtrą Lietuvoje:</w:t>
      </w:r>
    </w:p>
    <w:p w:rsidR="006C480F" w:rsidRPr="00EC1AB2" w:rsidRDefault="00F06375" w:rsidP="007A02A8">
      <w:pPr>
        <w:pStyle w:val="ListParagraph"/>
        <w:numPr>
          <w:ilvl w:val="0"/>
          <w:numId w:val="41"/>
        </w:numPr>
        <w:autoSpaceDE w:val="0"/>
        <w:autoSpaceDN w:val="0"/>
        <w:adjustRightInd w:val="0"/>
        <w:spacing w:after="0" w:line="360" w:lineRule="auto"/>
        <w:jc w:val="both"/>
        <w:rPr>
          <w:rFonts w:ascii="Times New Roman" w:eastAsia="Times New Roman" w:hAnsi="Times New Roman" w:cs="Times New Roman"/>
          <w:sz w:val="24"/>
          <w:szCs w:val="24"/>
          <w:lang w:eastAsia="lt-LT"/>
        </w:rPr>
      </w:pPr>
      <w:r w:rsidRPr="00EC1AB2">
        <w:rPr>
          <w:rFonts w:ascii="Times New Roman" w:eastAsia="Times New Roman" w:hAnsi="Times New Roman" w:cs="Times New Roman"/>
          <w:sz w:val="24"/>
          <w:szCs w:val="24"/>
          <w:lang w:eastAsia="lt-LT"/>
        </w:rPr>
        <w:t xml:space="preserve">Mažas </w:t>
      </w:r>
      <w:r w:rsidR="006C480F" w:rsidRPr="00EC1AB2">
        <w:rPr>
          <w:rFonts w:ascii="Times New Roman" w:eastAsia="Times New Roman" w:hAnsi="Times New Roman" w:cs="Times New Roman"/>
          <w:sz w:val="24"/>
          <w:szCs w:val="24"/>
          <w:lang w:eastAsia="lt-LT"/>
        </w:rPr>
        <w:t>VP rinkos efektyvumas (bendrasis pasiūlos veiksnys);</w:t>
      </w:r>
    </w:p>
    <w:p w:rsidR="006C480F" w:rsidRPr="00EC1AB2" w:rsidRDefault="006C480F" w:rsidP="007A02A8">
      <w:pPr>
        <w:pStyle w:val="ListParagraph"/>
        <w:numPr>
          <w:ilvl w:val="0"/>
          <w:numId w:val="41"/>
        </w:numPr>
        <w:autoSpaceDE w:val="0"/>
        <w:autoSpaceDN w:val="0"/>
        <w:adjustRightInd w:val="0"/>
        <w:spacing w:after="0" w:line="360" w:lineRule="auto"/>
        <w:jc w:val="both"/>
        <w:rPr>
          <w:rFonts w:ascii="Times New Roman" w:eastAsia="Times New Roman" w:hAnsi="Times New Roman" w:cs="Times New Roman"/>
          <w:sz w:val="24"/>
          <w:szCs w:val="24"/>
          <w:lang w:eastAsia="lt-LT"/>
        </w:rPr>
      </w:pPr>
      <w:r w:rsidRPr="00EC1AB2">
        <w:rPr>
          <w:rFonts w:ascii="Times New Roman" w:eastAsia="Times New Roman" w:hAnsi="Times New Roman" w:cs="Times New Roman"/>
          <w:sz w:val="24"/>
          <w:szCs w:val="24"/>
          <w:lang w:eastAsia="lt-LT"/>
        </w:rPr>
        <w:t>Mokestinių lengvatų jaunoms technologinėms įmonėms nebuvimas (bendrasis paklausos veiksnys);</w:t>
      </w:r>
    </w:p>
    <w:p w:rsidR="006C480F" w:rsidRPr="00EC1AB2" w:rsidRDefault="006C480F" w:rsidP="007A02A8">
      <w:pPr>
        <w:pStyle w:val="ListParagraph"/>
        <w:numPr>
          <w:ilvl w:val="0"/>
          <w:numId w:val="41"/>
        </w:numPr>
        <w:autoSpaceDE w:val="0"/>
        <w:autoSpaceDN w:val="0"/>
        <w:adjustRightInd w:val="0"/>
        <w:spacing w:after="0" w:line="360" w:lineRule="auto"/>
        <w:jc w:val="both"/>
        <w:rPr>
          <w:rFonts w:ascii="Times New Roman" w:eastAsia="Times New Roman" w:hAnsi="Times New Roman" w:cs="Times New Roman"/>
          <w:sz w:val="24"/>
          <w:szCs w:val="24"/>
          <w:lang w:eastAsia="lt-LT"/>
        </w:rPr>
      </w:pPr>
      <w:r w:rsidRPr="00EC1AB2">
        <w:rPr>
          <w:rFonts w:ascii="Times New Roman" w:eastAsia="Times New Roman" w:hAnsi="Times New Roman" w:cs="Times New Roman"/>
          <w:sz w:val="24"/>
          <w:szCs w:val="24"/>
          <w:lang w:eastAsia="lt-LT"/>
        </w:rPr>
        <w:t>Maža technologinių inovacijų sklaida (bendrasis pasiūlos veiksnys);</w:t>
      </w:r>
    </w:p>
    <w:p w:rsidR="00001704" w:rsidRPr="00EC1AB2" w:rsidRDefault="00001704" w:rsidP="007A02A8">
      <w:pPr>
        <w:pStyle w:val="ListParagraph"/>
        <w:numPr>
          <w:ilvl w:val="0"/>
          <w:numId w:val="41"/>
        </w:numPr>
        <w:autoSpaceDE w:val="0"/>
        <w:autoSpaceDN w:val="0"/>
        <w:adjustRightInd w:val="0"/>
        <w:spacing w:after="0" w:line="360" w:lineRule="auto"/>
        <w:jc w:val="both"/>
        <w:rPr>
          <w:rFonts w:ascii="Times New Roman" w:eastAsia="Times New Roman" w:hAnsi="Times New Roman" w:cs="Times New Roman"/>
          <w:sz w:val="24"/>
          <w:szCs w:val="24"/>
          <w:lang w:eastAsia="lt-LT"/>
        </w:rPr>
      </w:pPr>
      <w:r w:rsidRPr="00EC1AB2">
        <w:rPr>
          <w:rFonts w:ascii="Times New Roman" w:eastAsia="Times New Roman" w:hAnsi="Times New Roman" w:cs="Times New Roman"/>
          <w:sz w:val="24"/>
          <w:szCs w:val="24"/>
          <w:lang w:eastAsia="lt-LT"/>
        </w:rPr>
        <w:t>Mažas pensijų fondų ir draudimo įmonių dalyvavimas formuojant rizikos kapitalo investicijas (specifinis pasiūlos veiksnys).</w:t>
      </w:r>
    </w:p>
    <w:p w:rsidR="00F46268" w:rsidRPr="00EC1AB2" w:rsidRDefault="008E46C6" w:rsidP="007A02A8">
      <w:pPr>
        <w:autoSpaceDE w:val="0"/>
        <w:autoSpaceDN w:val="0"/>
        <w:adjustRightInd w:val="0"/>
        <w:spacing w:after="0" w:line="360" w:lineRule="auto"/>
        <w:ind w:firstLine="567"/>
        <w:jc w:val="both"/>
        <w:rPr>
          <w:rFonts w:ascii="Times New Roman" w:eastAsia="Times New Roman" w:hAnsi="Times New Roman" w:cs="Times New Roman"/>
          <w:sz w:val="24"/>
          <w:szCs w:val="24"/>
          <w:lang w:eastAsia="lt-LT"/>
        </w:rPr>
      </w:pPr>
      <w:r w:rsidRPr="00EC1AB2">
        <w:rPr>
          <w:rFonts w:ascii="Times New Roman" w:eastAsia="Times New Roman" w:hAnsi="Times New Roman" w:cs="Times New Roman"/>
          <w:sz w:val="24"/>
          <w:szCs w:val="24"/>
          <w:lang w:eastAsia="lt-LT"/>
        </w:rPr>
        <w:t>Taigi</w:t>
      </w:r>
      <w:r w:rsidR="00EE5CA1" w:rsidRPr="00EC1AB2">
        <w:rPr>
          <w:rFonts w:ascii="Times New Roman" w:eastAsia="Times New Roman" w:hAnsi="Times New Roman" w:cs="Times New Roman"/>
          <w:sz w:val="24"/>
          <w:szCs w:val="24"/>
          <w:lang w:eastAsia="lt-LT"/>
        </w:rPr>
        <w:t>,</w:t>
      </w:r>
      <w:r w:rsidRPr="00EC1AB2">
        <w:rPr>
          <w:rFonts w:ascii="Times New Roman" w:eastAsia="Times New Roman" w:hAnsi="Times New Roman" w:cs="Times New Roman"/>
          <w:sz w:val="24"/>
          <w:szCs w:val="24"/>
          <w:lang w:eastAsia="lt-LT"/>
        </w:rPr>
        <w:t xml:space="preserve"> galima pastebėti,</w:t>
      </w:r>
      <w:r w:rsidR="00EE5CA1" w:rsidRPr="00EC1AB2">
        <w:rPr>
          <w:rFonts w:ascii="Times New Roman" w:eastAsia="Times New Roman" w:hAnsi="Times New Roman" w:cs="Times New Roman"/>
          <w:sz w:val="24"/>
          <w:szCs w:val="24"/>
          <w:lang w:eastAsia="lt-LT"/>
        </w:rPr>
        <w:t xml:space="preserve"> kad RKF plėtros problemos labiau susiję su p</w:t>
      </w:r>
      <w:r w:rsidR="00F46268" w:rsidRPr="00EC1AB2">
        <w:rPr>
          <w:rFonts w:ascii="Times New Roman" w:eastAsia="Times New Roman" w:hAnsi="Times New Roman" w:cs="Times New Roman"/>
          <w:sz w:val="24"/>
          <w:szCs w:val="24"/>
          <w:lang w:eastAsia="lt-LT"/>
        </w:rPr>
        <w:t>asi</w:t>
      </w:r>
      <w:r w:rsidR="00241FFA" w:rsidRPr="00EC1AB2">
        <w:rPr>
          <w:rFonts w:ascii="Times New Roman" w:eastAsia="Times New Roman" w:hAnsi="Times New Roman" w:cs="Times New Roman"/>
          <w:sz w:val="24"/>
          <w:szCs w:val="24"/>
          <w:lang w:eastAsia="lt-LT"/>
        </w:rPr>
        <w:t>ūlos veiksniais, nes iš paklausos</w:t>
      </w:r>
      <w:r w:rsidR="00F46268" w:rsidRPr="00EC1AB2">
        <w:rPr>
          <w:rFonts w:ascii="Times New Roman" w:eastAsia="Times New Roman" w:hAnsi="Times New Roman" w:cs="Times New Roman"/>
          <w:sz w:val="24"/>
          <w:szCs w:val="24"/>
          <w:lang w:eastAsia="lt-LT"/>
        </w:rPr>
        <w:t xml:space="preserve"> veiksnių yra nurodytas tik vienas </w:t>
      </w:r>
      <w:r w:rsidR="0066390F" w:rsidRPr="00EC1AB2">
        <w:rPr>
          <w:rFonts w:ascii="Times New Roman" w:eastAsia="Times New Roman" w:hAnsi="Times New Roman" w:cs="Times New Roman"/>
          <w:sz w:val="24"/>
          <w:szCs w:val="24"/>
          <w:lang w:eastAsia="lt-LT"/>
        </w:rPr>
        <w:t>–</w:t>
      </w:r>
      <w:r w:rsidR="00F46268" w:rsidRPr="00EC1AB2">
        <w:rPr>
          <w:rFonts w:ascii="Times New Roman" w:eastAsia="Times New Roman" w:hAnsi="Times New Roman" w:cs="Times New Roman"/>
          <w:sz w:val="24"/>
          <w:szCs w:val="24"/>
          <w:lang w:eastAsia="lt-LT"/>
        </w:rPr>
        <w:t xml:space="preserve"> </w:t>
      </w:r>
      <w:r w:rsidR="0066390F" w:rsidRPr="00EC1AB2">
        <w:rPr>
          <w:rFonts w:ascii="Times New Roman" w:eastAsia="Times New Roman" w:hAnsi="Times New Roman" w:cs="Times New Roman"/>
          <w:sz w:val="24"/>
          <w:szCs w:val="24"/>
          <w:lang w:eastAsia="lt-LT"/>
        </w:rPr>
        <w:t>mokestinės lengvatos jaunoms technologinėms įmonėms.</w:t>
      </w:r>
    </w:p>
    <w:p w:rsidR="00D93481" w:rsidRPr="00EC1AB2" w:rsidRDefault="00EB3B7A" w:rsidP="007A02A8">
      <w:pPr>
        <w:autoSpaceDE w:val="0"/>
        <w:autoSpaceDN w:val="0"/>
        <w:adjustRightInd w:val="0"/>
        <w:spacing w:after="0" w:line="360" w:lineRule="auto"/>
        <w:ind w:firstLine="567"/>
        <w:jc w:val="both"/>
        <w:rPr>
          <w:rFonts w:ascii="Times New Roman" w:eastAsia="Times New Roman" w:hAnsi="Times New Roman" w:cs="Times New Roman"/>
          <w:sz w:val="24"/>
          <w:szCs w:val="24"/>
          <w:lang w:eastAsia="lt-LT"/>
        </w:rPr>
      </w:pPr>
      <w:r w:rsidRPr="00EC1AB2">
        <w:rPr>
          <w:rFonts w:ascii="Times New Roman" w:eastAsia="Times New Roman" w:hAnsi="Times New Roman" w:cs="Times New Roman"/>
          <w:sz w:val="24"/>
          <w:szCs w:val="24"/>
          <w:lang w:eastAsia="lt-LT"/>
        </w:rPr>
        <w:lastRenderedPageBreak/>
        <w:t xml:space="preserve">Tyrime dalyvavę asmenys įvardijo tuos pačius veiksnius, tačiau skirtinga prioritetų tvarka (žr. </w:t>
      </w:r>
      <w:r w:rsidR="00AF22EE" w:rsidRPr="00EC1AB2">
        <w:rPr>
          <w:rFonts w:ascii="Times New Roman" w:eastAsia="Times New Roman" w:hAnsi="Times New Roman" w:cs="Times New Roman"/>
          <w:sz w:val="24"/>
          <w:szCs w:val="24"/>
          <w:lang w:eastAsia="lt-LT"/>
        </w:rPr>
        <w:t>6</w:t>
      </w:r>
      <w:r w:rsidRPr="00EC1AB2">
        <w:rPr>
          <w:rFonts w:ascii="Times New Roman" w:eastAsia="Times New Roman" w:hAnsi="Times New Roman" w:cs="Times New Roman"/>
          <w:sz w:val="24"/>
          <w:szCs w:val="24"/>
          <w:lang w:eastAsia="lt-LT"/>
        </w:rPr>
        <w:t xml:space="preserve"> lent.)</w:t>
      </w:r>
    </w:p>
    <w:p w:rsidR="0016099D" w:rsidRPr="00EC1AB2" w:rsidRDefault="0016099D" w:rsidP="007A02A8">
      <w:pPr>
        <w:autoSpaceDE w:val="0"/>
        <w:autoSpaceDN w:val="0"/>
        <w:adjustRightInd w:val="0"/>
        <w:spacing w:after="0" w:line="360" w:lineRule="auto"/>
        <w:ind w:firstLine="567"/>
        <w:jc w:val="both"/>
        <w:rPr>
          <w:rFonts w:ascii="Times New Roman" w:eastAsia="Times New Roman" w:hAnsi="Times New Roman" w:cs="Times New Roman"/>
          <w:sz w:val="24"/>
          <w:szCs w:val="24"/>
          <w:lang w:eastAsia="lt-LT"/>
        </w:rPr>
      </w:pPr>
    </w:p>
    <w:p w:rsidR="00B24E03" w:rsidRPr="00EC1AB2" w:rsidRDefault="0016099D" w:rsidP="007A02A8">
      <w:pPr>
        <w:pStyle w:val="Heading4"/>
        <w:spacing w:before="0" w:line="360" w:lineRule="auto"/>
        <w:jc w:val="center"/>
        <w:rPr>
          <w:rFonts w:ascii="Times New Roman" w:eastAsia="Times New Roman" w:hAnsi="Times New Roman" w:cs="Times New Roman"/>
          <w:i w:val="0"/>
          <w:color w:val="auto"/>
          <w:sz w:val="24"/>
          <w:szCs w:val="24"/>
          <w:lang w:eastAsia="lt-LT"/>
        </w:rPr>
      </w:pPr>
      <w:bookmarkStart w:id="181" w:name="_Toc320761937"/>
      <w:bookmarkStart w:id="182" w:name="_Toc320762172"/>
      <w:bookmarkStart w:id="183" w:name="_Toc320762575"/>
      <w:r w:rsidRPr="00EC1AB2">
        <w:rPr>
          <w:rFonts w:ascii="Times New Roman" w:eastAsia="Times New Roman" w:hAnsi="Times New Roman" w:cs="Times New Roman"/>
          <w:b w:val="0"/>
          <w:i w:val="0"/>
          <w:color w:val="auto"/>
          <w:sz w:val="24"/>
          <w:szCs w:val="24"/>
          <w:lang w:eastAsia="lt-LT"/>
        </w:rPr>
        <w:t>7</w:t>
      </w:r>
      <w:r w:rsidR="0026687A" w:rsidRPr="00EC1AB2">
        <w:rPr>
          <w:rFonts w:ascii="Times New Roman" w:eastAsia="Times New Roman" w:hAnsi="Times New Roman" w:cs="Times New Roman"/>
          <w:b w:val="0"/>
          <w:i w:val="0"/>
          <w:color w:val="auto"/>
          <w:sz w:val="24"/>
          <w:szCs w:val="24"/>
          <w:lang w:eastAsia="lt-LT"/>
        </w:rPr>
        <w:t xml:space="preserve"> lentelė.</w:t>
      </w:r>
      <w:r w:rsidR="0026687A" w:rsidRPr="00EC1AB2">
        <w:rPr>
          <w:rFonts w:ascii="Times New Roman" w:eastAsia="Times New Roman" w:hAnsi="Times New Roman" w:cs="Times New Roman"/>
          <w:i w:val="0"/>
          <w:color w:val="auto"/>
          <w:sz w:val="24"/>
          <w:szCs w:val="24"/>
          <w:lang w:eastAsia="lt-LT"/>
        </w:rPr>
        <w:t xml:space="preserve"> </w:t>
      </w:r>
      <w:r w:rsidR="00504DCF" w:rsidRPr="00EC1AB2">
        <w:rPr>
          <w:rFonts w:ascii="Times New Roman" w:eastAsia="Times New Roman" w:hAnsi="Times New Roman" w:cs="Times New Roman"/>
          <w:i w:val="0"/>
          <w:color w:val="auto"/>
          <w:sz w:val="24"/>
          <w:szCs w:val="24"/>
          <w:lang w:eastAsia="lt-LT"/>
        </w:rPr>
        <w:t>Ekspertų vertinimo rangų lentelė</w:t>
      </w:r>
      <w:bookmarkEnd w:id="181"/>
      <w:bookmarkEnd w:id="182"/>
      <w:bookmarkEnd w:id="183"/>
    </w:p>
    <w:p w:rsidR="0016099D" w:rsidRPr="00EC1AB2" w:rsidRDefault="0016099D" w:rsidP="007A02A8">
      <w:pPr>
        <w:pStyle w:val="Heading4"/>
        <w:spacing w:before="0" w:line="360" w:lineRule="auto"/>
        <w:jc w:val="center"/>
        <w:rPr>
          <w:rFonts w:ascii="Times New Roman" w:eastAsia="Times New Roman" w:hAnsi="Times New Roman" w:cs="Times New Roman"/>
          <w:i w:val="0"/>
          <w:color w:val="auto"/>
          <w:sz w:val="24"/>
          <w:szCs w:val="24"/>
          <w:lang w:eastAsia="lt-LT"/>
        </w:rPr>
      </w:pPr>
    </w:p>
    <w:tbl>
      <w:tblPr>
        <w:tblW w:w="7264" w:type="dxa"/>
        <w:jc w:val="center"/>
        <w:tblBorders>
          <w:top w:val="single" w:sz="4" w:space="0" w:color="25437C"/>
          <w:left w:val="single" w:sz="4" w:space="0" w:color="25437C"/>
          <w:bottom w:val="single" w:sz="4" w:space="0" w:color="25437C"/>
          <w:right w:val="single" w:sz="4" w:space="0" w:color="25437C"/>
          <w:insideH w:val="single" w:sz="4" w:space="0" w:color="25437C"/>
          <w:insideV w:val="single" w:sz="4" w:space="0" w:color="25437C"/>
        </w:tblBorders>
        <w:tblLook w:val="0000" w:firstRow="0" w:lastRow="0" w:firstColumn="0" w:lastColumn="0" w:noHBand="0" w:noVBand="0"/>
      </w:tblPr>
      <w:tblGrid>
        <w:gridCol w:w="1507"/>
        <w:gridCol w:w="1720"/>
        <w:gridCol w:w="1483"/>
        <w:gridCol w:w="1238"/>
        <w:gridCol w:w="1316"/>
      </w:tblGrid>
      <w:tr w:rsidR="00F25E1F" w:rsidRPr="00EC1AB2" w:rsidTr="0096384F">
        <w:trPr>
          <w:trHeight w:val="476"/>
          <w:jc w:val="center"/>
        </w:trPr>
        <w:tc>
          <w:tcPr>
            <w:tcW w:w="1507" w:type="dxa"/>
            <w:vMerge w:val="restart"/>
            <w:noWrap/>
            <w:vAlign w:val="center"/>
          </w:tcPr>
          <w:p w:rsidR="0096384F" w:rsidRPr="00EC1AB2" w:rsidRDefault="0096384F" w:rsidP="007A02A8">
            <w:pPr>
              <w:spacing w:after="0" w:line="360" w:lineRule="auto"/>
              <w:jc w:val="center"/>
              <w:rPr>
                <w:rFonts w:ascii="Times New Roman" w:eastAsia="MS Mincho" w:hAnsi="Times New Roman" w:cs="Times New Roman"/>
                <w:bCs/>
              </w:rPr>
            </w:pPr>
            <w:r w:rsidRPr="00EC1AB2">
              <w:rPr>
                <w:rFonts w:ascii="Times New Roman" w:eastAsia="MS Mincho" w:hAnsi="Times New Roman" w:cs="Times New Roman"/>
                <w:bCs/>
              </w:rPr>
              <w:t>Ekspertų vertinimas</w:t>
            </w:r>
          </w:p>
        </w:tc>
        <w:tc>
          <w:tcPr>
            <w:tcW w:w="5757" w:type="dxa"/>
            <w:gridSpan w:val="4"/>
            <w:noWrap/>
            <w:vAlign w:val="center"/>
          </w:tcPr>
          <w:p w:rsidR="0096384F" w:rsidRPr="00EC1AB2" w:rsidRDefault="0096384F" w:rsidP="007A02A8">
            <w:pPr>
              <w:autoSpaceDE w:val="0"/>
              <w:autoSpaceDN w:val="0"/>
              <w:adjustRightInd w:val="0"/>
              <w:spacing w:after="0" w:line="360" w:lineRule="auto"/>
              <w:jc w:val="center"/>
              <w:rPr>
                <w:rFonts w:ascii="Times New Roman" w:eastAsia="MS Mincho" w:hAnsi="Times New Roman" w:cs="Times New Roman"/>
                <w:bCs/>
              </w:rPr>
            </w:pPr>
            <w:r w:rsidRPr="00EC1AB2">
              <w:rPr>
                <w:rFonts w:ascii="Times New Roman" w:eastAsia="MS Mincho" w:hAnsi="Times New Roman" w:cs="Times New Roman"/>
                <w:bCs/>
              </w:rPr>
              <w:t>Alternatyvos</w:t>
            </w:r>
          </w:p>
        </w:tc>
      </w:tr>
      <w:tr w:rsidR="00F25E1F" w:rsidRPr="00EC1AB2" w:rsidTr="00D500C3">
        <w:trPr>
          <w:trHeight w:val="475"/>
          <w:jc w:val="center"/>
        </w:trPr>
        <w:tc>
          <w:tcPr>
            <w:tcW w:w="1507" w:type="dxa"/>
            <w:vMerge/>
            <w:noWrap/>
            <w:vAlign w:val="center"/>
          </w:tcPr>
          <w:p w:rsidR="006C480F" w:rsidRPr="00EC1AB2" w:rsidRDefault="006C480F" w:rsidP="007A02A8">
            <w:pPr>
              <w:spacing w:after="0" w:line="360" w:lineRule="auto"/>
              <w:jc w:val="center"/>
              <w:rPr>
                <w:rFonts w:ascii="Times New Roman" w:eastAsia="MS Mincho" w:hAnsi="Times New Roman" w:cs="Times New Roman"/>
                <w:bCs/>
              </w:rPr>
            </w:pPr>
          </w:p>
        </w:tc>
        <w:tc>
          <w:tcPr>
            <w:tcW w:w="1720" w:type="dxa"/>
            <w:noWrap/>
          </w:tcPr>
          <w:p w:rsidR="006C480F" w:rsidRPr="00EC1AB2" w:rsidRDefault="0096384F" w:rsidP="007A02A8">
            <w:pPr>
              <w:spacing w:after="0" w:line="360" w:lineRule="auto"/>
              <w:jc w:val="right"/>
              <w:rPr>
                <w:rFonts w:ascii="Times New Roman" w:eastAsia="MS Mincho" w:hAnsi="Times New Roman" w:cs="Times New Roman"/>
                <w:b/>
                <w:bCs/>
                <w:sz w:val="24"/>
                <w:szCs w:val="24"/>
              </w:rPr>
            </w:pPr>
            <w:r w:rsidRPr="00EC1AB2">
              <w:rPr>
                <w:rFonts w:ascii="Times New Roman" w:eastAsia="MS Mincho" w:hAnsi="Times New Roman" w:cs="Times New Roman"/>
                <w:b/>
                <w:bCs/>
                <w:sz w:val="24"/>
                <w:szCs w:val="24"/>
              </w:rPr>
              <w:t>1</w:t>
            </w:r>
          </w:p>
        </w:tc>
        <w:tc>
          <w:tcPr>
            <w:tcW w:w="1483" w:type="dxa"/>
          </w:tcPr>
          <w:p w:rsidR="006C480F" w:rsidRPr="00EC1AB2" w:rsidRDefault="0096384F" w:rsidP="007A02A8">
            <w:pPr>
              <w:spacing w:after="0" w:line="360" w:lineRule="auto"/>
              <w:jc w:val="right"/>
              <w:rPr>
                <w:rFonts w:ascii="Times New Roman" w:eastAsia="MS Mincho" w:hAnsi="Times New Roman" w:cs="Times New Roman"/>
                <w:b/>
                <w:bCs/>
                <w:sz w:val="24"/>
                <w:szCs w:val="24"/>
              </w:rPr>
            </w:pPr>
            <w:r w:rsidRPr="00EC1AB2">
              <w:rPr>
                <w:rFonts w:ascii="Times New Roman" w:eastAsia="MS Mincho" w:hAnsi="Times New Roman" w:cs="Times New Roman"/>
                <w:b/>
                <w:bCs/>
                <w:sz w:val="24"/>
                <w:szCs w:val="24"/>
              </w:rPr>
              <w:t>2</w:t>
            </w:r>
          </w:p>
        </w:tc>
        <w:tc>
          <w:tcPr>
            <w:tcW w:w="1238" w:type="dxa"/>
          </w:tcPr>
          <w:p w:rsidR="006C480F" w:rsidRPr="00EC1AB2" w:rsidRDefault="0096384F" w:rsidP="007A02A8">
            <w:pPr>
              <w:spacing w:after="0" w:line="360" w:lineRule="auto"/>
              <w:jc w:val="right"/>
              <w:rPr>
                <w:rFonts w:ascii="Times New Roman" w:eastAsia="MS Mincho" w:hAnsi="Times New Roman" w:cs="Times New Roman"/>
                <w:b/>
                <w:bCs/>
                <w:sz w:val="24"/>
                <w:szCs w:val="24"/>
              </w:rPr>
            </w:pPr>
            <w:r w:rsidRPr="00EC1AB2">
              <w:rPr>
                <w:rFonts w:ascii="Times New Roman" w:eastAsia="MS Mincho" w:hAnsi="Times New Roman" w:cs="Times New Roman"/>
                <w:b/>
                <w:bCs/>
                <w:sz w:val="24"/>
                <w:szCs w:val="24"/>
              </w:rPr>
              <w:t>3</w:t>
            </w:r>
          </w:p>
        </w:tc>
        <w:tc>
          <w:tcPr>
            <w:tcW w:w="1316" w:type="dxa"/>
          </w:tcPr>
          <w:p w:rsidR="006C480F" w:rsidRPr="00EC1AB2" w:rsidRDefault="0096384F" w:rsidP="007A02A8">
            <w:pPr>
              <w:autoSpaceDE w:val="0"/>
              <w:autoSpaceDN w:val="0"/>
              <w:adjustRightInd w:val="0"/>
              <w:spacing w:after="0" w:line="360" w:lineRule="auto"/>
              <w:jc w:val="right"/>
              <w:rPr>
                <w:rFonts w:ascii="Times New Roman" w:eastAsia="MS Mincho" w:hAnsi="Times New Roman" w:cs="Times New Roman"/>
                <w:b/>
                <w:bCs/>
                <w:sz w:val="24"/>
                <w:szCs w:val="24"/>
              </w:rPr>
            </w:pPr>
            <w:r w:rsidRPr="00EC1AB2">
              <w:rPr>
                <w:rFonts w:ascii="Times New Roman" w:eastAsia="MS Mincho" w:hAnsi="Times New Roman" w:cs="Times New Roman"/>
                <w:b/>
                <w:bCs/>
                <w:sz w:val="24"/>
                <w:szCs w:val="24"/>
              </w:rPr>
              <w:t>4</w:t>
            </w:r>
          </w:p>
        </w:tc>
      </w:tr>
      <w:tr w:rsidR="00F25E1F" w:rsidRPr="00EC1AB2" w:rsidTr="00001704">
        <w:trPr>
          <w:trHeight w:val="270"/>
          <w:jc w:val="center"/>
        </w:trPr>
        <w:tc>
          <w:tcPr>
            <w:tcW w:w="1507" w:type="dxa"/>
            <w:noWrap/>
          </w:tcPr>
          <w:p w:rsidR="00B24E03" w:rsidRPr="00EC1AB2" w:rsidRDefault="00C16264" w:rsidP="007A02A8">
            <w:pPr>
              <w:spacing w:after="0" w:line="360" w:lineRule="auto"/>
              <w:rPr>
                <w:rFonts w:ascii="Times New Roman" w:eastAsia="MS Mincho" w:hAnsi="Times New Roman" w:cs="Times New Roman"/>
                <w:bCs/>
                <w:vertAlign w:val="subscript"/>
              </w:rPr>
            </w:pPr>
            <w:r w:rsidRPr="00EC1AB2">
              <w:rPr>
                <w:rFonts w:ascii="Times New Roman" w:eastAsia="MS Mincho" w:hAnsi="Times New Roman" w:cs="Times New Roman"/>
                <w:bCs/>
              </w:rPr>
              <w:t>E</w:t>
            </w:r>
            <w:r w:rsidR="00123742" w:rsidRPr="00EC1AB2">
              <w:rPr>
                <w:rFonts w:ascii="Times New Roman" w:eastAsia="MS Mincho" w:hAnsi="Times New Roman" w:cs="Times New Roman"/>
                <w:bCs/>
              </w:rPr>
              <w:t>kspertas</w:t>
            </w:r>
            <w:r w:rsidRPr="00EC1AB2">
              <w:rPr>
                <w:rFonts w:ascii="Times New Roman" w:eastAsia="MS Mincho" w:hAnsi="Times New Roman" w:cs="Times New Roman"/>
                <w:bCs/>
                <w:vertAlign w:val="subscript"/>
              </w:rPr>
              <w:t>1</w:t>
            </w:r>
          </w:p>
        </w:tc>
        <w:tc>
          <w:tcPr>
            <w:tcW w:w="1720" w:type="dxa"/>
            <w:noWrap/>
          </w:tcPr>
          <w:p w:rsidR="00B24E03" w:rsidRPr="00EC1AB2" w:rsidRDefault="00B24E03" w:rsidP="007A02A8">
            <w:pPr>
              <w:spacing w:after="0" w:line="360" w:lineRule="auto"/>
              <w:jc w:val="right"/>
              <w:rPr>
                <w:rFonts w:ascii="Times New Roman" w:eastAsia="MS Mincho" w:hAnsi="Times New Roman" w:cs="Times New Roman"/>
                <w:sz w:val="24"/>
                <w:szCs w:val="24"/>
              </w:rPr>
            </w:pPr>
            <w:r w:rsidRPr="00EC1AB2">
              <w:rPr>
                <w:rFonts w:ascii="Times New Roman" w:eastAsia="MS Mincho" w:hAnsi="Times New Roman" w:cs="Times New Roman"/>
                <w:sz w:val="24"/>
                <w:szCs w:val="24"/>
              </w:rPr>
              <w:t xml:space="preserve">    3</w:t>
            </w:r>
          </w:p>
        </w:tc>
        <w:tc>
          <w:tcPr>
            <w:tcW w:w="1483" w:type="dxa"/>
            <w:noWrap/>
          </w:tcPr>
          <w:p w:rsidR="00B24E03" w:rsidRPr="00EC1AB2" w:rsidRDefault="00B24E03" w:rsidP="007A02A8">
            <w:pPr>
              <w:spacing w:after="0" w:line="360" w:lineRule="auto"/>
              <w:jc w:val="right"/>
              <w:rPr>
                <w:rFonts w:ascii="Times New Roman" w:eastAsia="MS Mincho" w:hAnsi="Times New Roman" w:cs="Times New Roman"/>
                <w:sz w:val="24"/>
                <w:szCs w:val="24"/>
              </w:rPr>
            </w:pPr>
            <w:r w:rsidRPr="00EC1AB2">
              <w:rPr>
                <w:rFonts w:ascii="Times New Roman" w:eastAsia="MS Mincho" w:hAnsi="Times New Roman" w:cs="Times New Roman"/>
                <w:sz w:val="24"/>
                <w:szCs w:val="24"/>
              </w:rPr>
              <w:t xml:space="preserve">    2</w:t>
            </w:r>
          </w:p>
        </w:tc>
        <w:tc>
          <w:tcPr>
            <w:tcW w:w="1238" w:type="dxa"/>
            <w:noWrap/>
          </w:tcPr>
          <w:p w:rsidR="00B24E03" w:rsidRPr="00EC1AB2" w:rsidRDefault="00B24E03" w:rsidP="007A02A8">
            <w:pPr>
              <w:spacing w:after="0" w:line="360" w:lineRule="auto"/>
              <w:jc w:val="right"/>
              <w:rPr>
                <w:rFonts w:ascii="Times New Roman" w:eastAsia="MS Mincho" w:hAnsi="Times New Roman" w:cs="Times New Roman"/>
                <w:sz w:val="24"/>
                <w:szCs w:val="24"/>
              </w:rPr>
            </w:pPr>
            <w:r w:rsidRPr="00EC1AB2">
              <w:rPr>
                <w:rFonts w:ascii="Times New Roman" w:eastAsia="MS Mincho" w:hAnsi="Times New Roman" w:cs="Times New Roman"/>
                <w:sz w:val="24"/>
                <w:szCs w:val="24"/>
              </w:rPr>
              <w:t xml:space="preserve">    4</w:t>
            </w:r>
          </w:p>
        </w:tc>
        <w:tc>
          <w:tcPr>
            <w:tcW w:w="1316" w:type="dxa"/>
            <w:noWrap/>
          </w:tcPr>
          <w:p w:rsidR="00B24E03" w:rsidRPr="00EC1AB2" w:rsidRDefault="00B24E03" w:rsidP="007A02A8">
            <w:pPr>
              <w:spacing w:after="0" w:line="360" w:lineRule="auto"/>
              <w:jc w:val="right"/>
              <w:rPr>
                <w:rFonts w:ascii="Times New Roman" w:eastAsia="MS Mincho" w:hAnsi="Times New Roman" w:cs="Times New Roman"/>
                <w:sz w:val="24"/>
                <w:szCs w:val="24"/>
              </w:rPr>
            </w:pPr>
            <w:r w:rsidRPr="00EC1AB2">
              <w:rPr>
                <w:rFonts w:ascii="Times New Roman" w:eastAsia="MS Mincho" w:hAnsi="Times New Roman" w:cs="Times New Roman"/>
                <w:sz w:val="24"/>
                <w:szCs w:val="24"/>
              </w:rPr>
              <w:t xml:space="preserve">    1</w:t>
            </w:r>
          </w:p>
        </w:tc>
      </w:tr>
      <w:tr w:rsidR="00F25E1F" w:rsidRPr="00EC1AB2" w:rsidTr="00001704">
        <w:trPr>
          <w:trHeight w:val="270"/>
          <w:jc w:val="center"/>
        </w:trPr>
        <w:tc>
          <w:tcPr>
            <w:tcW w:w="1507" w:type="dxa"/>
            <w:noWrap/>
          </w:tcPr>
          <w:p w:rsidR="00B24E03" w:rsidRPr="00EC1AB2" w:rsidRDefault="00C16264" w:rsidP="007A02A8">
            <w:pPr>
              <w:spacing w:after="0" w:line="360" w:lineRule="auto"/>
              <w:rPr>
                <w:rFonts w:ascii="Times New Roman" w:eastAsia="MS Mincho" w:hAnsi="Times New Roman" w:cs="Times New Roman"/>
                <w:bCs/>
                <w:vertAlign w:val="subscript"/>
              </w:rPr>
            </w:pPr>
            <w:r w:rsidRPr="00EC1AB2">
              <w:rPr>
                <w:rFonts w:ascii="Times New Roman" w:eastAsia="MS Mincho" w:hAnsi="Times New Roman" w:cs="Times New Roman"/>
                <w:bCs/>
              </w:rPr>
              <w:t>E</w:t>
            </w:r>
            <w:r w:rsidR="00123742" w:rsidRPr="00EC1AB2">
              <w:rPr>
                <w:rFonts w:ascii="Times New Roman" w:eastAsia="MS Mincho" w:hAnsi="Times New Roman" w:cs="Times New Roman"/>
                <w:bCs/>
              </w:rPr>
              <w:t>kspertas</w:t>
            </w:r>
            <w:r w:rsidRPr="00EC1AB2">
              <w:rPr>
                <w:rFonts w:ascii="Times New Roman" w:eastAsia="MS Mincho" w:hAnsi="Times New Roman" w:cs="Times New Roman"/>
                <w:bCs/>
                <w:vertAlign w:val="subscript"/>
              </w:rPr>
              <w:t>2</w:t>
            </w:r>
          </w:p>
        </w:tc>
        <w:tc>
          <w:tcPr>
            <w:tcW w:w="1720" w:type="dxa"/>
            <w:noWrap/>
          </w:tcPr>
          <w:p w:rsidR="00B24E03" w:rsidRPr="00EC1AB2" w:rsidRDefault="00B24E03" w:rsidP="007A02A8">
            <w:pPr>
              <w:spacing w:after="0" w:line="360" w:lineRule="auto"/>
              <w:jc w:val="right"/>
              <w:rPr>
                <w:rFonts w:ascii="Times New Roman" w:eastAsia="MS Mincho" w:hAnsi="Times New Roman" w:cs="Times New Roman"/>
                <w:sz w:val="24"/>
                <w:szCs w:val="24"/>
              </w:rPr>
            </w:pPr>
            <w:r w:rsidRPr="00EC1AB2">
              <w:rPr>
                <w:rFonts w:ascii="Times New Roman" w:eastAsia="MS Mincho" w:hAnsi="Times New Roman" w:cs="Times New Roman"/>
                <w:sz w:val="24"/>
                <w:szCs w:val="24"/>
              </w:rPr>
              <w:t xml:space="preserve">    3</w:t>
            </w:r>
          </w:p>
        </w:tc>
        <w:tc>
          <w:tcPr>
            <w:tcW w:w="1483" w:type="dxa"/>
            <w:noWrap/>
          </w:tcPr>
          <w:p w:rsidR="00B24E03" w:rsidRPr="00EC1AB2" w:rsidRDefault="00B24E03" w:rsidP="007A02A8">
            <w:pPr>
              <w:spacing w:after="0" w:line="360" w:lineRule="auto"/>
              <w:jc w:val="right"/>
              <w:rPr>
                <w:rFonts w:ascii="Times New Roman" w:eastAsia="MS Mincho" w:hAnsi="Times New Roman" w:cs="Times New Roman"/>
                <w:sz w:val="24"/>
                <w:szCs w:val="24"/>
              </w:rPr>
            </w:pPr>
            <w:r w:rsidRPr="00EC1AB2">
              <w:rPr>
                <w:rFonts w:ascii="Times New Roman" w:eastAsia="MS Mincho" w:hAnsi="Times New Roman" w:cs="Times New Roman"/>
                <w:sz w:val="24"/>
                <w:szCs w:val="24"/>
              </w:rPr>
              <w:t xml:space="preserve">    2</w:t>
            </w:r>
          </w:p>
        </w:tc>
        <w:tc>
          <w:tcPr>
            <w:tcW w:w="1238" w:type="dxa"/>
            <w:noWrap/>
          </w:tcPr>
          <w:p w:rsidR="00B24E03" w:rsidRPr="00EC1AB2" w:rsidRDefault="00B24E03" w:rsidP="007A02A8">
            <w:pPr>
              <w:spacing w:after="0" w:line="360" w:lineRule="auto"/>
              <w:jc w:val="right"/>
              <w:rPr>
                <w:rFonts w:ascii="Times New Roman" w:eastAsia="MS Mincho" w:hAnsi="Times New Roman" w:cs="Times New Roman"/>
                <w:sz w:val="24"/>
                <w:szCs w:val="24"/>
              </w:rPr>
            </w:pPr>
            <w:r w:rsidRPr="00EC1AB2">
              <w:rPr>
                <w:rFonts w:ascii="Times New Roman" w:eastAsia="MS Mincho" w:hAnsi="Times New Roman" w:cs="Times New Roman"/>
                <w:sz w:val="24"/>
                <w:szCs w:val="24"/>
              </w:rPr>
              <w:t xml:space="preserve">    4</w:t>
            </w:r>
          </w:p>
        </w:tc>
        <w:tc>
          <w:tcPr>
            <w:tcW w:w="1316" w:type="dxa"/>
            <w:noWrap/>
          </w:tcPr>
          <w:p w:rsidR="00B24E03" w:rsidRPr="00EC1AB2" w:rsidRDefault="00B24E03" w:rsidP="007A02A8">
            <w:pPr>
              <w:spacing w:after="0" w:line="360" w:lineRule="auto"/>
              <w:jc w:val="right"/>
              <w:rPr>
                <w:rFonts w:ascii="Times New Roman" w:eastAsia="MS Mincho" w:hAnsi="Times New Roman" w:cs="Times New Roman"/>
                <w:sz w:val="24"/>
                <w:szCs w:val="24"/>
              </w:rPr>
            </w:pPr>
            <w:r w:rsidRPr="00EC1AB2">
              <w:rPr>
                <w:rFonts w:ascii="Times New Roman" w:eastAsia="MS Mincho" w:hAnsi="Times New Roman" w:cs="Times New Roman"/>
                <w:sz w:val="24"/>
                <w:szCs w:val="24"/>
              </w:rPr>
              <w:t xml:space="preserve">    1</w:t>
            </w:r>
          </w:p>
        </w:tc>
      </w:tr>
      <w:tr w:rsidR="00F25E1F" w:rsidRPr="00EC1AB2" w:rsidTr="00001704">
        <w:trPr>
          <w:trHeight w:val="270"/>
          <w:jc w:val="center"/>
        </w:trPr>
        <w:tc>
          <w:tcPr>
            <w:tcW w:w="1507" w:type="dxa"/>
            <w:noWrap/>
          </w:tcPr>
          <w:p w:rsidR="00B24E03" w:rsidRPr="00EC1AB2" w:rsidRDefault="00C16264" w:rsidP="007A02A8">
            <w:pPr>
              <w:spacing w:after="0" w:line="360" w:lineRule="auto"/>
              <w:rPr>
                <w:rFonts w:ascii="Times New Roman" w:eastAsia="MS Mincho" w:hAnsi="Times New Roman" w:cs="Times New Roman"/>
                <w:bCs/>
              </w:rPr>
            </w:pPr>
            <w:r w:rsidRPr="00EC1AB2">
              <w:rPr>
                <w:rFonts w:ascii="Times New Roman" w:eastAsia="MS Mincho" w:hAnsi="Times New Roman" w:cs="Times New Roman"/>
                <w:bCs/>
              </w:rPr>
              <w:t>Ekspertas</w:t>
            </w:r>
            <w:r w:rsidRPr="00EC1AB2">
              <w:rPr>
                <w:rFonts w:ascii="Times New Roman" w:eastAsia="MS Mincho" w:hAnsi="Times New Roman" w:cs="Times New Roman"/>
                <w:bCs/>
                <w:vertAlign w:val="subscript"/>
              </w:rPr>
              <w:t>3</w:t>
            </w:r>
          </w:p>
        </w:tc>
        <w:tc>
          <w:tcPr>
            <w:tcW w:w="1720" w:type="dxa"/>
            <w:noWrap/>
          </w:tcPr>
          <w:p w:rsidR="00B24E03" w:rsidRPr="00EC1AB2" w:rsidRDefault="00B24E03" w:rsidP="007A02A8">
            <w:pPr>
              <w:spacing w:after="0" w:line="360" w:lineRule="auto"/>
              <w:jc w:val="right"/>
              <w:rPr>
                <w:rFonts w:ascii="Times New Roman" w:eastAsia="MS Mincho" w:hAnsi="Times New Roman" w:cs="Times New Roman"/>
                <w:sz w:val="24"/>
                <w:szCs w:val="24"/>
              </w:rPr>
            </w:pPr>
            <w:r w:rsidRPr="00EC1AB2">
              <w:rPr>
                <w:rFonts w:ascii="Times New Roman" w:eastAsia="MS Mincho" w:hAnsi="Times New Roman" w:cs="Times New Roman"/>
                <w:sz w:val="24"/>
                <w:szCs w:val="24"/>
              </w:rPr>
              <w:t>2</w:t>
            </w:r>
          </w:p>
        </w:tc>
        <w:tc>
          <w:tcPr>
            <w:tcW w:w="1483" w:type="dxa"/>
            <w:noWrap/>
          </w:tcPr>
          <w:p w:rsidR="00B24E03" w:rsidRPr="00EC1AB2" w:rsidRDefault="00B24E03" w:rsidP="007A02A8">
            <w:pPr>
              <w:spacing w:after="0" w:line="360" w:lineRule="auto"/>
              <w:jc w:val="right"/>
              <w:rPr>
                <w:rFonts w:ascii="Times New Roman" w:eastAsia="MS Mincho" w:hAnsi="Times New Roman" w:cs="Times New Roman"/>
                <w:sz w:val="24"/>
                <w:szCs w:val="24"/>
              </w:rPr>
            </w:pPr>
            <w:r w:rsidRPr="00EC1AB2">
              <w:rPr>
                <w:rFonts w:ascii="Times New Roman" w:eastAsia="MS Mincho" w:hAnsi="Times New Roman" w:cs="Times New Roman"/>
                <w:sz w:val="24"/>
                <w:szCs w:val="24"/>
              </w:rPr>
              <w:t>3</w:t>
            </w:r>
          </w:p>
        </w:tc>
        <w:tc>
          <w:tcPr>
            <w:tcW w:w="1238" w:type="dxa"/>
            <w:noWrap/>
          </w:tcPr>
          <w:p w:rsidR="00B24E03" w:rsidRPr="00EC1AB2" w:rsidRDefault="00B24E03" w:rsidP="007A02A8">
            <w:pPr>
              <w:spacing w:after="0" w:line="360" w:lineRule="auto"/>
              <w:jc w:val="right"/>
              <w:rPr>
                <w:rFonts w:ascii="Times New Roman" w:eastAsia="MS Mincho" w:hAnsi="Times New Roman" w:cs="Times New Roman"/>
                <w:sz w:val="24"/>
                <w:szCs w:val="24"/>
              </w:rPr>
            </w:pPr>
            <w:r w:rsidRPr="00EC1AB2">
              <w:rPr>
                <w:rFonts w:ascii="Times New Roman" w:eastAsia="MS Mincho" w:hAnsi="Times New Roman" w:cs="Times New Roman"/>
                <w:sz w:val="24"/>
                <w:szCs w:val="24"/>
              </w:rPr>
              <w:t>4</w:t>
            </w:r>
          </w:p>
        </w:tc>
        <w:tc>
          <w:tcPr>
            <w:tcW w:w="1316" w:type="dxa"/>
            <w:noWrap/>
          </w:tcPr>
          <w:p w:rsidR="00B24E03" w:rsidRPr="00EC1AB2" w:rsidRDefault="00B24E03" w:rsidP="007A02A8">
            <w:pPr>
              <w:spacing w:after="0" w:line="360" w:lineRule="auto"/>
              <w:jc w:val="right"/>
              <w:rPr>
                <w:rFonts w:ascii="Times New Roman" w:eastAsia="MS Mincho" w:hAnsi="Times New Roman" w:cs="Times New Roman"/>
                <w:sz w:val="24"/>
                <w:szCs w:val="24"/>
              </w:rPr>
            </w:pPr>
            <w:r w:rsidRPr="00EC1AB2">
              <w:rPr>
                <w:rFonts w:ascii="Times New Roman" w:eastAsia="MS Mincho" w:hAnsi="Times New Roman" w:cs="Times New Roman"/>
                <w:sz w:val="24"/>
                <w:szCs w:val="24"/>
              </w:rPr>
              <w:t>1</w:t>
            </w:r>
          </w:p>
        </w:tc>
      </w:tr>
      <w:tr w:rsidR="00F25E1F" w:rsidRPr="00EC1AB2" w:rsidTr="00001704">
        <w:trPr>
          <w:trHeight w:val="270"/>
          <w:jc w:val="center"/>
        </w:trPr>
        <w:tc>
          <w:tcPr>
            <w:tcW w:w="1507" w:type="dxa"/>
            <w:noWrap/>
          </w:tcPr>
          <w:p w:rsidR="00B24E03" w:rsidRPr="00EC1AB2" w:rsidRDefault="00C16264" w:rsidP="007A02A8">
            <w:pPr>
              <w:spacing w:after="0" w:line="360" w:lineRule="auto"/>
              <w:rPr>
                <w:rFonts w:ascii="Times New Roman" w:eastAsia="MS Mincho" w:hAnsi="Times New Roman" w:cs="Times New Roman"/>
                <w:bCs/>
              </w:rPr>
            </w:pPr>
            <w:r w:rsidRPr="00EC1AB2">
              <w:rPr>
                <w:rFonts w:ascii="Times New Roman" w:eastAsia="MS Mincho" w:hAnsi="Times New Roman" w:cs="Times New Roman"/>
                <w:bCs/>
              </w:rPr>
              <w:t>Ekspertas</w:t>
            </w:r>
            <w:r w:rsidRPr="00EC1AB2">
              <w:rPr>
                <w:rFonts w:ascii="Times New Roman" w:eastAsia="MS Mincho" w:hAnsi="Times New Roman" w:cs="Times New Roman"/>
                <w:bCs/>
                <w:vertAlign w:val="subscript"/>
              </w:rPr>
              <w:t>4</w:t>
            </w:r>
          </w:p>
        </w:tc>
        <w:tc>
          <w:tcPr>
            <w:tcW w:w="1720" w:type="dxa"/>
            <w:noWrap/>
          </w:tcPr>
          <w:p w:rsidR="00B24E03" w:rsidRPr="00EC1AB2" w:rsidRDefault="00B24E03" w:rsidP="007A02A8">
            <w:pPr>
              <w:spacing w:after="0" w:line="360" w:lineRule="auto"/>
              <w:jc w:val="right"/>
              <w:rPr>
                <w:rFonts w:ascii="Times New Roman" w:eastAsia="MS Mincho" w:hAnsi="Times New Roman" w:cs="Times New Roman"/>
                <w:sz w:val="24"/>
                <w:szCs w:val="24"/>
              </w:rPr>
            </w:pPr>
            <w:r w:rsidRPr="00EC1AB2">
              <w:rPr>
                <w:rFonts w:ascii="Times New Roman" w:eastAsia="MS Mincho" w:hAnsi="Times New Roman" w:cs="Times New Roman"/>
                <w:sz w:val="24"/>
                <w:szCs w:val="24"/>
              </w:rPr>
              <w:t>2</w:t>
            </w:r>
          </w:p>
        </w:tc>
        <w:tc>
          <w:tcPr>
            <w:tcW w:w="1483" w:type="dxa"/>
            <w:noWrap/>
          </w:tcPr>
          <w:p w:rsidR="00B24E03" w:rsidRPr="00EC1AB2" w:rsidRDefault="00B24E03" w:rsidP="007A02A8">
            <w:pPr>
              <w:spacing w:after="0" w:line="360" w:lineRule="auto"/>
              <w:jc w:val="right"/>
              <w:rPr>
                <w:rFonts w:ascii="Times New Roman" w:eastAsia="MS Mincho" w:hAnsi="Times New Roman" w:cs="Times New Roman"/>
                <w:sz w:val="24"/>
                <w:szCs w:val="24"/>
              </w:rPr>
            </w:pPr>
            <w:r w:rsidRPr="00EC1AB2">
              <w:rPr>
                <w:rFonts w:ascii="Times New Roman" w:eastAsia="MS Mincho" w:hAnsi="Times New Roman" w:cs="Times New Roman"/>
                <w:sz w:val="24"/>
                <w:szCs w:val="24"/>
              </w:rPr>
              <w:t>3</w:t>
            </w:r>
          </w:p>
        </w:tc>
        <w:tc>
          <w:tcPr>
            <w:tcW w:w="1238" w:type="dxa"/>
            <w:noWrap/>
          </w:tcPr>
          <w:p w:rsidR="00B24E03" w:rsidRPr="00EC1AB2" w:rsidRDefault="00B24E03" w:rsidP="007A02A8">
            <w:pPr>
              <w:spacing w:after="0" w:line="360" w:lineRule="auto"/>
              <w:jc w:val="right"/>
              <w:rPr>
                <w:rFonts w:ascii="Times New Roman" w:eastAsia="MS Mincho" w:hAnsi="Times New Roman" w:cs="Times New Roman"/>
                <w:sz w:val="24"/>
                <w:szCs w:val="24"/>
              </w:rPr>
            </w:pPr>
            <w:r w:rsidRPr="00EC1AB2">
              <w:rPr>
                <w:rFonts w:ascii="Times New Roman" w:eastAsia="MS Mincho" w:hAnsi="Times New Roman" w:cs="Times New Roman"/>
                <w:sz w:val="24"/>
                <w:szCs w:val="24"/>
              </w:rPr>
              <w:t>4</w:t>
            </w:r>
          </w:p>
        </w:tc>
        <w:tc>
          <w:tcPr>
            <w:tcW w:w="1316" w:type="dxa"/>
            <w:noWrap/>
          </w:tcPr>
          <w:p w:rsidR="00B24E03" w:rsidRPr="00EC1AB2" w:rsidRDefault="00B24E03" w:rsidP="007A02A8">
            <w:pPr>
              <w:spacing w:after="0" w:line="360" w:lineRule="auto"/>
              <w:jc w:val="right"/>
              <w:rPr>
                <w:rFonts w:ascii="Times New Roman" w:eastAsia="MS Mincho" w:hAnsi="Times New Roman" w:cs="Times New Roman"/>
                <w:sz w:val="24"/>
                <w:szCs w:val="24"/>
              </w:rPr>
            </w:pPr>
            <w:r w:rsidRPr="00EC1AB2">
              <w:rPr>
                <w:rFonts w:ascii="Times New Roman" w:eastAsia="MS Mincho" w:hAnsi="Times New Roman" w:cs="Times New Roman"/>
                <w:sz w:val="24"/>
                <w:szCs w:val="24"/>
              </w:rPr>
              <w:t>1</w:t>
            </w:r>
          </w:p>
        </w:tc>
      </w:tr>
      <w:tr w:rsidR="00F25E1F" w:rsidRPr="00EC1AB2" w:rsidTr="00001704">
        <w:trPr>
          <w:trHeight w:val="270"/>
          <w:jc w:val="center"/>
        </w:trPr>
        <w:tc>
          <w:tcPr>
            <w:tcW w:w="1507" w:type="dxa"/>
            <w:noWrap/>
          </w:tcPr>
          <w:p w:rsidR="00B24E03" w:rsidRPr="00EC1AB2" w:rsidRDefault="00C16264" w:rsidP="007A02A8">
            <w:pPr>
              <w:spacing w:after="0" w:line="360" w:lineRule="auto"/>
              <w:rPr>
                <w:rFonts w:ascii="Times New Roman" w:eastAsia="MS Mincho" w:hAnsi="Times New Roman" w:cs="Times New Roman"/>
                <w:bCs/>
              </w:rPr>
            </w:pPr>
            <w:r w:rsidRPr="00EC1AB2">
              <w:rPr>
                <w:rFonts w:ascii="Times New Roman" w:eastAsia="MS Mincho" w:hAnsi="Times New Roman" w:cs="Times New Roman"/>
                <w:bCs/>
              </w:rPr>
              <w:t>Ekspertas</w:t>
            </w:r>
            <w:r w:rsidRPr="00EC1AB2">
              <w:rPr>
                <w:rFonts w:ascii="Times New Roman" w:eastAsia="MS Mincho" w:hAnsi="Times New Roman" w:cs="Times New Roman"/>
                <w:bCs/>
                <w:vertAlign w:val="subscript"/>
              </w:rPr>
              <w:t>5</w:t>
            </w:r>
          </w:p>
        </w:tc>
        <w:tc>
          <w:tcPr>
            <w:tcW w:w="1720" w:type="dxa"/>
            <w:noWrap/>
          </w:tcPr>
          <w:p w:rsidR="00B24E03" w:rsidRPr="00EC1AB2" w:rsidRDefault="00B24E03" w:rsidP="007A02A8">
            <w:pPr>
              <w:spacing w:after="0" w:line="360" w:lineRule="auto"/>
              <w:jc w:val="right"/>
              <w:rPr>
                <w:rFonts w:ascii="Times New Roman" w:eastAsia="MS Mincho" w:hAnsi="Times New Roman" w:cs="Times New Roman"/>
                <w:sz w:val="24"/>
                <w:szCs w:val="24"/>
              </w:rPr>
            </w:pPr>
            <w:r w:rsidRPr="00EC1AB2">
              <w:rPr>
                <w:rFonts w:ascii="Times New Roman" w:eastAsia="MS Mincho" w:hAnsi="Times New Roman" w:cs="Times New Roman"/>
                <w:sz w:val="24"/>
                <w:szCs w:val="24"/>
              </w:rPr>
              <w:t>1</w:t>
            </w:r>
          </w:p>
        </w:tc>
        <w:tc>
          <w:tcPr>
            <w:tcW w:w="1483" w:type="dxa"/>
            <w:noWrap/>
          </w:tcPr>
          <w:p w:rsidR="00B24E03" w:rsidRPr="00EC1AB2" w:rsidRDefault="00B24E03" w:rsidP="007A02A8">
            <w:pPr>
              <w:spacing w:after="0" w:line="360" w:lineRule="auto"/>
              <w:jc w:val="right"/>
              <w:rPr>
                <w:rFonts w:ascii="Times New Roman" w:eastAsia="MS Mincho" w:hAnsi="Times New Roman" w:cs="Times New Roman"/>
                <w:sz w:val="24"/>
                <w:szCs w:val="24"/>
              </w:rPr>
            </w:pPr>
            <w:r w:rsidRPr="00EC1AB2">
              <w:rPr>
                <w:rFonts w:ascii="Times New Roman" w:eastAsia="MS Mincho" w:hAnsi="Times New Roman" w:cs="Times New Roman"/>
                <w:sz w:val="24"/>
                <w:szCs w:val="24"/>
              </w:rPr>
              <w:t>3</w:t>
            </w:r>
          </w:p>
        </w:tc>
        <w:tc>
          <w:tcPr>
            <w:tcW w:w="1238" w:type="dxa"/>
            <w:noWrap/>
          </w:tcPr>
          <w:p w:rsidR="00B24E03" w:rsidRPr="00EC1AB2" w:rsidRDefault="00B24E03" w:rsidP="007A02A8">
            <w:pPr>
              <w:spacing w:after="0" w:line="360" w:lineRule="auto"/>
              <w:jc w:val="right"/>
              <w:rPr>
                <w:rFonts w:ascii="Times New Roman" w:eastAsia="MS Mincho" w:hAnsi="Times New Roman" w:cs="Times New Roman"/>
                <w:sz w:val="24"/>
                <w:szCs w:val="24"/>
              </w:rPr>
            </w:pPr>
            <w:r w:rsidRPr="00EC1AB2">
              <w:rPr>
                <w:rFonts w:ascii="Times New Roman" w:eastAsia="MS Mincho" w:hAnsi="Times New Roman" w:cs="Times New Roman"/>
                <w:sz w:val="24"/>
                <w:szCs w:val="24"/>
              </w:rPr>
              <w:t>2</w:t>
            </w:r>
          </w:p>
        </w:tc>
        <w:tc>
          <w:tcPr>
            <w:tcW w:w="1316" w:type="dxa"/>
            <w:noWrap/>
          </w:tcPr>
          <w:p w:rsidR="00B24E03" w:rsidRPr="00EC1AB2" w:rsidRDefault="00B24E03" w:rsidP="007A02A8">
            <w:pPr>
              <w:spacing w:after="0" w:line="360" w:lineRule="auto"/>
              <w:jc w:val="right"/>
              <w:rPr>
                <w:rFonts w:ascii="Times New Roman" w:eastAsia="MS Mincho" w:hAnsi="Times New Roman" w:cs="Times New Roman"/>
                <w:sz w:val="24"/>
                <w:szCs w:val="24"/>
              </w:rPr>
            </w:pPr>
            <w:r w:rsidRPr="00EC1AB2">
              <w:rPr>
                <w:rFonts w:ascii="Times New Roman" w:eastAsia="MS Mincho" w:hAnsi="Times New Roman" w:cs="Times New Roman"/>
                <w:sz w:val="24"/>
                <w:szCs w:val="24"/>
              </w:rPr>
              <w:t>4</w:t>
            </w:r>
          </w:p>
        </w:tc>
      </w:tr>
      <w:tr w:rsidR="00B24E03" w:rsidRPr="00EC1AB2" w:rsidTr="00001704">
        <w:trPr>
          <w:trHeight w:val="270"/>
          <w:jc w:val="center"/>
        </w:trPr>
        <w:tc>
          <w:tcPr>
            <w:tcW w:w="1507" w:type="dxa"/>
            <w:noWrap/>
          </w:tcPr>
          <w:p w:rsidR="00B24E03" w:rsidRPr="00EC1AB2" w:rsidRDefault="00B24E03" w:rsidP="007A02A8">
            <w:pPr>
              <w:spacing w:after="0" w:line="360" w:lineRule="auto"/>
              <w:rPr>
                <w:rFonts w:ascii="Times New Roman" w:eastAsia="MS Mincho" w:hAnsi="Times New Roman" w:cs="Times New Roman"/>
                <w:b/>
                <w:bCs/>
                <w:sz w:val="24"/>
                <w:szCs w:val="24"/>
              </w:rPr>
            </w:pPr>
            <w:r w:rsidRPr="00EC1AB2">
              <w:rPr>
                <w:rFonts w:ascii="Times New Roman" w:eastAsia="MS Mincho" w:hAnsi="Times New Roman" w:cs="Times New Roman"/>
                <w:b/>
                <w:bCs/>
                <w:sz w:val="24"/>
                <w:szCs w:val="24"/>
              </w:rPr>
              <w:t>Rangų suma</w:t>
            </w:r>
          </w:p>
        </w:tc>
        <w:tc>
          <w:tcPr>
            <w:tcW w:w="1720" w:type="dxa"/>
            <w:noWrap/>
          </w:tcPr>
          <w:p w:rsidR="00B24E03" w:rsidRPr="00EC1AB2" w:rsidRDefault="00B24E03" w:rsidP="007A02A8">
            <w:pPr>
              <w:spacing w:after="0" w:line="360" w:lineRule="auto"/>
              <w:jc w:val="right"/>
              <w:rPr>
                <w:rFonts w:ascii="Times New Roman" w:eastAsia="MS Mincho" w:hAnsi="Times New Roman" w:cs="Times New Roman"/>
                <w:b/>
                <w:sz w:val="24"/>
                <w:szCs w:val="24"/>
              </w:rPr>
            </w:pPr>
            <w:r w:rsidRPr="00EC1AB2">
              <w:rPr>
                <w:rFonts w:ascii="Times New Roman" w:eastAsia="MS Mincho" w:hAnsi="Times New Roman" w:cs="Times New Roman"/>
                <w:b/>
                <w:sz w:val="24"/>
                <w:szCs w:val="24"/>
              </w:rPr>
              <w:t>11</w:t>
            </w:r>
          </w:p>
        </w:tc>
        <w:tc>
          <w:tcPr>
            <w:tcW w:w="1483" w:type="dxa"/>
            <w:noWrap/>
          </w:tcPr>
          <w:p w:rsidR="00B24E03" w:rsidRPr="00EC1AB2" w:rsidRDefault="00B24E03" w:rsidP="007A02A8">
            <w:pPr>
              <w:spacing w:after="0" w:line="360" w:lineRule="auto"/>
              <w:jc w:val="right"/>
              <w:rPr>
                <w:rFonts w:ascii="Times New Roman" w:eastAsia="MS Mincho" w:hAnsi="Times New Roman" w:cs="Times New Roman"/>
                <w:b/>
                <w:sz w:val="24"/>
                <w:szCs w:val="24"/>
              </w:rPr>
            </w:pPr>
            <w:r w:rsidRPr="00EC1AB2">
              <w:rPr>
                <w:rFonts w:ascii="Times New Roman" w:eastAsia="MS Mincho" w:hAnsi="Times New Roman" w:cs="Times New Roman"/>
                <w:b/>
                <w:sz w:val="24"/>
                <w:szCs w:val="24"/>
              </w:rPr>
              <w:t>13</w:t>
            </w:r>
          </w:p>
        </w:tc>
        <w:tc>
          <w:tcPr>
            <w:tcW w:w="1238" w:type="dxa"/>
            <w:noWrap/>
          </w:tcPr>
          <w:p w:rsidR="00B24E03" w:rsidRPr="00EC1AB2" w:rsidRDefault="00B24E03" w:rsidP="007A02A8">
            <w:pPr>
              <w:spacing w:after="0" w:line="360" w:lineRule="auto"/>
              <w:jc w:val="right"/>
              <w:rPr>
                <w:rFonts w:ascii="Times New Roman" w:eastAsia="MS Mincho" w:hAnsi="Times New Roman" w:cs="Times New Roman"/>
                <w:b/>
                <w:sz w:val="24"/>
                <w:szCs w:val="24"/>
              </w:rPr>
            </w:pPr>
            <w:r w:rsidRPr="00EC1AB2">
              <w:rPr>
                <w:rFonts w:ascii="Times New Roman" w:eastAsia="MS Mincho" w:hAnsi="Times New Roman" w:cs="Times New Roman"/>
                <w:b/>
                <w:sz w:val="24"/>
                <w:szCs w:val="24"/>
              </w:rPr>
              <w:t>18</w:t>
            </w:r>
          </w:p>
        </w:tc>
        <w:tc>
          <w:tcPr>
            <w:tcW w:w="1316" w:type="dxa"/>
            <w:noWrap/>
          </w:tcPr>
          <w:p w:rsidR="00B24E03" w:rsidRPr="00EC1AB2" w:rsidRDefault="00B24E03" w:rsidP="007A02A8">
            <w:pPr>
              <w:spacing w:after="0" w:line="360" w:lineRule="auto"/>
              <w:jc w:val="right"/>
              <w:rPr>
                <w:rFonts w:ascii="Times New Roman" w:eastAsia="MS Mincho" w:hAnsi="Times New Roman" w:cs="Times New Roman"/>
                <w:b/>
                <w:sz w:val="24"/>
                <w:szCs w:val="24"/>
              </w:rPr>
            </w:pPr>
            <w:r w:rsidRPr="00EC1AB2">
              <w:rPr>
                <w:rFonts w:ascii="Times New Roman" w:eastAsia="MS Mincho" w:hAnsi="Times New Roman" w:cs="Times New Roman"/>
                <w:b/>
                <w:sz w:val="24"/>
                <w:szCs w:val="24"/>
              </w:rPr>
              <w:t>8</w:t>
            </w:r>
          </w:p>
        </w:tc>
      </w:tr>
    </w:tbl>
    <w:p w:rsidR="00B24E03" w:rsidRPr="00EC1AB2" w:rsidRDefault="00B24E03" w:rsidP="007A02A8">
      <w:pPr>
        <w:autoSpaceDE w:val="0"/>
        <w:autoSpaceDN w:val="0"/>
        <w:adjustRightInd w:val="0"/>
        <w:spacing w:after="0" w:line="360" w:lineRule="auto"/>
        <w:ind w:firstLine="1296"/>
        <w:jc w:val="both"/>
        <w:rPr>
          <w:rFonts w:ascii="Times New Roman" w:eastAsia="Times New Roman" w:hAnsi="Times New Roman" w:cs="Times New Roman"/>
          <w:sz w:val="24"/>
          <w:szCs w:val="24"/>
          <w:lang w:eastAsia="lt-LT"/>
        </w:rPr>
      </w:pPr>
    </w:p>
    <w:p w:rsidR="00BA7653" w:rsidRPr="00EC1AB2" w:rsidRDefault="0082517D" w:rsidP="007A02A8">
      <w:pPr>
        <w:autoSpaceDE w:val="0"/>
        <w:autoSpaceDN w:val="0"/>
        <w:adjustRightInd w:val="0"/>
        <w:spacing w:after="0" w:line="360" w:lineRule="auto"/>
        <w:ind w:firstLine="567"/>
        <w:jc w:val="both"/>
        <w:rPr>
          <w:rFonts w:ascii="Times New Roman" w:eastAsia="Times New Roman" w:hAnsi="Times New Roman" w:cs="Times New Roman"/>
          <w:sz w:val="20"/>
          <w:szCs w:val="20"/>
          <w:lang w:eastAsia="lt-LT"/>
        </w:rPr>
      </w:pPr>
      <w:r w:rsidRPr="00EC1AB2">
        <w:rPr>
          <w:rFonts w:ascii="Times New Roman" w:eastAsia="Times New Roman" w:hAnsi="Times New Roman" w:cs="Times New Roman"/>
          <w:b/>
          <w:sz w:val="20"/>
          <w:szCs w:val="20"/>
          <w:lang w:eastAsia="lt-LT"/>
        </w:rPr>
        <w:t>Šaltinis:</w:t>
      </w:r>
      <w:r w:rsidRPr="00EC1AB2">
        <w:rPr>
          <w:rFonts w:ascii="Times New Roman" w:eastAsia="Times New Roman" w:hAnsi="Times New Roman" w:cs="Times New Roman"/>
          <w:sz w:val="20"/>
          <w:szCs w:val="20"/>
          <w:lang w:eastAsia="lt-LT"/>
        </w:rPr>
        <w:t xml:space="preserve"> sudaryta darbo autorės</w:t>
      </w:r>
    </w:p>
    <w:p w:rsidR="00BA7653" w:rsidRPr="00EC1AB2" w:rsidRDefault="00BA7653" w:rsidP="007A02A8">
      <w:pPr>
        <w:autoSpaceDE w:val="0"/>
        <w:autoSpaceDN w:val="0"/>
        <w:adjustRightInd w:val="0"/>
        <w:spacing w:after="0" w:line="360" w:lineRule="auto"/>
        <w:ind w:firstLine="1296"/>
        <w:jc w:val="both"/>
        <w:rPr>
          <w:rFonts w:ascii="Times New Roman" w:eastAsia="Times New Roman" w:hAnsi="Times New Roman" w:cs="Times New Roman"/>
          <w:sz w:val="24"/>
          <w:szCs w:val="24"/>
          <w:lang w:eastAsia="lt-LT"/>
        </w:rPr>
      </w:pPr>
    </w:p>
    <w:p w:rsidR="00A54BC9" w:rsidRPr="00EC1AB2" w:rsidRDefault="00272CDD"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bCs/>
          <w:iCs/>
          <w:sz w:val="24"/>
          <w:szCs w:val="24"/>
        </w:rPr>
        <w:t xml:space="preserve">Siekiant </w:t>
      </w:r>
      <w:r w:rsidR="00C6448E" w:rsidRPr="00EC1AB2">
        <w:rPr>
          <w:rFonts w:ascii="Times New Roman" w:hAnsi="Times New Roman" w:cs="Times New Roman"/>
          <w:sz w:val="24"/>
          <w:szCs w:val="24"/>
        </w:rPr>
        <w:t xml:space="preserve">patikrinti ar ekspertų vertinimai dera tarpusavyje </w:t>
      </w:r>
      <w:r w:rsidR="005439B8" w:rsidRPr="00EC1AB2">
        <w:rPr>
          <w:rFonts w:ascii="Times New Roman" w:hAnsi="Times New Roman" w:cs="Times New Roman"/>
          <w:sz w:val="24"/>
          <w:szCs w:val="24"/>
        </w:rPr>
        <w:t xml:space="preserve">yra skaičiuojamas Kendall‘o </w:t>
      </w:r>
      <w:r w:rsidR="00A54BC9" w:rsidRPr="00EC1AB2">
        <w:rPr>
          <w:rFonts w:ascii="Times New Roman" w:hAnsi="Times New Roman" w:cs="Times New Roman"/>
          <w:sz w:val="24"/>
          <w:szCs w:val="24"/>
        </w:rPr>
        <w:t>konkorda</w:t>
      </w:r>
      <w:r w:rsidR="005439B8" w:rsidRPr="00EC1AB2">
        <w:rPr>
          <w:rFonts w:ascii="Times New Roman" w:hAnsi="Times New Roman" w:cs="Times New Roman"/>
          <w:sz w:val="24"/>
          <w:szCs w:val="24"/>
        </w:rPr>
        <w:t xml:space="preserve">cijos </w:t>
      </w:r>
      <w:r w:rsidR="00A54BC9" w:rsidRPr="00EC1AB2">
        <w:rPr>
          <w:rFonts w:ascii="Times New Roman" w:hAnsi="Times New Roman" w:cs="Times New Roman"/>
          <w:sz w:val="24"/>
          <w:szCs w:val="24"/>
        </w:rPr>
        <w:t xml:space="preserve">W </w:t>
      </w:r>
      <w:r w:rsidR="005439B8" w:rsidRPr="00EC1AB2">
        <w:rPr>
          <w:rFonts w:ascii="Times New Roman" w:hAnsi="Times New Roman" w:cs="Times New Roman"/>
          <w:sz w:val="24"/>
          <w:szCs w:val="24"/>
        </w:rPr>
        <w:t>koeficientas</w:t>
      </w:r>
      <w:r w:rsidR="00B404DF" w:rsidRPr="00EC1AB2">
        <w:rPr>
          <w:rFonts w:ascii="Times New Roman" w:hAnsi="Times New Roman" w:cs="Times New Roman"/>
          <w:sz w:val="24"/>
          <w:szCs w:val="24"/>
        </w:rPr>
        <w:t xml:space="preserve">. </w:t>
      </w:r>
      <w:r w:rsidR="003363EA" w:rsidRPr="00EC1AB2">
        <w:rPr>
          <w:rFonts w:ascii="Times New Roman" w:hAnsi="Times New Roman" w:cs="Times New Roman"/>
          <w:sz w:val="24"/>
          <w:szCs w:val="24"/>
        </w:rPr>
        <w:t>Konkordacijos koeficientas W kinta nuo 0 iki 1 (0&lt;W</w:t>
      </w:r>
      <w:r w:rsidR="00A54BC9" w:rsidRPr="00EC1AB2">
        <w:rPr>
          <w:rFonts w:ascii="Times New Roman" w:hAnsi="Times New Roman" w:cs="Times New Roman"/>
          <w:sz w:val="24"/>
          <w:szCs w:val="24"/>
        </w:rPr>
        <w:t>&lt;1). Koeficiento W reikšmė lygi</w:t>
      </w:r>
      <w:r w:rsidR="003363EA" w:rsidRPr="00EC1AB2">
        <w:rPr>
          <w:rFonts w:ascii="Times New Roman" w:hAnsi="Times New Roman" w:cs="Times New Roman"/>
          <w:sz w:val="24"/>
          <w:szCs w:val="24"/>
        </w:rPr>
        <w:t xml:space="preserve"> 0</w:t>
      </w:r>
      <w:r w:rsidR="00A54BC9" w:rsidRPr="00EC1AB2">
        <w:rPr>
          <w:rFonts w:ascii="Times New Roman" w:hAnsi="Times New Roman" w:cs="Times New Roman"/>
          <w:sz w:val="24"/>
          <w:szCs w:val="24"/>
        </w:rPr>
        <w:t>,</w:t>
      </w:r>
      <w:r w:rsidR="003363EA" w:rsidRPr="00EC1AB2">
        <w:rPr>
          <w:rFonts w:ascii="Times New Roman" w:hAnsi="Times New Roman" w:cs="Times New Roman"/>
          <w:sz w:val="24"/>
          <w:szCs w:val="24"/>
        </w:rPr>
        <w:t xml:space="preserve"> </w:t>
      </w:r>
      <w:r w:rsidR="00A54BC9" w:rsidRPr="00EC1AB2">
        <w:rPr>
          <w:rFonts w:ascii="Times New Roman" w:hAnsi="Times New Roman" w:cs="Times New Roman"/>
          <w:sz w:val="24"/>
          <w:szCs w:val="24"/>
        </w:rPr>
        <w:t xml:space="preserve">reiškia visišką nesuderinamumą, o reikšmė lygi </w:t>
      </w:r>
      <w:r w:rsidR="003363EA" w:rsidRPr="00EC1AB2">
        <w:rPr>
          <w:rFonts w:ascii="Times New Roman" w:hAnsi="Times New Roman" w:cs="Times New Roman"/>
          <w:sz w:val="24"/>
          <w:szCs w:val="24"/>
        </w:rPr>
        <w:t>1</w:t>
      </w:r>
      <w:r w:rsidR="00682454" w:rsidRPr="00EC1AB2">
        <w:rPr>
          <w:rFonts w:ascii="Times New Roman" w:hAnsi="Times New Roman" w:cs="Times New Roman"/>
          <w:sz w:val="24"/>
          <w:szCs w:val="24"/>
        </w:rPr>
        <w:t xml:space="preserve"> – </w:t>
      </w:r>
      <w:r w:rsidR="003363EA" w:rsidRPr="00EC1AB2">
        <w:rPr>
          <w:rFonts w:ascii="Times New Roman" w:hAnsi="Times New Roman" w:cs="Times New Roman"/>
          <w:sz w:val="24"/>
          <w:szCs w:val="24"/>
        </w:rPr>
        <w:t xml:space="preserve">pilną suderinamumą. </w:t>
      </w:r>
      <w:r w:rsidR="00A54BC9" w:rsidRPr="00EC1AB2">
        <w:rPr>
          <w:rFonts w:ascii="Times New Roman" w:hAnsi="Times New Roman" w:cs="Times New Roman"/>
          <w:sz w:val="24"/>
          <w:szCs w:val="24"/>
        </w:rPr>
        <w:t>Iškeliamos hipotezės:</w:t>
      </w:r>
    </w:p>
    <w:p w:rsidR="00A54BC9" w:rsidRPr="00EC1AB2" w:rsidRDefault="003363EA"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iCs/>
          <w:sz w:val="24"/>
          <w:szCs w:val="24"/>
        </w:rPr>
        <w:t>H</w:t>
      </w:r>
      <w:r w:rsidRPr="00EC1AB2">
        <w:rPr>
          <w:rFonts w:ascii="Times New Roman" w:hAnsi="Times New Roman" w:cs="Times New Roman"/>
          <w:iCs/>
          <w:sz w:val="24"/>
          <w:szCs w:val="24"/>
          <w:vertAlign w:val="subscript"/>
        </w:rPr>
        <w:t>0</w:t>
      </w:r>
      <w:r w:rsidR="00A54BC9" w:rsidRPr="00EC1AB2">
        <w:rPr>
          <w:rFonts w:ascii="Times New Roman" w:hAnsi="Times New Roman" w:cs="Times New Roman"/>
          <w:sz w:val="24"/>
          <w:szCs w:val="24"/>
        </w:rPr>
        <w:t xml:space="preserve"> – </w:t>
      </w:r>
      <w:r w:rsidRPr="00EC1AB2">
        <w:rPr>
          <w:rFonts w:ascii="Times New Roman" w:hAnsi="Times New Roman" w:cs="Times New Roman"/>
          <w:sz w:val="24"/>
          <w:szCs w:val="24"/>
        </w:rPr>
        <w:t>ekspert</w:t>
      </w:r>
      <w:r w:rsidR="00A54BC9" w:rsidRPr="00EC1AB2">
        <w:rPr>
          <w:rFonts w:ascii="Times New Roman" w:hAnsi="Times New Roman" w:cs="Times New Roman"/>
          <w:sz w:val="24"/>
          <w:szCs w:val="24"/>
        </w:rPr>
        <w:t>ų vertinimai prieštaringi (</w:t>
      </w:r>
      <w:r w:rsidRPr="00EC1AB2">
        <w:rPr>
          <w:rFonts w:ascii="Times New Roman" w:hAnsi="Times New Roman" w:cs="Times New Roman"/>
          <w:sz w:val="24"/>
          <w:szCs w:val="24"/>
        </w:rPr>
        <w:t xml:space="preserve">konkordancijos koeficientas </w:t>
      </w:r>
      <w:r w:rsidR="00A54BC9" w:rsidRPr="00EC1AB2">
        <w:rPr>
          <w:rFonts w:ascii="Times New Roman" w:hAnsi="Times New Roman" w:cs="Times New Roman"/>
          <w:sz w:val="24"/>
          <w:szCs w:val="24"/>
        </w:rPr>
        <w:t>lygus 0</w:t>
      </w:r>
      <w:r w:rsidRPr="00EC1AB2">
        <w:rPr>
          <w:rFonts w:ascii="Times New Roman" w:hAnsi="Times New Roman" w:cs="Times New Roman"/>
          <w:sz w:val="24"/>
          <w:szCs w:val="24"/>
        </w:rPr>
        <w:t>);</w:t>
      </w:r>
    </w:p>
    <w:p w:rsidR="00757D36" w:rsidRPr="00EC1AB2" w:rsidRDefault="003363EA"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iCs/>
          <w:sz w:val="24"/>
          <w:szCs w:val="24"/>
        </w:rPr>
        <w:t>H</w:t>
      </w:r>
      <w:r w:rsidR="00A54BC9" w:rsidRPr="00EC1AB2">
        <w:rPr>
          <w:rFonts w:ascii="Times New Roman" w:hAnsi="Times New Roman" w:cs="Times New Roman"/>
          <w:iCs/>
          <w:sz w:val="24"/>
          <w:szCs w:val="24"/>
          <w:vertAlign w:val="subscript"/>
        </w:rPr>
        <w:t>1</w:t>
      </w:r>
      <w:r w:rsidR="00A54BC9" w:rsidRPr="00EC1AB2">
        <w:rPr>
          <w:rFonts w:ascii="Times New Roman" w:hAnsi="Times New Roman" w:cs="Times New Roman"/>
          <w:sz w:val="24"/>
          <w:szCs w:val="24"/>
        </w:rPr>
        <w:t xml:space="preserve"> – </w:t>
      </w:r>
      <w:r w:rsidRPr="00EC1AB2">
        <w:rPr>
          <w:rFonts w:ascii="Times New Roman" w:hAnsi="Times New Roman" w:cs="Times New Roman"/>
          <w:sz w:val="24"/>
          <w:szCs w:val="24"/>
        </w:rPr>
        <w:t>ek</w:t>
      </w:r>
      <w:r w:rsidR="00A54BC9" w:rsidRPr="00EC1AB2">
        <w:rPr>
          <w:rFonts w:ascii="Times New Roman" w:hAnsi="Times New Roman" w:cs="Times New Roman"/>
          <w:sz w:val="24"/>
          <w:szCs w:val="24"/>
        </w:rPr>
        <w:t>spertų vertinimai panašūs (</w:t>
      </w:r>
      <w:r w:rsidRPr="00EC1AB2">
        <w:rPr>
          <w:rFonts w:ascii="Times New Roman" w:hAnsi="Times New Roman" w:cs="Times New Roman"/>
          <w:sz w:val="24"/>
          <w:szCs w:val="24"/>
        </w:rPr>
        <w:t xml:space="preserve">konkordancijos koeficientas </w:t>
      </w:r>
      <w:r w:rsidR="00A54BC9" w:rsidRPr="00EC1AB2">
        <w:rPr>
          <w:rFonts w:ascii="Times New Roman" w:hAnsi="Times New Roman" w:cs="Times New Roman"/>
          <w:sz w:val="24"/>
          <w:szCs w:val="24"/>
        </w:rPr>
        <w:t>nelygus</w:t>
      </w:r>
      <w:r w:rsidRPr="00EC1AB2">
        <w:rPr>
          <w:rFonts w:ascii="Times New Roman" w:hAnsi="Times New Roman" w:cs="Times New Roman"/>
          <w:sz w:val="24"/>
          <w:szCs w:val="24"/>
        </w:rPr>
        <w:t>)</w:t>
      </w:r>
      <w:r w:rsidR="00A54BC9" w:rsidRPr="00EC1AB2">
        <w:rPr>
          <w:rFonts w:ascii="Times New Roman" w:hAnsi="Times New Roman" w:cs="Times New Roman"/>
          <w:sz w:val="24"/>
          <w:szCs w:val="24"/>
        </w:rPr>
        <w:t>.</w:t>
      </w:r>
    </w:p>
    <w:p w:rsidR="0016099D" w:rsidRPr="00EC1AB2" w:rsidRDefault="00687EE4" w:rsidP="007A02A8">
      <w:pPr>
        <w:autoSpaceDE w:val="0"/>
        <w:autoSpaceDN w:val="0"/>
        <w:adjustRightInd w:val="0"/>
        <w:spacing w:after="0" w:line="360" w:lineRule="auto"/>
        <w:ind w:firstLine="567"/>
        <w:jc w:val="both"/>
        <w:rPr>
          <w:rFonts w:ascii="Times New Roman" w:hAnsi="Times New Roman" w:cs="Times New Roman"/>
          <w:bCs/>
          <w:iCs/>
          <w:sz w:val="24"/>
          <w:szCs w:val="24"/>
        </w:rPr>
      </w:pPr>
      <w:r w:rsidRPr="00EC1AB2">
        <w:rPr>
          <w:rFonts w:ascii="Times New Roman" w:hAnsi="Times New Roman" w:cs="Times New Roman"/>
          <w:sz w:val="24"/>
          <w:szCs w:val="24"/>
        </w:rPr>
        <w:t xml:space="preserve">Naudojantis </w:t>
      </w:r>
      <w:r w:rsidR="001533B0" w:rsidRPr="00EC1AB2">
        <w:rPr>
          <w:rFonts w:ascii="Times New Roman" w:hAnsi="Times New Roman" w:cs="Times New Roman"/>
          <w:sz w:val="24"/>
          <w:szCs w:val="24"/>
        </w:rPr>
        <w:t>SPSS programa</w:t>
      </w:r>
      <w:r w:rsidRPr="00EC1AB2">
        <w:rPr>
          <w:rFonts w:ascii="Times New Roman" w:hAnsi="Times New Roman" w:cs="Times New Roman"/>
          <w:sz w:val="24"/>
          <w:szCs w:val="24"/>
        </w:rPr>
        <w:t xml:space="preserve"> </w:t>
      </w:r>
      <w:r w:rsidR="00C6448E" w:rsidRPr="00EC1AB2">
        <w:rPr>
          <w:rFonts w:ascii="Times New Roman" w:hAnsi="Times New Roman" w:cs="Times New Roman"/>
          <w:sz w:val="24"/>
          <w:szCs w:val="24"/>
        </w:rPr>
        <w:t xml:space="preserve">apskaičiuojamas </w:t>
      </w:r>
      <w:r w:rsidR="00F06375" w:rsidRPr="00EC1AB2">
        <w:rPr>
          <w:rFonts w:ascii="Times New Roman" w:hAnsi="Times New Roman" w:cs="Times New Roman"/>
          <w:sz w:val="24"/>
          <w:szCs w:val="24"/>
        </w:rPr>
        <w:t>W</w:t>
      </w:r>
      <w:r w:rsidR="00C6448E" w:rsidRPr="00EC1AB2">
        <w:rPr>
          <w:rFonts w:ascii="Times New Roman" w:hAnsi="Times New Roman" w:cs="Times New Roman"/>
          <w:sz w:val="24"/>
          <w:szCs w:val="24"/>
        </w:rPr>
        <w:t xml:space="preserve"> koeficientas</w:t>
      </w:r>
      <w:r w:rsidR="00551F76" w:rsidRPr="00EC1AB2">
        <w:rPr>
          <w:rFonts w:ascii="Times New Roman" w:hAnsi="Times New Roman" w:cs="Times New Roman"/>
          <w:bCs/>
          <w:iCs/>
          <w:sz w:val="24"/>
          <w:szCs w:val="24"/>
        </w:rPr>
        <w:t>.</w:t>
      </w:r>
      <w:r w:rsidR="00707C8C" w:rsidRPr="00EC1AB2">
        <w:rPr>
          <w:rFonts w:ascii="Times New Roman" w:hAnsi="Times New Roman" w:cs="Times New Roman"/>
          <w:bCs/>
          <w:iCs/>
          <w:sz w:val="24"/>
          <w:szCs w:val="24"/>
        </w:rPr>
        <w:t xml:space="preserve"> </w:t>
      </w:r>
    </w:p>
    <w:p w:rsidR="00BA7653" w:rsidRPr="00EC1AB2" w:rsidRDefault="00BA7653" w:rsidP="007A02A8">
      <w:pPr>
        <w:autoSpaceDE w:val="0"/>
        <w:autoSpaceDN w:val="0"/>
        <w:adjustRightInd w:val="0"/>
        <w:spacing w:after="0" w:line="360" w:lineRule="auto"/>
        <w:ind w:firstLine="1296"/>
        <w:jc w:val="both"/>
        <w:rPr>
          <w:rFonts w:ascii="Times New Roman" w:eastAsia="Times New Roman" w:hAnsi="Times New Roman" w:cs="Times New Roman"/>
          <w:sz w:val="24"/>
          <w:szCs w:val="24"/>
          <w:lang w:eastAsia="lt-LT"/>
        </w:rPr>
      </w:pPr>
    </w:p>
    <w:p w:rsidR="00707C8C" w:rsidRPr="00EC1AB2" w:rsidRDefault="0016099D" w:rsidP="007A02A8">
      <w:pPr>
        <w:pStyle w:val="Heading4"/>
        <w:spacing w:before="0" w:line="360" w:lineRule="auto"/>
        <w:jc w:val="center"/>
        <w:rPr>
          <w:rFonts w:ascii="Times New Roman" w:eastAsia="Times New Roman" w:hAnsi="Times New Roman" w:cs="Times New Roman"/>
          <w:i w:val="0"/>
          <w:color w:val="auto"/>
          <w:sz w:val="24"/>
          <w:szCs w:val="24"/>
          <w:lang w:eastAsia="lt-LT"/>
        </w:rPr>
      </w:pPr>
      <w:bookmarkStart w:id="184" w:name="_Toc320761938"/>
      <w:bookmarkStart w:id="185" w:name="_Toc320762173"/>
      <w:bookmarkStart w:id="186" w:name="_Toc320762576"/>
      <w:r w:rsidRPr="00EC1AB2">
        <w:rPr>
          <w:rFonts w:ascii="Times New Roman" w:eastAsia="Times New Roman" w:hAnsi="Times New Roman" w:cs="Times New Roman"/>
          <w:b w:val="0"/>
          <w:i w:val="0"/>
          <w:color w:val="auto"/>
          <w:sz w:val="24"/>
          <w:szCs w:val="24"/>
          <w:lang w:eastAsia="lt-LT"/>
        </w:rPr>
        <w:t>8</w:t>
      </w:r>
      <w:r w:rsidR="008951E9" w:rsidRPr="00EC1AB2">
        <w:rPr>
          <w:rFonts w:ascii="Times New Roman" w:eastAsia="Times New Roman" w:hAnsi="Times New Roman" w:cs="Times New Roman"/>
          <w:b w:val="0"/>
          <w:i w:val="0"/>
          <w:color w:val="auto"/>
          <w:sz w:val="24"/>
          <w:szCs w:val="24"/>
          <w:lang w:eastAsia="lt-LT"/>
        </w:rPr>
        <w:t xml:space="preserve"> lentelė.</w:t>
      </w:r>
      <w:r w:rsidR="008951E9" w:rsidRPr="00EC1AB2">
        <w:rPr>
          <w:rFonts w:ascii="Times New Roman" w:eastAsia="Times New Roman" w:hAnsi="Times New Roman" w:cs="Times New Roman"/>
          <w:i w:val="0"/>
          <w:color w:val="auto"/>
          <w:sz w:val="24"/>
          <w:szCs w:val="24"/>
          <w:lang w:eastAsia="lt-LT"/>
        </w:rPr>
        <w:t xml:space="preserve"> Ekspertų </w:t>
      </w:r>
      <w:r w:rsidR="00D434D6" w:rsidRPr="00EC1AB2">
        <w:rPr>
          <w:rFonts w:ascii="Times New Roman" w:eastAsia="Times New Roman" w:hAnsi="Times New Roman" w:cs="Times New Roman"/>
          <w:i w:val="0"/>
          <w:color w:val="auto"/>
          <w:sz w:val="24"/>
          <w:szCs w:val="24"/>
          <w:lang w:eastAsia="lt-LT"/>
        </w:rPr>
        <w:t>vertinimo rangų vidurkiai</w:t>
      </w:r>
      <w:bookmarkEnd w:id="184"/>
      <w:bookmarkEnd w:id="185"/>
      <w:bookmarkEnd w:id="186"/>
    </w:p>
    <w:p w:rsidR="00D434D6" w:rsidRPr="00EC1AB2" w:rsidRDefault="00D434D6" w:rsidP="007A02A8">
      <w:pPr>
        <w:pStyle w:val="Heading4"/>
        <w:spacing w:before="0" w:line="360" w:lineRule="auto"/>
        <w:jc w:val="center"/>
        <w:rPr>
          <w:rFonts w:ascii="Times New Roman" w:eastAsia="Times New Roman" w:hAnsi="Times New Roman" w:cs="Times New Roman"/>
          <w:i w:val="0"/>
          <w:color w:val="auto"/>
          <w:sz w:val="24"/>
          <w:szCs w:val="24"/>
          <w:lang w:eastAsia="lt-LT"/>
        </w:rPr>
      </w:pPr>
    </w:p>
    <w:tbl>
      <w:tblPr>
        <w:tblW w:w="0" w:type="auto"/>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000" w:firstRow="0" w:lastRow="0" w:firstColumn="0" w:lastColumn="0" w:noHBand="0" w:noVBand="0"/>
      </w:tblPr>
      <w:tblGrid>
        <w:gridCol w:w="4324"/>
        <w:gridCol w:w="4968"/>
      </w:tblGrid>
      <w:tr w:rsidR="00F25E1F" w:rsidRPr="00EC1AB2" w:rsidTr="003D55B3">
        <w:trPr>
          <w:trHeight w:val="273"/>
          <w:jc w:val="center"/>
        </w:trPr>
        <w:tc>
          <w:tcPr>
            <w:tcW w:w="4324" w:type="dxa"/>
            <w:shd w:val="clear" w:color="000000" w:fill="FFFFFF"/>
            <w:vAlign w:val="bottom"/>
          </w:tcPr>
          <w:p w:rsidR="00707C8C" w:rsidRPr="00EC1AB2" w:rsidRDefault="00707C8C" w:rsidP="007A02A8">
            <w:pPr>
              <w:autoSpaceDE w:val="0"/>
              <w:autoSpaceDN w:val="0"/>
              <w:adjustRightInd w:val="0"/>
              <w:spacing w:after="0" w:line="360" w:lineRule="auto"/>
              <w:jc w:val="center"/>
              <w:rPr>
                <w:rFonts w:ascii="Times New Roman" w:hAnsi="Times New Roman" w:cs="Times New Roman"/>
                <w:sz w:val="24"/>
                <w:szCs w:val="24"/>
              </w:rPr>
            </w:pPr>
          </w:p>
        </w:tc>
        <w:tc>
          <w:tcPr>
            <w:tcW w:w="4968" w:type="dxa"/>
            <w:shd w:val="clear" w:color="000000" w:fill="FFFFFF"/>
            <w:vAlign w:val="bottom"/>
          </w:tcPr>
          <w:p w:rsidR="00707C8C" w:rsidRPr="00EC1AB2" w:rsidRDefault="00D434D6" w:rsidP="007A02A8">
            <w:pPr>
              <w:autoSpaceDE w:val="0"/>
              <w:autoSpaceDN w:val="0"/>
              <w:adjustRightInd w:val="0"/>
              <w:spacing w:after="0" w:line="360" w:lineRule="auto"/>
              <w:jc w:val="center"/>
              <w:rPr>
                <w:rFonts w:ascii="Times New Roman" w:hAnsi="Times New Roman" w:cs="Times New Roman"/>
                <w:sz w:val="24"/>
                <w:szCs w:val="24"/>
              </w:rPr>
            </w:pPr>
            <w:r w:rsidRPr="00EC1AB2">
              <w:rPr>
                <w:rFonts w:ascii="Times New Roman" w:hAnsi="Times New Roman" w:cs="Times New Roman"/>
                <w:sz w:val="24"/>
                <w:szCs w:val="24"/>
              </w:rPr>
              <w:t>Rangų vidurkis</w:t>
            </w:r>
          </w:p>
        </w:tc>
      </w:tr>
      <w:tr w:rsidR="00F25E1F" w:rsidRPr="00EC1AB2" w:rsidTr="003D55B3">
        <w:trPr>
          <w:trHeight w:val="504"/>
          <w:jc w:val="center"/>
        </w:trPr>
        <w:tc>
          <w:tcPr>
            <w:tcW w:w="4324" w:type="dxa"/>
            <w:shd w:val="clear" w:color="000000" w:fill="FFFFFF"/>
          </w:tcPr>
          <w:p w:rsidR="00707C8C" w:rsidRPr="00EC1AB2" w:rsidRDefault="00857B38" w:rsidP="007A02A8">
            <w:pPr>
              <w:autoSpaceDE w:val="0"/>
              <w:autoSpaceDN w:val="0"/>
              <w:adjustRightInd w:val="0"/>
              <w:spacing w:after="0" w:line="360" w:lineRule="auto"/>
              <w:rPr>
                <w:rFonts w:ascii="Times New Roman" w:hAnsi="Times New Roman" w:cs="Times New Roman"/>
                <w:sz w:val="18"/>
                <w:szCs w:val="18"/>
              </w:rPr>
            </w:pPr>
            <w:r w:rsidRPr="00EC1AB2">
              <w:rPr>
                <w:rFonts w:ascii="Times New Roman" w:eastAsia="Times New Roman" w:hAnsi="Times New Roman" w:cs="Times New Roman"/>
                <w:sz w:val="18"/>
                <w:szCs w:val="18"/>
                <w:lang w:eastAsia="lt-LT"/>
              </w:rPr>
              <w:t>Mažas VP rinkos efektyvumas</w:t>
            </w:r>
          </w:p>
        </w:tc>
        <w:tc>
          <w:tcPr>
            <w:tcW w:w="4968" w:type="dxa"/>
            <w:shd w:val="clear" w:color="000000" w:fill="FFFFFF"/>
            <w:vAlign w:val="center"/>
          </w:tcPr>
          <w:p w:rsidR="00707C8C" w:rsidRPr="00EC1AB2" w:rsidRDefault="00707C8C" w:rsidP="007A02A8">
            <w:pPr>
              <w:autoSpaceDE w:val="0"/>
              <w:autoSpaceDN w:val="0"/>
              <w:adjustRightInd w:val="0"/>
              <w:spacing w:after="0" w:line="360" w:lineRule="auto"/>
              <w:jc w:val="center"/>
              <w:rPr>
                <w:rFonts w:ascii="Times New Roman" w:hAnsi="Times New Roman" w:cs="Times New Roman"/>
                <w:sz w:val="24"/>
                <w:szCs w:val="24"/>
              </w:rPr>
            </w:pPr>
            <w:r w:rsidRPr="00EC1AB2">
              <w:rPr>
                <w:rFonts w:ascii="Times New Roman" w:hAnsi="Times New Roman" w:cs="Times New Roman"/>
                <w:sz w:val="24"/>
                <w:szCs w:val="24"/>
              </w:rPr>
              <w:t>2,80</w:t>
            </w:r>
          </w:p>
        </w:tc>
      </w:tr>
      <w:tr w:rsidR="00F25E1F" w:rsidRPr="00EC1AB2" w:rsidTr="003D55B3">
        <w:trPr>
          <w:trHeight w:val="504"/>
          <w:jc w:val="center"/>
        </w:trPr>
        <w:tc>
          <w:tcPr>
            <w:tcW w:w="4324" w:type="dxa"/>
            <w:shd w:val="clear" w:color="000000" w:fill="FFFFFF"/>
          </w:tcPr>
          <w:p w:rsidR="00707C8C" w:rsidRPr="00EC1AB2" w:rsidRDefault="00C966C8" w:rsidP="007A02A8">
            <w:pPr>
              <w:autoSpaceDE w:val="0"/>
              <w:autoSpaceDN w:val="0"/>
              <w:adjustRightInd w:val="0"/>
              <w:spacing w:after="0" w:line="360" w:lineRule="auto"/>
              <w:rPr>
                <w:rFonts w:ascii="Times New Roman" w:hAnsi="Times New Roman" w:cs="Times New Roman"/>
                <w:sz w:val="18"/>
                <w:szCs w:val="18"/>
              </w:rPr>
            </w:pPr>
            <w:r w:rsidRPr="00EC1AB2">
              <w:rPr>
                <w:rFonts w:ascii="Times New Roman" w:eastAsia="Times New Roman" w:hAnsi="Times New Roman" w:cs="Times New Roman"/>
                <w:sz w:val="18"/>
                <w:szCs w:val="18"/>
                <w:lang w:eastAsia="lt-LT"/>
              </w:rPr>
              <w:t>Mokestinių lengvatų jaunoms technologinėms įmonėms nebuvimas</w:t>
            </w:r>
          </w:p>
        </w:tc>
        <w:tc>
          <w:tcPr>
            <w:tcW w:w="4968" w:type="dxa"/>
            <w:shd w:val="clear" w:color="000000" w:fill="FFFFFF"/>
            <w:vAlign w:val="center"/>
          </w:tcPr>
          <w:p w:rsidR="00707C8C" w:rsidRPr="00EC1AB2" w:rsidRDefault="00707C8C" w:rsidP="007A02A8">
            <w:pPr>
              <w:autoSpaceDE w:val="0"/>
              <w:autoSpaceDN w:val="0"/>
              <w:adjustRightInd w:val="0"/>
              <w:spacing w:after="0" w:line="360" w:lineRule="auto"/>
              <w:jc w:val="center"/>
              <w:rPr>
                <w:rFonts w:ascii="Times New Roman" w:hAnsi="Times New Roman" w:cs="Times New Roman"/>
                <w:sz w:val="24"/>
                <w:szCs w:val="24"/>
              </w:rPr>
            </w:pPr>
            <w:r w:rsidRPr="00EC1AB2">
              <w:rPr>
                <w:rFonts w:ascii="Times New Roman" w:hAnsi="Times New Roman" w:cs="Times New Roman"/>
                <w:sz w:val="24"/>
                <w:szCs w:val="24"/>
              </w:rPr>
              <w:t>2,20</w:t>
            </w:r>
          </w:p>
        </w:tc>
      </w:tr>
      <w:tr w:rsidR="00F25E1F" w:rsidRPr="00EC1AB2" w:rsidTr="003D55B3">
        <w:trPr>
          <w:trHeight w:val="734"/>
          <w:jc w:val="center"/>
        </w:trPr>
        <w:tc>
          <w:tcPr>
            <w:tcW w:w="4324" w:type="dxa"/>
            <w:shd w:val="clear" w:color="000000" w:fill="FFFFFF"/>
          </w:tcPr>
          <w:p w:rsidR="00707C8C" w:rsidRPr="00EC1AB2" w:rsidRDefault="00C966C8" w:rsidP="007A02A8">
            <w:pPr>
              <w:autoSpaceDE w:val="0"/>
              <w:autoSpaceDN w:val="0"/>
              <w:adjustRightInd w:val="0"/>
              <w:spacing w:after="0" w:line="360" w:lineRule="auto"/>
              <w:rPr>
                <w:rFonts w:ascii="Times New Roman" w:hAnsi="Times New Roman" w:cs="Times New Roman"/>
                <w:sz w:val="18"/>
                <w:szCs w:val="18"/>
              </w:rPr>
            </w:pPr>
            <w:r w:rsidRPr="00EC1AB2">
              <w:rPr>
                <w:rFonts w:ascii="Times New Roman" w:eastAsia="Times New Roman" w:hAnsi="Times New Roman" w:cs="Times New Roman"/>
                <w:sz w:val="18"/>
                <w:szCs w:val="18"/>
                <w:lang w:eastAsia="lt-LT"/>
              </w:rPr>
              <w:t>Maža technologinių inovacijų sklaida</w:t>
            </w:r>
          </w:p>
        </w:tc>
        <w:tc>
          <w:tcPr>
            <w:tcW w:w="4968" w:type="dxa"/>
            <w:shd w:val="clear" w:color="000000" w:fill="FFFFFF"/>
            <w:vAlign w:val="center"/>
          </w:tcPr>
          <w:p w:rsidR="00707C8C" w:rsidRPr="00EC1AB2" w:rsidRDefault="00707C8C" w:rsidP="007A02A8">
            <w:pPr>
              <w:autoSpaceDE w:val="0"/>
              <w:autoSpaceDN w:val="0"/>
              <w:adjustRightInd w:val="0"/>
              <w:spacing w:after="0" w:line="360" w:lineRule="auto"/>
              <w:jc w:val="center"/>
              <w:rPr>
                <w:rFonts w:ascii="Times New Roman" w:hAnsi="Times New Roman" w:cs="Times New Roman"/>
                <w:sz w:val="24"/>
                <w:szCs w:val="24"/>
              </w:rPr>
            </w:pPr>
            <w:r w:rsidRPr="00EC1AB2">
              <w:rPr>
                <w:rFonts w:ascii="Times New Roman" w:hAnsi="Times New Roman" w:cs="Times New Roman"/>
                <w:sz w:val="24"/>
                <w:szCs w:val="24"/>
              </w:rPr>
              <w:t>4,00</w:t>
            </w:r>
          </w:p>
        </w:tc>
      </w:tr>
      <w:tr w:rsidR="00F25E1F" w:rsidRPr="00EC1AB2" w:rsidTr="003D55B3">
        <w:trPr>
          <w:trHeight w:val="504"/>
          <w:jc w:val="center"/>
        </w:trPr>
        <w:tc>
          <w:tcPr>
            <w:tcW w:w="4324" w:type="dxa"/>
            <w:shd w:val="clear" w:color="000000" w:fill="FFFFFF"/>
          </w:tcPr>
          <w:p w:rsidR="00707C8C" w:rsidRPr="00EC1AB2" w:rsidRDefault="00C966C8" w:rsidP="007A02A8">
            <w:pPr>
              <w:autoSpaceDE w:val="0"/>
              <w:autoSpaceDN w:val="0"/>
              <w:adjustRightInd w:val="0"/>
              <w:spacing w:after="0" w:line="360" w:lineRule="auto"/>
              <w:rPr>
                <w:rFonts w:ascii="Times New Roman" w:hAnsi="Times New Roman" w:cs="Times New Roman"/>
                <w:sz w:val="18"/>
                <w:szCs w:val="18"/>
              </w:rPr>
            </w:pPr>
            <w:r w:rsidRPr="00EC1AB2">
              <w:rPr>
                <w:rFonts w:ascii="Times New Roman" w:eastAsia="Times New Roman" w:hAnsi="Times New Roman" w:cs="Times New Roman"/>
                <w:sz w:val="18"/>
                <w:szCs w:val="18"/>
                <w:lang w:eastAsia="lt-LT"/>
              </w:rPr>
              <w:t>Mažas pensijų fondų ir draudimo įmonių dalyvavimas formuojant rizikos kapitalo investicijas</w:t>
            </w:r>
          </w:p>
        </w:tc>
        <w:tc>
          <w:tcPr>
            <w:tcW w:w="4968" w:type="dxa"/>
            <w:shd w:val="clear" w:color="000000" w:fill="FFFFFF"/>
            <w:vAlign w:val="center"/>
          </w:tcPr>
          <w:p w:rsidR="00707C8C" w:rsidRPr="00EC1AB2" w:rsidRDefault="00707C8C" w:rsidP="007A02A8">
            <w:pPr>
              <w:autoSpaceDE w:val="0"/>
              <w:autoSpaceDN w:val="0"/>
              <w:adjustRightInd w:val="0"/>
              <w:spacing w:after="0" w:line="360" w:lineRule="auto"/>
              <w:jc w:val="center"/>
              <w:rPr>
                <w:rFonts w:ascii="Times New Roman" w:hAnsi="Times New Roman" w:cs="Times New Roman"/>
                <w:sz w:val="24"/>
                <w:szCs w:val="24"/>
              </w:rPr>
            </w:pPr>
            <w:r w:rsidRPr="00EC1AB2">
              <w:rPr>
                <w:rFonts w:ascii="Times New Roman" w:hAnsi="Times New Roman" w:cs="Times New Roman"/>
                <w:sz w:val="24"/>
                <w:szCs w:val="24"/>
              </w:rPr>
              <w:t>1,00</w:t>
            </w:r>
          </w:p>
        </w:tc>
      </w:tr>
    </w:tbl>
    <w:p w:rsidR="0016099D" w:rsidRPr="00EC1AB2" w:rsidRDefault="0016099D" w:rsidP="007A02A8">
      <w:pPr>
        <w:autoSpaceDE w:val="0"/>
        <w:autoSpaceDN w:val="0"/>
        <w:adjustRightInd w:val="0"/>
        <w:spacing w:after="0" w:line="360" w:lineRule="auto"/>
        <w:rPr>
          <w:rFonts w:ascii="Times New Roman" w:hAnsi="Times New Roman" w:cs="Times New Roman"/>
          <w:sz w:val="24"/>
          <w:szCs w:val="24"/>
        </w:rPr>
      </w:pPr>
    </w:p>
    <w:p w:rsidR="003E52FD" w:rsidRPr="00EC1AB2" w:rsidRDefault="003E52FD" w:rsidP="007A02A8">
      <w:pPr>
        <w:autoSpaceDE w:val="0"/>
        <w:autoSpaceDN w:val="0"/>
        <w:adjustRightInd w:val="0"/>
        <w:spacing w:after="0" w:line="360" w:lineRule="auto"/>
        <w:ind w:firstLine="567"/>
        <w:rPr>
          <w:rFonts w:ascii="Times New Roman" w:hAnsi="Times New Roman" w:cs="Times New Roman"/>
          <w:sz w:val="20"/>
          <w:szCs w:val="20"/>
        </w:rPr>
      </w:pPr>
      <w:r w:rsidRPr="00EC1AB2">
        <w:rPr>
          <w:rFonts w:ascii="Times New Roman" w:hAnsi="Times New Roman" w:cs="Times New Roman"/>
          <w:b/>
          <w:sz w:val="20"/>
          <w:szCs w:val="20"/>
        </w:rPr>
        <w:t>Šaltinis:</w:t>
      </w:r>
      <w:r w:rsidRPr="00EC1AB2">
        <w:rPr>
          <w:rFonts w:ascii="Times New Roman" w:hAnsi="Times New Roman" w:cs="Times New Roman"/>
          <w:sz w:val="20"/>
          <w:szCs w:val="20"/>
        </w:rPr>
        <w:t xml:space="preserve"> sudaryta darbo autorės</w:t>
      </w:r>
    </w:p>
    <w:p w:rsidR="003E52FD" w:rsidRPr="00EC1AB2" w:rsidRDefault="003E52FD" w:rsidP="007A02A8">
      <w:pPr>
        <w:autoSpaceDE w:val="0"/>
        <w:autoSpaceDN w:val="0"/>
        <w:adjustRightInd w:val="0"/>
        <w:spacing w:after="0" w:line="360" w:lineRule="auto"/>
        <w:jc w:val="both"/>
        <w:rPr>
          <w:rFonts w:ascii="Times New Roman" w:hAnsi="Times New Roman" w:cs="Times New Roman"/>
          <w:sz w:val="24"/>
          <w:szCs w:val="24"/>
        </w:rPr>
      </w:pPr>
    </w:p>
    <w:p w:rsidR="00DA7897" w:rsidRPr="00EC1AB2" w:rsidRDefault="003E52FD" w:rsidP="007A02A8">
      <w:pPr>
        <w:autoSpaceDE w:val="0"/>
        <w:autoSpaceDN w:val="0"/>
        <w:adjustRightInd w:val="0"/>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Iš </w:t>
      </w:r>
      <w:r w:rsidR="0016099D" w:rsidRPr="00EC1AB2">
        <w:rPr>
          <w:rFonts w:ascii="Times New Roman" w:hAnsi="Times New Roman" w:cs="Times New Roman"/>
          <w:sz w:val="24"/>
          <w:szCs w:val="24"/>
        </w:rPr>
        <w:t>8</w:t>
      </w:r>
      <w:r w:rsidRPr="00EC1AB2">
        <w:rPr>
          <w:rFonts w:ascii="Times New Roman" w:hAnsi="Times New Roman" w:cs="Times New Roman"/>
          <w:sz w:val="24"/>
          <w:szCs w:val="24"/>
        </w:rPr>
        <w:t xml:space="preserve"> lentelėje pateiktų duomenų matyti, kad tyrime dalyvavę ekspertai teigė, jog labiaus</w:t>
      </w:r>
      <w:r w:rsidR="00CF0B13" w:rsidRPr="00EC1AB2">
        <w:rPr>
          <w:rFonts w:ascii="Times New Roman" w:hAnsi="Times New Roman" w:cs="Times New Roman"/>
          <w:sz w:val="24"/>
          <w:szCs w:val="24"/>
        </w:rPr>
        <w:t>iai Lietuvoje plėtotis RKF</w:t>
      </w:r>
      <w:r w:rsidRPr="00EC1AB2">
        <w:rPr>
          <w:rFonts w:ascii="Times New Roman" w:hAnsi="Times New Roman" w:cs="Times New Roman"/>
          <w:sz w:val="24"/>
          <w:szCs w:val="24"/>
        </w:rPr>
        <w:t xml:space="preserve"> trukdo maža technologinių inovacijų sklaida.</w:t>
      </w:r>
      <w:r w:rsidR="000C551A" w:rsidRPr="00EC1AB2">
        <w:rPr>
          <w:rFonts w:ascii="Times New Roman" w:hAnsi="Times New Roman" w:cs="Times New Roman"/>
          <w:sz w:val="24"/>
          <w:szCs w:val="24"/>
        </w:rPr>
        <w:t xml:space="preserve"> 9</w:t>
      </w:r>
      <w:r w:rsidR="004468AA" w:rsidRPr="00EC1AB2">
        <w:rPr>
          <w:rFonts w:ascii="Times New Roman" w:hAnsi="Times New Roman" w:cs="Times New Roman"/>
          <w:sz w:val="24"/>
          <w:szCs w:val="24"/>
        </w:rPr>
        <w:t xml:space="preserve"> lentelėje galima matyti Kendall‘</w:t>
      </w:r>
      <w:r w:rsidR="00CF0B13" w:rsidRPr="00EC1AB2">
        <w:rPr>
          <w:rFonts w:ascii="Times New Roman" w:hAnsi="Times New Roman" w:cs="Times New Roman"/>
          <w:sz w:val="24"/>
          <w:szCs w:val="24"/>
        </w:rPr>
        <w:t>s testo rezultatus</w:t>
      </w:r>
      <w:r w:rsidR="004468AA" w:rsidRPr="00EC1AB2">
        <w:rPr>
          <w:rFonts w:ascii="Times New Roman" w:hAnsi="Times New Roman" w:cs="Times New Roman"/>
          <w:sz w:val="24"/>
          <w:szCs w:val="24"/>
        </w:rPr>
        <w:t>.</w:t>
      </w:r>
    </w:p>
    <w:p w:rsidR="000C551A" w:rsidRPr="00EC1AB2" w:rsidRDefault="000C551A" w:rsidP="007A02A8">
      <w:pPr>
        <w:autoSpaceDE w:val="0"/>
        <w:autoSpaceDN w:val="0"/>
        <w:adjustRightInd w:val="0"/>
        <w:spacing w:after="0" w:line="360" w:lineRule="auto"/>
        <w:ind w:firstLine="567"/>
        <w:jc w:val="both"/>
        <w:rPr>
          <w:rFonts w:ascii="Times New Roman" w:hAnsi="Times New Roman" w:cs="Times New Roman"/>
          <w:sz w:val="24"/>
          <w:szCs w:val="24"/>
        </w:rPr>
      </w:pPr>
    </w:p>
    <w:p w:rsidR="004468AA" w:rsidRPr="00EC1AB2" w:rsidRDefault="000C551A" w:rsidP="007A02A8">
      <w:pPr>
        <w:pStyle w:val="Heading4"/>
        <w:spacing w:before="0" w:line="360" w:lineRule="auto"/>
        <w:jc w:val="center"/>
        <w:rPr>
          <w:rFonts w:ascii="Times New Roman" w:hAnsi="Times New Roman" w:cs="Times New Roman"/>
          <w:i w:val="0"/>
          <w:color w:val="auto"/>
          <w:sz w:val="24"/>
          <w:szCs w:val="24"/>
        </w:rPr>
      </w:pPr>
      <w:bookmarkStart w:id="187" w:name="_Toc320761939"/>
      <w:bookmarkStart w:id="188" w:name="_Toc320762174"/>
      <w:bookmarkStart w:id="189" w:name="_Toc320762577"/>
      <w:r w:rsidRPr="00EC1AB2">
        <w:rPr>
          <w:rFonts w:ascii="Times New Roman" w:hAnsi="Times New Roman" w:cs="Times New Roman"/>
          <w:b w:val="0"/>
          <w:i w:val="0"/>
          <w:color w:val="auto"/>
          <w:sz w:val="24"/>
          <w:szCs w:val="24"/>
        </w:rPr>
        <w:t>9</w:t>
      </w:r>
      <w:r w:rsidR="004468AA" w:rsidRPr="00EC1AB2">
        <w:rPr>
          <w:rFonts w:ascii="Times New Roman" w:hAnsi="Times New Roman" w:cs="Times New Roman"/>
          <w:b w:val="0"/>
          <w:i w:val="0"/>
          <w:color w:val="auto"/>
          <w:sz w:val="24"/>
          <w:szCs w:val="24"/>
        </w:rPr>
        <w:t xml:space="preserve"> lentelė</w:t>
      </w:r>
      <w:r w:rsidR="004468AA" w:rsidRPr="00EC1AB2">
        <w:rPr>
          <w:rFonts w:ascii="Times New Roman" w:hAnsi="Times New Roman" w:cs="Times New Roman"/>
          <w:i w:val="0"/>
          <w:color w:val="auto"/>
          <w:sz w:val="24"/>
          <w:szCs w:val="24"/>
        </w:rPr>
        <w:t>. Kendall‘s testo rezultatai</w:t>
      </w:r>
      <w:bookmarkEnd w:id="187"/>
      <w:bookmarkEnd w:id="188"/>
      <w:bookmarkEnd w:id="189"/>
    </w:p>
    <w:p w:rsidR="000C551A" w:rsidRPr="00EC1AB2" w:rsidRDefault="000C551A" w:rsidP="007A02A8">
      <w:pPr>
        <w:pStyle w:val="Heading4"/>
        <w:spacing w:before="0" w:line="360" w:lineRule="auto"/>
        <w:jc w:val="center"/>
        <w:rPr>
          <w:rFonts w:ascii="Times New Roman" w:hAnsi="Times New Roman" w:cs="Times New Roman"/>
          <w:i w:val="0"/>
          <w:color w:val="auto"/>
          <w:sz w:val="24"/>
          <w:szCs w:val="24"/>
        </w:rPr>
      </w:pPr>
    </w:p>
    <w:tbl>
      <w:tblPr>
        <w:tblW w:w="0" w:type="auto"/>
        <w:jc w:val="center"/>
        <w:tblBorders>
          <w:top w:val="single" w:sz="4" w:space="0" w:color="25437C"/>
          <w:left w:val="single" w:sz="4" w:space="0" w:color="25437C"/>
          <w:bottom w:val="single" w:sz="4" w:space="0" w:color="25437C"/>
          <w:right w:val="single" w:sz="4" w:space="0" w:color="25437C"/>
          <w:insideH w:val="single" w:sz="4" w:space="0" w:color="25437C"/>
          <w:insideV w:val="single" w:sz="4" w:space="0" w:color="25437C"/>
        </w:tblBorders>
        <w:tblLayout w:type="fixed"/>
        <w:tblLook w:val="0000" w:firstRow="0" w:lastRow="0" w:firstColumn="0" w:lastColumn="0" w:noHBand="0" w:noVBand="0"/>
      </w:tblPr>
      <w:tblGrid>
        <w:gridCol w:w="2376"/>
        <w:gridCol w:w="1701"/>
      </w:tblGrid>
      <w:tr w:rsidR="00F25E1F" w:rsidRPr="00EC1AB2" w:rsidTr="00F3420B">
        <w:trPr>
          <w:trHeight w:val="335"/>
          <w:jc w:val="center"/>
        </w:trPr>
        <w:tc>
          <w:tcPr>
            <w:tcW w:w="2376" w:type="dxa"/>
          </w:tcPr>
          <w:p w:rsidR="00707C8C" w:rsidRPr="00EC1AB2" w:rsidRDefault="00707C8C" w:rsidP="007A02A8">
            <w:pPr>
              <w:autoSpaceDE w:val="0"/>
              <w:autoSpaceDN w:val="0"/>
              <w:adjustRightInd w:val="0"/>
              <w:spacing w:after="0" w:line="360" w:lineRule="auto"/>
              <w:rPr>
                <w:rFonts w:ascii="Times New Roman" w:eastAsia="MS Mincho" w:hAnsi="Times New Roman" w:cs="Times New Roman"/>
                <w:sz w:val="24"/>
                <w:szCs w:val="24"/>
              </w:rPr>
            </w:pPr>
            <w:r w:rsidRPr="00EC1AB2">
              <w:rPr>
                <w:rFonts w:ascii="Times New Roman" w:eastAsia="MS Mincho" w:hAnsi="Times New Roman" w:cs="Times New Roman"/>
                <w:b/>
                <w:bCs/>
                <w:sz w:val="24"/>
                <w:szCs w:val="24"/>
              </w:rPr>
              <w:tab/>
            </w:r>
            <w:r w:rsidRPr="00EC1AB2">
              <w:rPr>
                <w:rFonts w:ascii="Times New Roman" w:eastAsia="MS Mincho" w:hAnsi="Times New Roman" w:cs="Times New Roman"/>
                <w:sz w:val="24"/>
                <w:szCs w:val="24"/>
              </w:rPr>
              <w:t>N</w:t>
            </w:r>
          </w:p>
        </w:tc>
        <w:tc>
          <w:tcPr>
            <w:tcW w:w="1701" w:type="dxa"/>
          </w:tcPr>
          <w:p w:rsidR="00707C8C" w:rsidRPr="00EC1AB2" w:rsidRDefault="00707C8C" w:rsidP="007A02A8">
            <w:pPr>
              <w:autoSpaceDE w:val="0"/>
              <w:autoSpaceDN w:val="0"/>
              <w:adjustRightInd w:val="0"/>
              <w:spacing w:after="0" w:line="360" w:lineRule="auto"/>
              <w:jc w:val="right"/>
              <w:rPr>
                <w:rFonts w:ascii="Times New Roman" w:eastAsia="MS Mincho" w:hAnsi="Times New Roman" w:cs="Times New Roman"/>
                <w:sz w:val="24"/>
                <w:szCs w:val="24"/>
              </w:rPr>
            </w:pPr>
            <w:r w:rsidRPr="00EC1AB2">
              <w:rPr>
                <w:rFonts w:ascii="Times New Roman" w:eastAsia="MS Mincho" w:hAnsi="Times New Roman" w:cs="Times New Roman"/>
                <w:sz w:val="24"/>
                <w:szCs w:val="24"/>
              </w:rPr>
              <w:t>5</w:t>
            </w:r>
          </w:p>
        </w:tc>
      </w:tr>
      <w:tr w:rsidR="00F25E1F" w:rsidRPr="00EC1AB2" w:rsidTr="00F3420B">
        <w:trPr>
          <w:trHeight w:val="273"/>
          <w:jc w:val="center"/>
        </w:trPr>
        <w:tc>
          <w:tcPr>
            <w:tcW w:w="2376" w:type="dxa"/>
          </w:tcPr>
          <w:p w:rsidR="00707C8C" w:rsidRPr="00EC1AB2" w:rsidRDefault="00707C8C" w:rsidP="007A02A8">
            <w:pPr>
              <w:autoSpaceDE w:val="0"/>
              <w:autoSpaceDN w:val="0"/>
              <w:adjustRightInd w:val="0"/>
              <w:spacing w:after="0" w:line="360" w:lineRule="auto"/>
              <w:rPr>
                <w:rFonts w:ascii="Times New Roman" w:eastAsia="MS Mincho" w:hAnsi="Times New Roman" w:cs="Times New Roman"/>
                <w:sz w:val="24"/>
                <w:szCs w:val="24"/>
              </w:rPr>
            </w:pPr>
            <w:r w:rsidRPr="00EC1AB2">
              <w:rPr>
                <w:rFonts w:ascii="Times New Roman" w:eastAsia="MS Mincho" w:hAnsi="Times New Roman" w:cs="Times New Roman"/>
                <w:sz w:val="24"/>
                <w:szCs w:val="24"/>
              </w:rPr>
              <w:t>Kendall's W</w:t>
            </w:r>
          </w:p>
        </w:tc>
        <w:tc>
          <w:tcPr>
            <w:tcW w:w="1701" w:type="dxa"/>
          </w:tcPr>
          <w:p w:rsidR="00707C8C" w:rsidRPr="00EC1AB2" w:rsidRDefault="00707C8C" w:rsidP="007A02A8">
            <w:pPr>
              <w:autoSpaceDE w:val="0"/>
              <w:autoSpaceDN w:val="0"/>
              <w:adjustRightInd w:val="0"/>
              <w:spacing w:after="0" w:line="360" w:lineRule="auto"/>
              <w:jc w:val="right"/>
              <w:rPr>
                <w:rFonts w:ascii="Times New Roman" w:eastAsia="MS Mincho" w:hAnsi="Times New Roman" w:cs="Times New Roman"/>
                <w:sz w:val="24"/>
                <w:szCs w:val="24"/>
              </w:rPr>
            </w:pPr>
            <w:r w:rsidRPr="00EC1AB2">
              <w:rPr>
                <w:rFonts w:ascii="Times New Roman" w:eastAsia="MS Mincho" w:hAnsi="Times New Roman" w:cs="Times New Roman"/>
                <w:sz w:val="24"/>
                <w:szCs w:val="24"/>
              </w:rPr>
              <w:t>,936</w:t>
            </w:r>
          </w:p>
        </w:tc>
      </w:tr>
      <w:tr w:rsidR="00F25E1F" w:rsidRPr="00EC1AB2" w:rsidTr="00F3420B">
        <w:trPr>
          <w:trHeight w:val="273"/>
          <w:jc w:val="center"/>
        </w:trPr>
        <w:tc>
          <w:tcPr>
            <w:tcW w:w="2376" w:type="dxa"/>
          </w:tcPr>
          <w:p w:rsidR="00707C8C" w:rsidRPr="00EC1AB2" w:rsidRDefault="00707C8C" w:rsidP="007A02A8">
            <w:pPr>
              <w:autoSpaceDE w:val="0"/>
              <w:autoSpaceDN w:val="0"/>
              <w:adjustRightInd w:val="0"/>
              <w:spacing w:after="0" w:line="360" w:lineRule="auto"/>
              <w:rPr>
                <w:rFonts w:ascii="Times New Roman" w:eastAsia="MS Mincho" w:hAnsi="Times New Roman" w:cs="Times New Roman"/>
                <w:sz w:val="24"/>
                <w:szCs w:val="24"/>
              </w:rPr>
            </w:pPr>
            <w:r w:rsidRPr="00EC1AB2">
              <w:rPr>
                <w:rFonts w:ascii="Times New Roman" w:eastAsia="MS Mincho" w:hAnsi="Times New Roman" w:cs="Times New Roman"/>
                <w:sz w:val="24"/>
                <w:szCs w:val="24"/>
              </w:rPr>
              <w:t>Chi-Square</w:t>
            </w:r>
          </w:p>
        </w:tc>
        <w:tc>
          <w:tcPr>
            <w:tcW w:w="1701" w:type="dxa"/>
          </w:tcPr>
          <w:p w:rsidR="00707C8C" w:rsidRPr="00EC1AB2" w:rsidRDefault="00707C8C" w:rsidP="007A02A8">
            <w:pPr>
              <w:autoSpaceDE w:val="0"/>
              <w:autoSpaceDN w:val="0"/>
              <w:adjustRightInd w:val="0"/>
              <w:spacing w:after="0" w:line="360" w:lineRule="auto"/>
              <w:jc w:val="right"/>
              <w:rPr>
                <w:rFonts w:ascii="Times New Roman" w:eastAsia="MS Mincho" w:hAnsi="Times New Roman" w:cs="Times New Roman"/>
                <w:sz w:val="24"/>
                <w:szCs w:val="24"/>
              </w:rPr>
            </w:pPr>
            <w:r w:rsidRPr="00EC1AB2">
              <w:rPr>
                <w:rFonts w:ascii="Times New Roman" w:eastAsia="MS Mincho" w:hAnsi="Times New Roman" w:cs="Times New Roman"/>
                <w:sz w:val="24"/>
                <w:szCs w:val="24"/>
              </w:rPr>
              <w:t>14,040</w:t>
            </w:r>
          </w:p>
        </w:tc>
      </w:tr>
      <w:tr w:rsidR="00F25E1F" w:rsidRPr="00EC1AB2" w:rsidTr="00F3420B">
        <w:trPr>
          <w:trHeight w:val="273"/>
          <w:jc w:val="center"/>
        </w:trPr>
        <w:tc>
          <w:tcPr>
            <w:tcW w:w="2376" w:type="dxa"/>
          </w:tcPr>
          <w:p w:rsidR="00707C8C" w:rsidRPr="00EC1AB2" w:rsidRDefault="00707C8C" w:rsidP="007A02A8">
            <w:pPr>
              <w:autoSpaceDE w:val="0"/>
              <w:autoSpaceDN w:val="0"/>
              <w:adjustRightInd w:val="0"/>
              <w:spacing w:after="0" w:line="360" w:lineRule="auto"/>
              <w:rPr>
                <w:rFonts w:ascii="Times New Roman" w:eastAsia="MS Mincho" w:hAnsi="Times New Roman" w:cs="Times New Roman"/>
                <w:sz w:val="24"/>
                <w:szCs w:val="24"/>
              </w:rPr>
            </w:pPr>
            <w:r w:rsidRPr="00EC1AB2">
              <w:rPr>
                <w:rFonts w:ascii="Times New Roman" w:eastAsia="MS Mincho" w:hAnsi="Times New Roman" w:cs="Times New Roman"/>
                <w:sz w:val="24"/>
                <w:szCs w:val="24"/>
              </w:rPr>
              <w:t>df</w:t>
            </w:r>
          </w:p>
        </w:tc>
        <w:tc>
          <w:tcPr>
            <w:tcW w:w="1701" w:type="dxa"/>
          </w:tcPr>
          <w:p w:rsidR="00707C8C" w:rsidRPr="00EC1AB2" w:rsidRDefault="00707C8C" w:rsidP="007A02A8">
            <w:pPr>
              <w:autoSpaceDE w:val="0"/>
              <w:autoSpaceDN w:val="0"/>
              <w:adjustRightInd w:val="0"/>
              <w:spacing w:after="0" w:line="360" w:lineRule="auto"/>
              <w:jc w:val="right"/>
              <w:rPr>
                <w:rFonts w:ascii="Times New Roman" w:eastAsia="MS Mincho" w:hAnsi="Times New Roman" w:cs="Times New Roman"/>
                <w:sz w:val="24"/>
                <w:szCs w:val="24"/>
              </w:rPr>
            </w:pPr>
            <w:r w:rsidRPr="00EC1AB2">
              <w:rPr>
                <w:rFonts w:ascii="Times New Roman" w:eastAsia="MS Mincho" w:hAnsi="Times New Roman" w:cs="Times New Roman"/>
                <w:sz w:val="24"/>
                <w:szCs w:val="24"/>
              </w:rPr>
              <w:t>3</w:t>
            </w:r>
          </w:p>
        </w:tc>
      </w:tr>
      <w:tr w:rsidR="00707C8C" w:rsidRPr="00EC1AB2" w:rsidTr="00F3420B">
        <w:trPr>
          <w:trHeight w:val="273"/>
          <w:jc w:val="center"/>
        </w:trPr>
        <w:tc>
          <w:tcPr>
            <w:tcW w:w="2376" w:type="dxa"/>
          </w:tcPr>
          <w:p w:rsidR="00707C8C" w:rsidRPr="00EC1AB2" w:rsidRDefault="00707C8C" w:rsidP="007A02A8">
            <w:pPr>
              <w:autoSpaceDE w:val="0"/>
              <w:autoSpaceDN w:val="0"/>
              <w:adjustRightInd w:val="0"/>
              <w:spacing w:after="0" w:line="360" w:lineRule="auto"/>
              <w:rPr>
                <w:rFonts w:ascii="Times New Roman" w:eastAsia="MS Mincho" w:hAnsi="Times New Roman" w:cs="Times New Roman"/>
                <w:sz w:val="24"/>
                <w:szCs w:val="24"/>
              </w:rPr>
            </w:pPr>
            <w:r w:rsidRPr="00EC1AB2">
              <w:rPr>
                <w:rFonts w:ascii="Times New Roman" w:eastAsia="MS Mincho" w:hAnsi="Times New Roman" w:cs="Times New Roman"/>
                <w:sz w:val="24"/>
                <w:szCs w:val="24"/>
              </w:rPr>
              <w:t>Asymp. Sig.</w:t>
            </w:r>
          </w:p>
        </w:tc>
        <w:tc>
          <w:tcPr>
            <w:tcW w:w="1701" w:type="dxa"/>
          </w:tcPr>
          <w:p w:rsidR="00707C8C" w:rsidRPr="00EC1AB2" w:rsidRDefault="00707C8C" w:rsidP="007A02A8">
            <w:pPr>
              <w:autoSpaceDE w:val="0"/>
              <w:autoSpaceDN w:val="0"/>
              <w:adjustRightInd w:val="0"/>
              <w:spacing w:after="0" w:line="360" w:lineRule="auto"/>
              <w:jc w:val="right"/>
              <w:rPr>
                <w:rFonts w:ascii="Times New Roman" w:eastAsia="MS Mincho" w:hAnsi="Times New Roman" w:cs="Times New Roman"/>
                <w:sz w:val="24"/>
                <w:szCs w:val="24"/>
              </w:rPr>
            </w:pPr>
            <w:r w:rsidRPr="00EC1AB2">
              <w:rPr>
                <w:rFonts w:ascii="Times New Roman" w:eastAsia="MS Mincho" w:hAnsi="Times New Roman" w:cs="Times New Roman"/>
                <w:sz w:val="24"/>
                <w:szCs w:val="24"/>
              </w:rPr>
              <w:t>,003</w:t>
            </w:r>
          </w:p>
        </w:tc>
      </w:tr>
    </w:tbl>
    <w:p w:rsidR="000C551A" w:rsidRPr="00EC1AB2" w:rsidRDefault="000C551A" w:rsidP="007A02A8">
      <w:pPr>
        <w:autoSpaceDE w:val="0"/>
        <w:autoSpaceDN w:val="0"/>
        <w:adjustRightInd w:val="0"/>
        <w:spacing w:after="0" w:line="360" w:lineRule="auto"/>
        <w:jc w:val="both"/>
        <w:rPr>
          <w:rFonts w:ascii="Times New Roman" w:hAnsi="Times New Roman" w:cs="Times New Roman"/>
          <w:b/>
          <w:sz w:val="24"/>
          <w:szCs w:val="24"/>
        </w:rPr>
      </w:pPr>
    </w:p>
    <w:p w:rsidR="004468AA" w:rsidRPr="00EC1AB2" w:rsidRDefault="004468AA" w:rsidP="007A02A8">
      <w:pPr>
        <w:autoSpaceDE w:val="0"/>
        <w:autoSpaceDN w:val="0"/>
        <w:adjustRightInd w:val="0"/>
        <w:spacing w:after="0" w:line="360" w:lineRule="auto"/>
        <w:ind w:firstLine="567"/>
        <w:jc w:val="both"/>
        <w:rPr>
          <w:rFonts w:ascii="Times New Roman" w:hAnsi="Times New Roman" w:cs="Times New Roman"/>
          <w:sz w:val="20"/>
          <w:szCs w:val="20"/>
        </w:rPr>
      </w:pPr>
      <w:r w:rsidRPr="00EC1AB2">
        <w:rPr>
          <w:rFonts w:ascii="Times New Roman" w:hAnsi="Times New Roman" w:cs="Times New Roman"/>
          <w:b/>
          <w:sz w:val="20"/>
          <w:szCs w:val="20"/>
        </w:rPr>
        <w:t>Šaltinis:</w:t>
      </w:r>
      <w:r w:rsidRPr="00EC1AB2">
        <w:rPr>
          <w:rFonts w:ascii="Times New Roman" w:hAnsi="Times New Roman" w:cs="Times New Roman"/>
          <w:sz w:val="20"/>
          <w:szCs w:val="20"/>
        </w:rPr>
        <w:t xml:space="preserve"> sudaryta darbo autorės</w:t>
      </w:r>
    </w:p>
    <w:p w:rsidR="00AC0CD7" w:rsidRPr="00EC1AB2" w:rsidRDefault="00AC0CD7" w:rsidP="007A02A8">
      <w:pPr>
        <w:autoSpaceDE w:val="0"/>
        <w:autoSpaceDN w:val="0"/>
        <w:adjustRightInd w:val="0"/>
        <w:spacing w:after="0" w:line="360" w:lineRule="auto"/>
        <w:ind w:firstLine="1296"/>
        <w:jc w:val="both"/>
        <w:rPr>
          <w:rFonts w:ascii="Times New Roman" w:eastAsia="Times New Roman" w:hAnsi="Times New Roman" w:cs="Times New Roman"/>
          <w:sz w:val="24"/>
          <w:szCs w:val="24"/>
          <w:lang w:eastAsia="lt-LT"/>
        </w:rPr>
      </w:pPr>
    </w:p>
    <w:p w:rsidR="00AC0CD7" w:rsidRPr="00EC1AB2" w:rsidRDefault="00AC0CD7"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Iš lentelėje pateiktų duomenų matyti, jog konkordancijos statistinis reikšmingumas mažesnis už 0,05 (p = 0,003), todėl galima teigti, jog konkordacija yra statistiškai reikšminga. Tai reiškia, jog hipotezė </w:t>
      </w:r>
      <w:r w:rsidRPr="00EC1AB2">
        <w:rPr>
          <w:rFonts w:ascii="Times New Roman" w:hAnsi="Times New Roman" w:cs="Times New Roman"/>
          <w:bCs/>
          <w:iCs/>
          <w:sz w:val="24"/>
          <w:szCs w:val="24"/>
        </w:rPr>
        <w:t>H</w:t>
      </w:r>
      <w:r w:rsidRPr="00EC1AB2">
        <w:rPr>
          <w:rFonts w:ascii="Times New Roman" w:hAnsi="Times New Roman" w:cs="Times New Roman"/>
          <w:bCs/>
          <w:iCs/>
          <w:sz w:val="24"/>
          <w:szCs w:val="24"/>
          <w:vertAlign w:val="subscript"/>
        </w:rPr>
        <w:t>0</w:t>
      </w:r>
      <w:r w:rsidRPr="00EC1AB2">
        <w:rPr>
          <w:rFonts w:ascii="Times New Roman" w:hAnsi="Times New Roman" w:cs="Times New Roman"/>
          <w:sz w:val="24"/>
          <w:szCs w:val="24"/>
        </w:rPr>
        <w:t xml:space="preserve">, kad ekspertų vertinimai prieštaringi, atmetama, o </w:t>
      </w:r>
      <w:r w:rsidRPr="00EC1AB2">
        <w:rPr>
          <w:rFonts w:ascii="Times New Roman" w:hAnsi="Times New Roman" w:cs="Times New Roman"/>
          <w:bCs/>
          <w:iCs/>
          <w:sz w:val="24"/>
          <w:szCs w:val="24"/>
        </w:rPr>
        <w:t>H</w:t>
      </w:r>
      <w:r w:rsidRPr="00EC1AB2">
        <w:rPr>
          <w:rFonts w:ascii="Times New Roman" w:hAnsi="Times New Roman" w:cs="Times New Roman"/>
          <w:bCs/>
          <w:iCs/>
          <w:sz w:val="24"/>
          <w:szCs w:val="24"/>
          <w:vertAlign w:val="subscript"/>
        </w:rPr>
        <w:t>1</w:t>
      </w:r>
      <w:r w:rsidRPr="00EC1AB2">
        <w:rPr>
          <w:rFonts w:ascii="Times New Roman" w:hAnsi="Times New Roman" w:cs="Times New Roman"/>
          <w:bCs/>
          <w:iCs/>
          <w:sz w:val="24"/>
          <w:szCs w:val="24"/>
        </w:rPr>
        <w:t>, kad ekspertų vertinimai panašūs (t.y. konkordancijos koeficientas nelygus nuliui) yra priimama</w:t>
      </w:r>
      <w:r w:rsidRPr="00EC1AB2">
        <w:rPr>
          <w:rFonts w:ascii="Times New Roman" w:hAnsi="Times New Roman" w:cs="Times New Roman"/>
          <w:sz w:val="24"/>
          <w:szCs w:val="24"/>
        </w:rPr>
        <w:t>.</w:t>
      </w:r>
    </w:p>
    <w:p w:rsidR="00FA7C93" w:rsidRPr="00EC1AB2" w:rsidRDefault="00FA7C93"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Siekiant geriau suprasti kliūtis, trukdančias </w:t>
      </w:r>
      <w:r w:rsidR="006D23AB" w:rsidRPr="00EC1AB2">
        <w:rPr>
          <w:rFonts w:ascii="Times New Roman" w:hAnsi="Times New Roman" w:cs="Times New Roman"/>
          <w:sz w:val="24"/>
          <w:szCs w:val="24"/>
        </w:rPr>
        <w:t>RKF plė</w:t>
      </w:r>
      <w:r w:rsidR="00CC0DF4" w:rsidRPr="00EC1AB2">
        <w:rPr>
          <w:rFonts w:ascii="Times New Roman" w:hAnsi="Times New Roman" w:cs="Times New Roman"/>
          <w:sz w:val="24"/>
          <w:szCs w:val="24"/>
        </w:rPr>
        <w:t>totis Lietuvoje</w:t>
      </w:r>
      <w:r w:rsidR="003765ED" w:rsidRPr="00EC1AB2">
        <w:rPr>
          <w:rFonts w:ascii="Times New Roman" w:hAnsi="Times New Roman" w:cs="Times New Roman"/>
          <w:sz w:val="24"/>
          <w:szCs w:val="24"/>
        </w:rPr>
        <w:t>,</w:t>
      </w:r>
      <w:r w:rsidR="00CC0DF4" w:rsidRPr="00EC1AB2">
        <w:rPr>
          <w:rFonts w:ascii="Times New Roman" w:hAnsi="Times New Roman" w:cs="Times New Roman"/>
          <w:sz w:val="24"/>
          <w:szCs w:val="24"/>
        </w:rPr>
        <w:t xml:space="preserve"> bus </w:t>
      </w:r>
      <w:r w:rsidR="00BA1E61" w:rsidRPr="00EC1AB2">
        <w:rPr>
          <w:rFonts w:ascii="Times New Roman" w:hAnsi="Times New Roman" w:cs="Times New Roman"/>
          <w:sz w:val="24"/>
          <w:szCs w:val="24"/>
        </w:rPr>
        <w:t xml:space="preserve">taip pat </w:t>
      </w:r>
      <w:r w:rsidR="00CC0DF4" w:rsidRPr="00EC1AB2">
        <w:rPr>
          <w:rFonts w:ascii="Times New Roman" w:hAnsi="Times New Roman" w:cs="Times New Roman"/>
          <w:sz w:val="24"/>
          <w:szCs w:val="24"/>
        </w:rPr>
        <w:t>apžvelgiama EVCA ataskaita</w:t>
      </w:r>
      <w:r w:rsidR="003765ED" w:rsidRPr="00EC1AB2">
        <w:rPr>
          <w:rFonts w:ascii="Times New Roman" w:hAnsi="Times New Roman" w:cs="Times New Roman"/>
          <w:sz w:val="24"/>
          <w:szCs w:val="24"/>
        </w:rPr>
        <w:t>, kurioje analizuojama</w:t>
      </w:r>
      <w:r w:rsidR="00CC0DF4" w:rsidRPr="00EC1AB2">
        <w:rPr>
          <w:rFonts w:ascii="Times New Roman" w:hAnsi="Times New Roman" w:cs="Times New Roman"/>
          <w:sz w:val="24"/>
          <w:szCs w:val="24"/>
        </w:rPr>
        <w:t xml:space="preserve"> </w:t>
      </w:r>
      <w:r w:rsidR="003765ED" w:rsidRPr="00EC1AB2">
        <w:rPr>
          <w:rFonts w:ascii="Times New Roman" w:hAnsi="Times New Roman" w:cs="Times New Roman"/>
          <w:sz w:val="24"/>
          <w:szCs w:val="24"/>
        </w:rPr>
        <w:t>teisinės ir mokestinės sąlygo</w:t>
      </w:r>
      <w:r w:rsidR="0012470F" w:rsidRPr="00EC1AB2">
        <w:rPr>
          <w:rFonts w:ascii="Times New Roman" w:hAnsi="Times New Roman" w:cs="Times New Roman"/>
          <w:sz w:val="24"/>
          <w:szCs w:val="24"/>
        </w:rPr>
        <w:t>s rizikos kapitalui plėtotis</w:t>
      </w:r>
      <w:r w:rsidR="003765ED" w:rsidRPr="00EC1AB2">
        <w:rPr>
          <w:rFonts w:ascii="Times New Roman" w:hAnsi="Times New Roman" w:cs="Times New Roman"/>
          <w:sz w:val="24"/>
          <w:szCs w:val="24"/>
        </w:rPr>
        <w:t xml:space="preserve"> Europos šalyse bei </w:t>
      </w:r>
      <w:r w:rsidR="00C408B5" w:rsidRPr="00EC1AB2">
        <w:rPr>
          <w:rFonts w:ascii="Times New Roman" w:hAnsi="Times New Roman" w:cs="Times New Roman"/>
          <w:sz w:val="24"/>
          <w:szCs w:val="24"/>
        </w:rPr>
        <w:t xml:space="preserve">A.Groh, H. Liechtenstein, </w:t>
      </w:r>
      <w:r w:rsidR="00C408B5" w:rsidRPr="00EC1AB2">
        <w:rPr>
          <w:rFonts w:ascii="Times New Roman" w:hAnsi="Times New Roman" w:cs="Times New Roman"/>
          <w:iCs/>
          <w:sz w:val="24"/>
          <w:szCs w:val="24"/>
        </w:rPr>
        <w:t>Karsten Lieser</w:t>
      </w:r>
      <w:r w:rsidR="00C408B5" w:rsidRPr="00EC1AB2">
        <w:rPr>
          <w:rFonts w:ascii="Times New Roman" w:hAnsi="Times New Roman" w:cs="Times New Roman"/>
          <w:sz w:val="24"/>
          <w:szCs w:val="24"/>
        </w:rPr>
        <w:t xml:space="preserve"> kartu su audito įmone „Ernst&amp;Young” kasmet </w:t>
      </w:r>
      <w:r w:rsidR="00675913" w:rsidRPr="00EC1AB2">
        <w:rPr>
          <w:rFonts w:ascii="Times New Roman" w:hAnsi="Times New Roman" w:cs="Times New Roman"/>
          <w:sz w:val="24"/>
          <w:szCs w:val="24"/>
        </w:rPr>
        <w:t>atliekamas tyrimas</w:t>
      </w:r>
      <w:r w:rsidR="00CA5FC6" w:rsidRPr="00EC1AB2">
        <w:rPr>
          <w:rFonts w:ascii="Times New Roman" w:hAnsi="Times New Roman" w:cs="Times New Roman"/>
          <w:sz w:val="24"/>
          <w:szCs w:val="24"/>
        </w:rPr>
        <w:t>.</w:t>
      </w:r>
    </w:p>
    <w:p w:rsidR="00CA5FC6" w:rsidRPr="00EC1AB2" w:rsidRDefault="00CA5FC6"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EVCA </w:t>
      </w:r>
      <w:r w:rsidR="00131F57" w:rsidRPr="00EC1AB2">
        <w:rPr>
          <w:rFonts w:ascii="Times New Roman" w:hAnsi="Times New Roman" w:cs="Times New Roman"/>
          <w:sz w:val="24"/>
          <w:szCs w:val="24"/>
        </w:rPr>
        <w:t xml:space="preserve">paskutinį kartą ataskaitą apie teisines ir mokestines sąlygas Europos šalyse </w:t>
      </w:r>
      <w:r w:rsidR="00EB23E9" w:rsidRPr="00EC1AB2">
        <w:rPr>
          <w:rFonts w:ascii="Times New Roman" w:hAnsi="Times New Roman" w:cs="Times New Roman"/>
          <w:sz w:val="24"/>
          <w:szCs w:val="24"/>
        </w:rPr>
        <w:t xml:space="preserve">išleido 2008 m. </w:t>
      </w:r>
      <w:r w:rsidR="00EA5157" w:rsidRPr="00EC1AB2">
        <w:rPr>
          <w:rFonts w:ascii="Times New Roman" w:hAnsi="Times New Roman" w:cs="Times New Roman"/>
          <w:sz w:val="24"/>
          <w:szCs w:val="24"/>
        </w:rPr>
        <w:t>Lietu</w:t>
      </w:r>
      <w:r w:rsidR="00553200" w:rsidRPr="00EC1AB2">
        <w:rPr>
          <w:rFonts w:ascii="Times New Roman" w:hAnsi="Times New Roman" w:cs="Times New Roman"/>
          <w:sz w:val="24"/>
          <w:szCs w:val="24"/>
        </w:rPr>
        <w:t>vos teisinė ir mokestinė aplinka</w:t>
      </w:r>
      <w:r w:rsidR="00EA5157" w:rsidRPr="00EC1AB2">
        <w:rPr>
          <w:rFonts w:ascii="Times New Roman" w:hAnsi="Times New Roman" w:cs="Times New Roman"/>
          <w:sz w:val="24"/>
          <w:szCs w:val="24"/>
        </w:rPr>
        <w:t xml:space="preserve"> pagal patrauklumą rizikos kapitalui plėtotis Lietuvoje įvertinta 1,75 balo, kai tuo tarpu Europos šalių vidurkis siekė </w:t>
      </w:r>
      <w:r w:rsidR="00F25267" w:rsidRPr="00EC1AB2">
        <w:rPr>
          <w:rFonts w:ascii="Times New Roman" w:hAnsi="Times New Roman" w:cs="Times New Roman"/>
          <w:sz w:val="24"/>
          <w:szCs w:val="24"/>
        </w:rPr>
        <w:t xml:space="preserve">1,85. </w:t>
      </w:r>
      <w:r w:rsidR="00667530" w:rsidRPr="00EC1AB2">
        <w:rPr>
          <w:rFonts w:ascii="Times New Roman" w:hAnsi="Times New Roman" w:cs="Times New Roman"/>
          <w:sz w:val="24"/>
          <w:szCs w:val="24"/>
        </w:rPr>
        <w:t>Prie teigiamo įvertinimo daugiausiai prisidėjo leidimas pensijų fondams ir draudimo įmonėms investuoti į RKF.</w:t>
      </w:r>
      <w:r w:rsidR="00C87EAE" w:rsidRPr="00EC1AB2">
        <w:rPr>
          <w:rFonts w:ascii="Times New Roman" w:hAnsi="Times New Roman" w:cs="Times New Roman"/>
          <w:sz w:val="24"/>
          <w:szCs w:val="24"/>
        </w:rPr>
        <w:t xml:space="preserve"> </w:t>
      </w:r>
      <w:r w:rsidR="00667530" w:rsidRPr="00EC1AB2">
        <w:rPr>
          <w:rFonts w:ascii="Times New Roman" w:hAnsi="Times New Roman" w:cs="Times New Roman"/>
          <w:sz w:val="24"/>
          <w:szCs w:val="24"/>
        </w:rPr>
        <w:t>Verta paminėt</w:t>
      </w:r>
      <w:r w:rsidR="00B45B8F" w:rsidRPr="00EC1AB2">
        <w:rPr>
          <w:rFonts w:ascii="Times New Roman" w:hAnsi="Times New Roman" w:cs="Times New Roman"/>
          <w:sz w:val="24"/>
          <w:szCs w:val="24"/>
        </w:rPr>
        <w:t>i, kad</w:t>
      </w:r>
      <w:r w:rsidR="00726C31" w:rsidRPr="00EC1AB2">
        <w:rPr>
          <w:rFonts w:ascii="Times New Roman" w:hAnsi="Times New Roman" w:cs="Times New Roman"/>
          <w:sz w:val="24"/>
          <w:szCs w:val="24"/>
        </w:rPr>
        <w:t xml:space="preserve"> Lietuvoje</w:t>
      </w:r>
      <w:r w:rsidR="00B45B8F" w:rsidRPr="00EC1AB2">
        <w:rPr>
          <w:rFonts w:ascii="Times New Roman" w:hAnsi="Times New Roman" w:cs="Times New Roman"/>
          <w:sz w:val="24"/>
          <w:szCs w:val="24"/>
        </w:rPr>
        <w:t xml:space="preserve"> pensijų fondams leidžiama investuoti iki </w:t>
      </w:r>
      <w:r w:rsidR="00667530" w:rsidRPr="00EC1AB2">
        <w:rPr>
          <w:rFonts w:ascii="Times New Roman" w:hAnsi="Times New Roman" w:cs="Times New Roman"/>
          <w:sz w:val="24"/>
          <w:szCs w:val="24"/>
        </w:rPr>
        <w:t>20 proc.</w:t>
      </w:r>
      <w:r w:rsidR="00B45B8F" w:rsidRPr="00EC1AB2">
        <w:rPr>
          <w:rFonts w:ascii="Times New Roman" w:hAnsi="Times New Roman" w:cs="Times New Roman"/>
          <w:sz w:val="24"/>
          <w:szCs w:val="24"/>
        </w:rPr>
        <w:t xml:space="preserve"> grynųjų aktyvų vertės, draudimo įmonės dėl investicijų į RKF </w:t>
      </w:r>
      <w:r w:rsidR="00DB646B" w:rsidRPr="00EC1AB2">
        <w:rPr>
          <w:rFonts w:ascii="Times New Roman" w:hAnsi="Times New Roman" w:cs="Times New Roman"/>
          <w:sz w:val="24"/>
          <w:szCs w:val="24"/>
        </w:rPr>
        <w:t xml:space="preserve">apribojimai nėra taikomi. </w:t>
      </w:r>
      <w:r w:rsidR="00A7051E" w:rsidRPr="00EC1AB2">
        <w:rPr>
          <w:rFonts w:ascii="Times New Roman" w:hAnsi="Times New Roman" w:cs="Times New Roman"/>
          <w:sz w:val="24"/>
          <w:szCs w:val="24"/>
        </w:rPr>
        <w:t>Reikia atkr</w:t>
      </w:r>
      <w:r w:rsidR="009E16E9" w:rsidRPr="00EC1AB2">
        <w:rPr>
          <w:rFonts w:ascii="Times New Roman" w:hAnsi="Times New Roman" w:cs="Times New Roman"/>
          <w:sz w:val="24"/>
          <w:szCs w:val="24"/>
        </w:rPr>
        <w:t xml:space="preserve">eipti dėmesį, kad </w:t>
      </w:r>
      <w:r w:rsidR="00AA3601" w:rsidRPr="00EC1AB2">
        <w:rPr>
          <w:rFonts w:ascii="Times New Roman" w:hAnsi="Times New Roman" w:cs="Times New Roman"/>
          <w:sz w:val="24"/>
          <w:szCs w:val="24"/>
        </w:rPr>
        <w:t>atlikto</w:t>
      </w:r>
      <w:r w:rsidR="001562C9" w:rsidRPr="00EC1AB2">
        <w:rPr>
          <w:rFonts w:ascii="Times New Roman" w:hAnsi="Times New Roman" w:cs="Times New Roman"/>
          <w:sz w:val="24"/>
          <w:szCs w:val="24"/>
        </w:rPr>
        <w:t xml:space="preserve"> tyrimo metu </w:t>
      </w:r>
      <w:r w:rsidR="00AA3601" w:rsidRPr="00EC1AB2">
        <w:rPr>
          <w:rFonts w:ascii="Times New Roman" w:hAnsi="Times New Roman" w:cs="Times New Roman"/>
          <w:sz w:val="24"/>
          <w:szCs w:val="24"/>
        </w:rPr>
        <w:t xml:space="preserve"> </w:t>
      </w:r>
      <w:r w:rsidR="001562C9" w:rsidRPr="00EC1AB2">
        <w:rPr>
          <w:rFonts w:ascii="Times New Roman" w:hAnsi="Times New Roman" w:cs="Times New Roman"/>
          <w:sz w:val="24"/>
          <w:szCs w:val="24"/>
        </w:rPr>
        <w:t>ekspertai</w:t>
      </w:r>
      <w:r w:rsidR="0040652D" w:rsidRPr="00EC1AB2">
        <w:rPr>
          <w:rFonts w:ascii="Times New Roman" w:hAnsi="Times New Roman" w:cs="Times New Roman"/>
          <w:sz w:val="24"/>
          <w:szCs w:val="24"/>
        </w:rPr>
        <w:t xml:space="preserve">, kaip veiksnį trukdantį plėtotis </w:t>
      </w:r>
      <w:r w:rsidR="00EB4E05" w:rsidRPr="00EC1AB2">
        <w:rPr>
          <w:rFonts w:ascii="Times New Roman" w:hAnsi="Times New Roman" w:cs="Times New Roman"/>
          <w:sz w:val="24"/>
          <w:szCs w:val="24"/>
        </w:rPr>
        <w:t>RKF Lietuvoje</w:t>
      </w:r>
      <w:r w:rsidR="002C0E8F" w:rsidRPr="00EC1AB2">
        <w:rPr>
          <w:rFonts w:ascii="Times New Roman" w:hAnsi="Times New Roman" w:cs="Times New Roman"/>
          <w:sz w:val="24"/>
          <w:szCs w:val="24"/>
        </w:rPr>
        <w:t>,</w:t>
      </w:r>
      <w:r w:rsidR="00EB4E05" w:rsidRPr="00EC1AB2">
        <w:rPr>
          <w:rFonts w:ascii="Times New Roman" w:hAnsi="Times New Roman" w:cs="Times New Roman"/>
          <w:sz w:val="24"/>
          <w:szCs w:val="24"/>
        </w:rPr>
        <w:t xml:space="preserve"> išskyrė, </w:t>
      </w:r>
      <w:r w:rsidR="009A0083" w:rsidRPr="00EC1AB2">
        <w:rPr>
          <w:rFonts w:ascii="Times New Roman" w:hAnsi="Times New Roman" w:cs="Times New Roman"/>
          <w:sz w:val="24"/>
          <w:szCs w:val="24"/>
        </w:rPr>
        <w:t xml:space="preserve">mažą </w:t>
      </w:r>
      <w:r w:rsidR="00EB4E05" w:rsidRPr="00EC1AB2">
        <w:rPr>
          <w:rFonts w:ascii="Times New Roman" w:hAnsi="Times New Roman" w:cs="Times New Roman"/>
          <w:sz w:val="24"/>
          <w:szCs w:val="24"/>
        </w:rPr>
        <w:t>pensijų fondų ir draudimo įmonių dalyvavimą</w:t>
      </w:r>
      <w:r w:rsidR="009A0083" w:rsidRPr="00EC1AB2">
        <w:rPr>
          <w:rFonts w:ascii="Times New Roman" w:hAnsi="Times New Roman" w:cs="Times New Roman"/>
          <w:sz w:val="24"/>
          <w:szCs w:val="24"/>
        </w:rPr>
        <w:t xml:space="preserve"> formuoja</w:t>
      </w:r>
      <w:r w:rsidR="00A73CF0" w:rsidRPr="00EC1AB2">
        <w:rPr>
          <w:rFonts w:ascii="Times New Roman" w:hAnsi="Times New Roman" w:cs="Times New Roman"/>
          <w:sz w:val="24"/>
          <w:szCs w:val="24"/>
        </w:rPr>
        <w:t>nt rizikos kapitalo investicijas</w:t>
      </w:r>
      <w:r w:rsidR="00EB4E05" w:rsidRPr="00EC1AB2">
        <w:rPr>
          <w:rFonts w:ascii="Times New Roman" w:hAnsi="Times New Roman" w:cs="Times New Roman"/>
          <w:sz w:val="24"/>
          <w:szCs w:val="24"/>
        </w:rPr>
        <w:t xml:space="preserve"> </w:t>
      </w:r>
      <w:r w:rsidR="00A73CF0" w:rsidRPr="00EC1AB2">
        <w:rPr>
          <w:rFonts w:ascii="Times New Roman" w:hAnsi="Times New Roman" w:cs="Times New Roman"/>
          <w:sz w:val="24"/>
          <w:szCs w:val="24"/>
        </w:rPr>
        <w:t>ne dėl taikomų apribojimų, o dėl jų menko susidomėjimo Lietuvos rinka ir investicijoms skirtų lėšų perkėlimą į kitas šalis</w:t>
      </w:r>
      <w:r w:rsidR="000A3A53" w:rsidRPr="00EC1AB2">
        <w:rPr>
          <w:rFonts w:ascii="Times New Roman" w:hAnsi="Times New Roman" w:cs="Times New Roman"/>
          <w:sz w:val="24"/>
          <w:szCs w:val="24"/>
        </w:rPr>
        <w:t xml:space="preserve">, todėl siekiant </w:t>
      </w:r>
      <w:r w:rsidR="005672B1" w:rsidRPr="00EC1AB2">
        <w:rPr>
          <w:rFonts w:ascii="Times New Roman" w:hAnsi="Times New Roman" w:cs="Times New Roman"/>
          <w:sz w:val="24"/>
          <w:szCs w:val="24"/>
        </w:rPr>
        <w:t>plėtoti rizikos kapitalo rinką</w:t>
      </w:r>
      <w:r w:rsidR="00B010EA" w:rsidRPr="00EC1AB2">
        <w:rPr>
          <w:rFonts w:ascii="Times New Roman" w:hAnsi="Times New Roman" w:cs="Times New Roman"/>
          <w:sz w:val="24"/>
          <w:szCs w:val="24"/>
        </w:rPr>
        <w:t xml:space="preserve"> Lietuvoje</w:t>
      </w:r>
      <w:r w:rsidR="005672B1" w:rsidRPr="00EC1AB2">
        <w:rPr>
          <w:rFonts w:ascii="Times New Roman" w:hAnsi="Times New Roman" w:cs="Times New Roman"/>
          <w:sz w:val="24"/>
          <w:szCs w:val="24"/>
        </w:rPr>
        <w:t xml:space="preserve">, reikėtų ne tik leisti investuoti </w:t>
      </w:r>
      <w:r w:rsidR="00B010EA" w:rsidRPr="00EC1AB2">
        <w:rPr>
          <w:rFonts w:ascii="Times New Roman" w:hAnsi="Times New Roman" w:cs="Times New Roman"/>
          <w:sz w:val="24"/>
          <w:szCs w:val="24"/>
        </w:rPr>
        <w:t xml:space="preserve">šiems, kaip rodo pasaulio praktika, pagrindiniams rizikos kapitalo investuotojams, tačiau </w:t>
      </w:r>
      <w:r w:rsidR="00024CD8" w:rsidRPr="00EC1AB2">
        <w:rPr>
          <w:rFonts w:ascii="Times New Roman" w:hAnsi="Times New Roman" w:cs="Times New Roman"/>
          <w:sz w:val="24"/>
          <w:szCs w:val="24"/>
        </w:rPr>
        <w:t>ir skatinti juos tai daryti Lietuvoje</w:t>
      </w:r>
      <w:r w:rsidR="00925BE5" w:rsidRPr="00EC1AB2">
        <w:rPr>
          <w:rFonts w:ascii="Times New Roman" w:hAnsi="Times New Roman" w:cs="Times New Roman"/>
          <w:sz w:val="24"/>
          <w:szCs w:val="24"/>
        </w:rPr>
        <w:t>, tai</w:t>
      </w:r>
      <w:r w:rsidR="003875CD" w:rsidRPr="00EC1AB2">
        <w:rPr>
          <w:rFonts w:ascii="Times New Roman" w:hAnsi="Times New Roman" w:cs="Times New Roman"/>
          <w:sz w:val="24"/>
          <w:szCs w:val="24"/>
        </w:rPr>
        <w:t xml:space="preserve">kant mokestines lengvatas. </w:t>
      </w:r>
      <w:r w:rsidR="00923798" w:rsidRPr="00EC1AB2">
        <w:rPr>
          <w:rFonts w:ascii="Times New Roman" w:hAnsi="Times New Roman" w:cs="Times New Roman"/>
          <w:sz w:val="24"/>
          <w:szCs w:val="24"/>
        </w:rPr>
        <w:t>Dėl šių mokestinių lengvatų, asmenims</w:t>
      </w:r>
      <w:r w:rsidR="0023358A" w:rsidRPr="00EC1AB2">
        <w:rPr>
          <w:rFonts w:ascii="Times New Roman" w:hAnsi="Times New Roman" w:cs="Times New Roman"/>
          <w:sz w:val="24"/>
          <w:szCs w:val="24"/>
        </w:rPr>
        <w:t>, investuojantie</w:t>
      </w:r>
      <w:r w:rsidR="00CE7F11" w:rsidRPr="00EC1AB2">
        <w:rPr>
          <w:rFonts w:ascii="Times New Roman" w:hAnsi="Times New Roman" w:cs="Times New Roman"/>
          <w:sz w:val="24"/>
          <w:szCs w:val="24"/>
        </w:rPr>
        <w:t>m</w:t>
      </w:r>
      <w:r w:rsidR="0023358A" w:rsidRPr="00EC1AB2">
        <w:rPr>
          <w:rFonts w:ascii="Times New Roman" w:hAnsi="Times New Roman" w:cs="Times New Roman"/>
          <w:sz w:val="24"/>
          <w:szCs w:val="24"/>
        </w:rPr>
        <w:t xml:space="preserve">s į RKF, Lietuva ir </w:t>
      </w:r>
      <w:r w:rsidR="0023358A" w:rsidRPr="00EC1AB2">
        <w:rPr>
          <w:rFonts w:ascii="Times New Roman" w:hAnsi="Times New Roman" w:cs="Times New Roman"/>
          <w:sz w:val="24"/>
          <w:szCs w:val="24"/>
        </w:rPr>
        <w:lastRenderedPageBreak/>
        <w:t xml:space="preserve">sulaukė daugiausiai priekaištų. </w:t>
      </w:r>
      <w:r w:rsidR="001C2638" w:rsidRPr="00EC1AB2">
        <w:rPr>
          <w:rFonts w:ascii="Times New Roman" w:hAnsi="Times New Roman" w:cs="Times New Roman"/>
          <w:sz w:val="24"/>
          <w:szCs w:val="24"/>
        </w:rPr>
        <w:t xml:space="preserve">Prie neigiamų aspektų taip pat buvo paminėtas valdytojo dalies apmokestinimas gyventojų pajamų mokesčiu. </w:t>
      </w:r>
      <w:r w:rsidR="00EE25D7" w:rsidRPr="00EC1AB2">
        <w:rPr>
          <w:rFonts w:ascii="Times New Roman" w:hAnsi="Times New Roman" w:cs="Times New Roman"/>
          <w:sz w:val="24"/>
          <w:szCs w:val="24"/>
        </w:rPr>
        <w:t>EVCA ataskaitoje pabrėžta, kad Lietuva neturi</w:t>
      </w:r>
      <w:r w:rsidR="00941F82" w:rsidRPr="00EC1AB2">
        <w:rPr>
          <w:rFonts w:ascii="Times New Roman" w:hAnsi="Times New Roman" w:cs="Times New Roman"/>
          <w:sz w:val="24"/>
          <w:szCs w:val="24"/>
        </w:rPr>
        <w:t xml:space="preserve"> specifinių mokestinių lengvatų, skatinančių jaunų ir inovatyvių įmonių plėtrą ankstyvo</w:t>
      </w:r>
      <w:r w:rsidR="00EE25D7" w:rsidRPr="00EC1AB2">
        <w:rPr>
          <w:rFonts w:ascii="Times New Roman" w:hAnsi="Times New Roman" w:cs="Times New Roman"/>
          <w:sz w:val="24"/>
          <w:szCs w:val="24"/>
        </w:rPr>
        <w:t xml:space="preserve">je veiklos stadijoje tik patvirtino ekspertinio tyrimo metu gautą informaciją, kad Lietuvai, iš tikrųjų trūksta </w:t>
      </w:r>
      <w:r w:rsidR="004628F2" w:rsidRPr="00EC1AB2">
        <w:rPr>
          <w:rFonts w:ascii="Times New Roman" w:eastAsia="Times New Roman" w:hAnsi="Times New Roman" w:cs="Times New Roman"/>
          <w:sz w:val="24"/>
          <w:szCs w:val="24"/>
          <w:lang w:eastAsia="lt-LT"/>
        </w:rPr>
        <w:t>mokestinių lengvatų jaunoms technologinėms įmonėms.</w:t>
      </w:r>
      <w:r w:rsidR="00560FA4" w:rsidRPr="00EC1AB2">
        <w:rPr>
          <w:rFonts w:ascii="Times New Roman" w:eastAsia="Times New Roman" w:hAnsi="Times New Roman" w:cs="Times New Roman"/>
          <w:sz w:val="24"/>
          <w:szCs w:val="24"/>
          <w:lang w:eastAsia="lt-LT"/>
        </w:rPr>
        <w:t xml:space="preserve"> Šioje ataskaitoje paminėta, kad</w:t>
      </w:r>
      <w:r w:rsidR="003E37C2" w:rsidRPr="00EC1AB2">
        <w:rPr>
          <w:rFonts w:ascii="Times New Roman" w:eastAsia="Times New Roman" w:hAnsi="Times New Roman" w:cs="Times New Roman"/>
          <w:sz w:val="24"/>
          <w:szCs w:val="24"/>
          <w:lang w:eastAsia="lt-LT"/>
        </w:rPr>
        <w:t xml:space="preserve"> Lietuva neskatina MTEP, tačiau, kaip jau minėta</w:t>
      </w:r>
      <w:r w:rsidR="007E1225" w:rsidRPr="00EC1AB2">
        <w:rPr>
          <w:rFonts w:ascii="Times New Roman" w:eastAsia="Times New Roman" w:hAnsi="Times New Roman" w:cs="Times New Roman"/>
          <w:sz w:val="24"/>
          <w:szCs w:val="24"/>
          <w:lang w:eastAsia="lt-LT"/>
        </w:rPr>
        <w:t xml:space="preserve"> įmonėms </w:t>
      </w:r>
      <w:r w:rsidR="00D24E79" w:rsidRPr="00EC1AB2">
        <w:rPr>
          <w:rFonts w:ascii="Times New Roman" w:eastAsia="Times New Roman" w:hAnsi="Times New Roman" w:cs="Times New Roman"/>
          <w:sz w:val="24"/>
          <w:szCs w:val="24"/>
          <w:lang w:eastAsia="lt-LT"/>
        </w:rPr>
        <w:t xml:space="preserve">patiriančios išlaidas MTEP 2008 m. pradėtos </w:t>
      </w:r>
      <w:r w:rsidR="00D24E79" w:rsidRPr="00EC1AB2">
        <w:rPr>
          <w:rFonts w:ascii="Times New Roman" w:hAnsi="Times New Roman" w:cs="Times New Roman"/>
          <w:bCs/>
          <w:sz w:val="24"/>
          <w:szCs w:val="24"/>
        </w:rPr>
        <w:t>taikyti</w:t>
      </w:r>
      <w:r w:rsidR="00912AA7" w:rsidRPr="00EC1AB2">
        <w:rPr>
          <w:rFonts w:ascii="Times New Roman" w:hAnsi="Times New Roman" w:cs="Times New Roman"/>
          <w:bCs/>
          <w:sz w:val="24"/>
          <w:szCs w:val="24"/>
        </w:rPr>
        <w:t xml:space="preserve"> pel</w:t>
      </w:r>
      <w:r w:rsidR="004E1765" w:rsidRPr="00EC1AB2">
        <w:rPr>
          <w:rFonts w:ascii="Times New Roman" w:hAnsi="Times New Roman" w:cs="Times New Roman"/>
          <w:bCs/>
          <w:sz w:val="24"/>
          <w:szCs w:val="24"/>
        </w:rPr>
        <w:t>no mokesčio lengvatos, todėl šį pelno mokesčio įstatymo pakeitimą galima priskirti prie stipriųjų</w:t>
      </w:r>
      <w:r w:rsidR="008F5127" w:rsidRPr="00EC1AB2">
        <w:rPr>
          <w:rFonts w:ascii="Times New Roman" w:hAnsi="Times New Roman" w:cs="Times New Roman"/>
          <w:bCs/>
          <w:sz w:val="24"/>
          <w:szCs w:val="24"/>
        </w:rPr>
        <w:t xml:space="preserve"> Lietuvos pusių.</w:t>
      </w:r>
    </w:p>
    <w:p w:rsidR="0088765D" w:rsidRPr="00EC1AB2" w:rsidRDefault="007B3BAB"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A.Groh, H. Liechtenstein, </w:t>
      </w:r>
      <w:r w:rsidRPr="00EC1AB2">
        <w:rPr>
          <w:rFonts w:ascii="Times New Roman" w:hAnsi="Times New Roman" w:cs="Times New Roman"/>
          <w:iCs/>
          <w:sz w:val="24"/>
          <w:szCs w:val="24"/>
        </w:rPr>
        <w:t>Karsten Lieser</w:t>
      </w:r>
      <w:r w:rsidRPr="00EC1AB2">
        <w:rPr>
          <w:rFonts w:ascii="Times New Roman" w:hAnsi="Times New Roman" w:cs="Times New Roman"/>
          <w:sz w:val="24"/>
          <w:szCs w:val="24"/>
        </w:rPr>
        <w:t xml:space="preserve"> kartu su audito įmone „Ernst&amp;Young”</w:t>
      </w:r>
      <w:r w:rsidR="00762F61" w:rsidRPr="00EC1AB2">
        <w:rPr>
          <w:rFonts w:ascii="Times New Roman" w:hAnsi="Times New Roman" w:cs="Times New Roman"/>
          <w:sz w:val="24"/>
          <w:szCs w:val="24"/>
        </w:rPr>
        <w:t xml:space="preserve"> kiekvienais metais</w:t>
      </w:r>
      <w:r w:rsidRPr="00EC1AB2">
        <w:rPr>
          <w:rFonts w:ascii="Times New Roman" w:hAnsi="Times New Roman" w:cs="Times New Roman"/>
          <w:sz w:val="24"/>
          <w:szCs w:val="24"/>
        </w:rPr>
        <w:t xml:space="preserve">, kaip jau minėta, </w:t>
      </w:r>
      <w:r w:rsidR="00C149E8" w:rsidRPr="00EC1AB2">
        <w:rPr>
          <w:rFonts w:ascii="Times New Roman" w:hAnsi="Times New Roman" w:cs="Times New Roman"/>
          <w:sz w:val="24"/>
          <w:szCs w:val="24"/>
        </w:rPr>
        <w:t xml:space="preserve">skaičiuoja </w:t>
      </w:r>
      <w:r w:rsidR="00C149E8" w:rsidRPr="00EC1AB2">
        <w:rPr>
          <w:rFonts w:ascii="Times New Roman" w:hAnsi="Times New Roman" w:cs="Times New Roman"/>
          <w:bCs/>
          <w:i/>
          <w:sz w:val="24"/>
          <w:szCs w:val="24"/>
        </w:rPr>
        <w:t>The Global Venture Capital and Private Equity</w:t>
      </w:r>
      <w:r w:rsidR="00C149E8" w:rsidRPr="00EC1AB2">
        <w:rPr>
          <w:rFonts w:ascii="Times New Roman" w:hAnsi="Times New Roman" w:cs="Times New Roman"/>
          <w:bCs/>
          <w:i/>
          <w:sz w:val="24"/>
          <w:szCs w:val="24"/>
        </w:rPr>
        <w:br/>
        <w:t>Country Attractiveness Index</w:t>
      </w:r>
      <w:r w:rsidR="00046F92" w:rsidRPr="00EC1AB2">
        <w:rPr>
          <w:rFonts w:ascii="Times New Roman" w:hAnsi="Times New Roman" w:cs="Times New Roman"/>
          <w:i/>
          <w:sz w:val="24"/>
          <w:szCs w:val="24"/>
        </w:rPr>
        <w:t xml:space="preserve"> </w:t>
      </w:r>
      <w:r w:rsidR="00A008C8" w:rsidRPr="00EC1AB2">
        <w:rPr>
          <w:rFonts w:ascii="Times New Roman" w:hAnsi="Times New Roman" w:cs="Times New Roman"/>
          <w:sz w:val="24"/>
          <w:szCs w:val="24"/>
        </w:rPr>
        <w:t>aštuoniasdešimčiai pasaulio valstybių</w:t>
      </w:r>
      <w:r w:rsidR="00046F92" w:rsidRPr="00EC1AB2">
        <w:rPr>
          <w:rFonts w:ascii="Times New Roman" w:hAnsi="Times New Roman" w:cs="Times New Roman"/>
          <w:sz w:val="24"/>
          <w:szCs w:val="24"/>
        </w:rPr>
        <w:t xml:space="preserve"> iš</w:t>
      </w:r>
      <w:r w:rsidR="00A008C8" w:rsidRPr="00EC1AB2">
        <w:rPr>
          <w:rFonts w:ascii="Times New Roman" w:hAnsi="Times New Roman" w:cs="Times New Roman"/>
          <w:sz w:val="24"/>
          <w:szCs w:val="24"/>
        </w:rPr>
        <w:t>sidėsčiusių</w:t>
      </w:r>
      <w:r w:rsidR="00180992" w:rsidRPr="00EC1AB2">
        <w:rPr>
          <w:rFonts w:ascii="Times New Roman" w:hAnsi="Times New Roman" w:cs="Times New Roman"/>
          <w:sz w:val="24"/>
          <w:szCs w:val="24"/>
        </w:rPr>
        <w:t xml:space="preserve"> visuose žemynuose. </w:t>
      </w:r>
      <w:r w:rsidR="0095790A" w:rsidRPr="00EC1AB2">
        <w:rPr>
          <w:rFonts w:ascii="Times New Roman" w:hAnsi="Times New Roman" w:cs="Times New Roman"/>
          <w:sz w:val="24"/>
          <w:szCs w:val="24"/>
        </w:rPr>
        <w:t>Šis indeksas sudaromas remiantis šešias aspektais: ekonominiu šalies aktyvumu, kapitalo rinkos gilumu, mokesčių sistemos patrauklumu</w:t>
      </w:r>
      <w:r w:rsidR="005B2AD7" w:rsidRPr="00EC1AB2">
        <w:rPr>
          <w:rFonts w:ascii="Times New Roman" w:hAnsi="Times New Roman" w:cs="Times New Roman"/>
          <w:sz w:val="24"/>
          <w:szCs w:val="24"/>
        </w:rPr>
        <w:t xml:space="preserve"> bei investuotojų apsauga ir organizacijų valdymu. </w:t>
      </w:r>
      <w:r w:rsidR="00FE61CC" w:rsidRPr="00EC1AB2">
        <w:rPr>
          <w:rFonts w:ascii="Times New Roman" w:hAnsi="Times New Roman" w:cs="Times New Roman"/>
          <w:sz w:val="24"/>
          <w:szCs w:val="24"/>
        </w:rPr>
        <w:t xml:space="preserve">Lietuva 2011 m. įvertinta </w:t>
      </w:r>
      <w:r w:rsidR="00A008C8" w:rsidRPr="00EC1AB2">
        <w:rPr>
          <w:rFonts w:ascii="Times New Roman" w:hAnsi="Times New Roman" w:cs="Times New Roman"/>
          <w:sz w:val="24"/>
          <w:szCs w:val="24"/>
        </w:rPr>
        <w:t>57 vieta iš 80, Estija – 4</w:t>
      </w:r>
      <w:r w:rsidR="009D067E" w:rsidRPr="00EC1AB2">
        <w:rPr>
          <w:rFonts w:ascii="Times New Roman" w:hAnsi="Times New Roman" w:cs="Times New Roman"/>
          <w:sz w:val="24"/>
          <w:szCs w:val="24"/>
        </w:rPr>
        <w:t xml:space="preserve">7, o Latvija – 67. </w:t>
      </w:r>
      <w:r w:rsidR="002323AE" w:rsidRPr="00EC1AB2">
        <w:rPr>
          <w:rFonts w:ascii="Times New Roman" w:hAnsi="Times New Roman" w:cs="Times New Roman"/>
          <w:sz w:val="24"/>
          <w:szCs w:val="24"/>
        </w:rPr>
        <w:t xml:space="preserve">Taip pat verta paminėti, kad pirmoje vietoje buvo JAV, o paskutinėje, iš visų reitinguotų šalių </w:t>
      </w:r>
      <w:r w:rsidR="00D40C9E" w:rsidRPr="00EC1AB2">
        <w:rPr>
          <w:rFonts w:ascii="Times New Roman" w:hAnsi="Times New Roman" w:cs="Times New Roman"/>
          <w:sz w:val="24"/>
          <w:szCs w:val="24"/>
        </w:rPr>
        <w:t xml:space="preserve">Kirgizija. </w:t>
      </w:r>
    </w:p>
    <w:p w:rsidR="00AC4DD6" w:rsidRPr="00EC1AB2" w:rsidRDefault="00AC4DD6"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Reikia paminėti, kad nuo 2007</w:t>
      </w:r>
      <w:r w:rsidR="0088765D" w:rsidRPr="00EC1AB2">
        <w:rPr>
          <w:rFonts w:ascii="Times New Roman" w:hAnsi="Times New Roman" w:cs="Times New Roman"/>
          <w:sz w:val="24"/>
          <w:szCs w:val="24"/>
        </w:rPr>
        <w:t xml:space="preserve"> m., kuomet Lietuvai buvo pradėtas skaičiuo</w:t>
      </w:r>
      <w:r w:rsidRPr="00EC1AB2">
        <w:rPr>
          <w:rFonts w:ascii="Times New Roman" w:hAnsi="Times New Roman" w:cs="Times New Roman"/>
          <w:sz w:val="24"/>
          <w:szCs w:val="24"/>
        </w:rPr>
        <w:t>tis šis indeksas, ji  nukrito 11</w:t>
      </w:r>
      <w:r w:rsidR="0088765D" w:rsidRPr="00EC1AB2">
        <w:rPr>
          <w:rFonts w:ascii="Times New Roman" w:hAnsi="Times New Roman" w:cs="Times New Roman"/>
          <w:sz w:val="24"/>
          <w:szCs w:val="24"/>
        </w:rPr>
        <w:t xml:space="preserve"> po</w:t>
      </w:r>
      <w:r w:rsidRPr="00EC1AB2">
        <w:rPr>
          <w:rFonts w:ascii="Times New Roman" w:hAnsi="Times New Roman" w:cs="Times New Roman"/>
          <w:sz w:val="24"/>
          <w:szCs w:val="24"/>
        </w:rPr>
        <w:t>zicijų</w:t>
      </w:r>
      <w:r w:rsidR="0088765D" w:rsidRPr="00EC1AB2">
        <w:rPr>
          <w:rFonts w:ascii="Times New Roman" w:hAnsi="Times New Roman" w:cs="Times New Roman"/>
          <w:sz w:val="24"/>
          <w:szCs w:val="24"/>
        </w:rPr>
        <w:t xml:space="preserve"> žemys. </w:t>
      </w:r>
      <w:r w:rsidR="00511EB9" w:rsidRPr="00EC1AB2">
        <w:rPr>
          <w:rFonts w:ascii="Times New Roman" w:hAnsi="Times New Roman" w:cs="Times New Roman"/>
          <w:sz w:val="24"/>
          <w:szCs w:val="24"/>
        </w:rPr>
        <w:t>Palyginimui pat</w:t>
      </w:r>
      <w:r w:rsidRPr="00EC1AB2">
        <w:rPr>
          <w:rFonts w:ascii="Times New Roman" w:hAnsi="Times New Roman" w:cs="Times New Roman"/>
          <w:sz w:val="24"/>
          <w:szCs w:val="24"/>
        </w:rPr>
        <w:t>eikiamas detalesni</w:t>
      </w:r>
      <w:r w:rsidR="00ED2463" w:rsidRPr="00EC1AB2">
        <w:rPr>
          <w:rFonts w:ascii="Times New Roman" w:hAnsi="Times New Roman" w:cs="Times New Roman"/>
          <w:sz w:val="24"/>
          <w:szCs w:val="24"/>
        </w:rPr>
        <w:t xml:space="preserve"> indekso įve</w:t>
      </w:r>
      <w:r w:rsidR="00177C92" w:rsidRPr="00EC1AB2">
        <w:rPr>
          <w:rFonts w:ascii="Times New Roman" w:hAnsi="Times New Roman" w:cs="Times New Roman"/>
          <w:sz w:val="24"/>
          <w:szCs w:val="24"/>
        </w:rPr>
        <w:t>r</w:t>
      </w:r>
      <w:r w:rsidR="00ED2463" w:rsidRPr="00EC1AB2">
        <w:rPr>
          <w:rFonts w:ascii="Times New Roman" w:hAnsi="Times New Roman" w:cs="Times New Roman"/>
          <w:sz w:val="24"/>
          <w:szCs w:val="24"/>
        </w:rPr>
        <w:t xml:space="preserve">tinimai (žr. </w:t>
      </w:r>
      <w:r w:rsidR="00AF22EE" w:rsidRPr="00EC1AB2">
        <w:rPr>
          <w:rFonts w:ascii="Times New Roman" w:hAnsi="Times New Roman" w:cs="Times New Roman"/>
          <w:sz w:val="24"/>
          <w:szCs w:val="24"/>
        </w:rPr>
        <w:t>9</w:t>
      </w:r>
      <w:r w:rsidR="00C51AAB" w:rsidRPr="00EC1AB2">
        <w:rPr>
          <w:rFonts w:ascii="Times New Roman" w:hAnsi="Times New Roman" w:cs="Times New Roman"/>
          <w:sz w:val="24"/>
          <w:szCs w:val="24"/>
        </w:rPr>
        <w:t xml:space="preserve"> lent.).</w:t>
      </w:r>
    </w:p>
    <w:p w:rsidR="002530F4" w:rsidRPr="00EC1AB2" w:rsidRDefault="002530F4" w:rsidP="007A02A8">
      <w:pPr>
        <w:spacing w:after="0" w:line="360" w:lineRule="auto"/>
        <w:jc w:val="both"/>
        <w:rPr>
          <w:rFonts w:ascii="Times New Roman" w:hAnsi="Times New Roman" w:cs="Times New Roman"/>
          <w:sz w:val="24"/>
          <w:szCs w:val="24"/>
        </w:rPr>
      </w:pPr>
    </w:p>
    <w:p w:rsidR="00AC4DD6" w:rsidRPr="00EC1AB2" w:rsidRDefault="002530F4" w:rsidP="007A02A8">
      <w:pPr>
        <w:pStyle w:val="Heading4"/>
        <w:spacing w:before="0" w:line="360" w:lineRule="auto"/>
        <w:jc w:val="center"/>
        <w:rPr>
          <w:rFonts w:ascii="Times New Roman" w:hAnsi="Times New Roman" w:cs="Times New Roman"/>
          <w:i w:val="0"/>
          <w:color w:val="auto"/>
          <w:sz w:val="24"/>
          <w:szCs w:val="24"/>
        </w:rPr>
      </w:pPr>
      <w:bookmarkStart w:id="190" w:name="_Toc320761940"/>
      <w:bookmarkStart w:id="191" w:name="_Toc320762175"/>
      <w:bookmarkStart w:id="192" w:name="_Toc320762578"/>
      <w:r w:rsidRPr="00EC1AB2">
        <w:rPr>
          <w:rFonts w:ascii="Times New Roman" w:hAnsi="Times New Roman" w:cs="Times New Roman"/>
          <w:b w:val="0"/>
          <w:i w:val="0"/>
          <w:color w:val="auto"/>
          <w:sz w:val="24"/>
          <w:szCs w:val="24"/>
        </w:rPr>
        <w:t>10</w:t>
      </w:r>
      <w:r w:rsidR="00D80750" w:rsidRPr="00EC1AB2">
        <w:rPr>
          <w:rFonts w:ascii="Times New Roman" w:hAnsi="Times New Roman" w:cs="Times New Roman"/>
          <w:b w:val="0"/>
          <w:i w:val="0"/>
          <w:color w:val="auto"/>
          <w:sz w:val="24"/>
          <w:szCs w:val="24"/>
        </w:rPr>
        <w:t xml:space="preserve"> lentelė.</w:t>
      </w:r>
      <w:r w:rsidR="00D80750" w:rsidRPr="00EC1AB2">
        <w:rPr>
          <w:rFonts w:ascii="Times New Roman" w:hAnsi="Times New Roman" w:cs="Times New Roman"/>
          <w:i w:val="0"/>
          <w:color w:val="auto"/>
          <w:sz w:val="24"/>
          <w:szCs w:val="24"/>
        </w:rPr>
        <w:t xml:space="preserve"> </w:t>
      </w:r>
      <w:r w:rsidR="00D96BD7" w:rsidRPr="00EC1AB2">
        <w:rPr>
          <w:rFonts w:ascii="Times New Roman" w:hAnsi="Times New Roman" w:cs="Times New Roman"/>
          <w:i w:val="0"/>
          <w:color w:val="auto"/>
          <w:sz w:val="24"/>
          <w:szCs w:val="24"/>
        </w:rPr>
        <w:t xml:space="preserve">Šalies patrauklumo rizikos ir privataus kapitalo investicijoms </w:t>
      </w:r>
      <w:bookmarkEnd w:id="190"/>
      <w:bookmarkEnd w:id="191"/>
      <w:bookmarkEnd w:id="192"/>
      <w:r w:rsidR="00D96BD7" w:rsidRPr="00EC1AB2">
        <w:rPr>
          <w:rFonts w:ascii="Times New Roman" w:hAnsi="Times New Roman" w:cs="Times New Roman"/>
          <w:i w:val="0"/>
          <w:color w:val="auto"/>
          <w:sz w:val="24"/>
          <w:szCs w:val="24"/>
        </w:rPr>
        <w:t>indeksas</w:t>
      </w:r>
    </w:p>
    <w:p w:rsidR="00D80750" w:rsidRPr="00EC1AB2" w:rsidRDefault="00D80750" w:rsidP="007A02A8">
      <w:pPr>
        <w:spacing w:after="0" w:line="360" w:lineRule="auto"/>
        <w:jc w:val="center"/>
        <w:rPr>
          <w:rFonts w:ascii="Times New Roman" w:hAnsi="Times New Roman" w:cs="Times New Roman"/>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8"/>
        <w:gridCol w:w="1800"/>
        <w:gridCol w:w="1683"/>
      </w:tblGrid>
      <w:tr w:rsidR="00F25E1F" w:rsidRPr="00EC1AB2" w:rsidTr="00F3420B">
        <w:trPr>
          <w:trHeight w:val="288"/>
          <w:jc w:val="center"/>
        </w:trPr>
        <w:tc>
          <w:tcPr>
            <w:tcW w:w="4788" w:type="dxa"/>
            <w:shd w:val="clear" w:color="auto" w:fill="auto"/>
            <w:vAlign w:val="center"/>
          </w:tcPr>
          <w:p w:rsidR="002A7A3E" w:rsidRPr="00EC1AB2" w:rsidRDefault="002A7A3E" w:rsidP="007A02A8">
            <w:pPr>
              <w:autoSpaceDE w:val="0"/>
              <w:autoSpaceDN w:val="0"/>
              <w:adjustRightInd w:val="0"/>
              <w:spacing w:after="0" w:line="360" w:lineRule="auto"/>
              <w:jc w:val="center"/>
              <w:rPr>
                <w:rFonts w:ascii="Times New Roman" w:hAnsi="Times New Roman" w:cs="Times New Roman"/>
                <w:b/>
                <w:sz w:val="20"/>
                <w:szCs w:val="20"/>
              </w:rPr>
            </w:pPr>
          </w:p>
        </w:tc>
        <w:tc>
          <w:tcPr>
            <w:tcW w:w="1800" w:type="dxa"/>
            <w:shd w:val="clear" w:color="auto" w:fill="auto"/>
            <w:vAlign w:val="center"/>
          </w:tcPr>
          <w:p w:rsidR="002A7A3E" w:rsidRPr="00EC1AB2" w:rsidRDefault="00D80750" w:rsidP="007A02A8">
            <w:pPr>
              <w:autoSpaceDE w:val="0"/>
              <w:autoSpaceDN w:val="0"/>
              <w:adjustRightInd w:val="0"/>
              <w:spacing w:after="0" w:line="360" w:lineRule="auto"/>
              <w:jc w:val="center"/>
              <w:rPr>
                <w:rFonts w:ascii="Times New Roman" w:hAnsi="Times New Roman" w:cs="Times New Roman"/>
                <w:b/>
                <w:sz w:val="20"/>
                <w:szCs w:val="20"/>
              </w:rPr>
            </w:pPr>
            <w:r w:rsidRPr="00EC1AB2">
              <w:rPr>
                <w:rFonts w:ascii="Times New Roman" w:hAnsi="Times New Roman" w:cs="Times New Roman"/>
                <w:b/>
                <w:sz w:val="20"/>
                <w:szCs w:val="20"/>
              </w:rPr>
              <w:t>2007</w:t>
            </w:r>
          </w:p>
        </w:tc>
        <w:tc>
          <w:tcPr>
            <w:tcW w:w="1683" w:type="dxa"/>
            <w:shd w:val="clear" w:color="auto" w:fill="auto"/>
            <w:vAlign w:val="center"/>
          </w:tcPr>
          <w:p w:rsidR="002A7A3E" w:rsidRPr="00EC1AB2" w:rsidRDefault="00D80750" w:rsidP="007A02A8">
            <w:pPr>
              <w:autoSpaceDE w:val="0"/>
              <w:autoSpaceDN w:val="0"/>
              <w:adjustRightInd w:val="0"/>
              <w:spacing w:after="0" w:line="360" w:lineRule="auto"/>
              <w:jc w:val="center"/>
              <w:rPr>
                <w:rFonts w:ascii="Times New Roman" w:hAnsi="Times New Roman" w:cs="Times New Roman"/>
                <w:b/>
                <w:sz w:val="20"/>
                <w:szCs w:val="20"/>
              </w:rPr>
            </w:pPr>
            <w:r w:rsidRPr="00EC1AB2">
              <w:rPr>
                <w:rFonts w:ascii="Times New Roman" w:hAnsi="Times New Roman" w:cs="Times New Roman"/>
                <w:b/>
                <w:sz w:val="20"/>
                <w:szCs w:val="20"/>
              </w:rPr>
              <w:t>2011</w:t>
            </w:r>
          </w:p>
        </w:tc>
      </w:tr>
      <w:tr w:rsidR="00F25E1F" w:rsidRPr="00EC1AB2" w:rsidTr="00F3420B">
        <w:trPr>
          <w:trHeight w:val="288"/>
          <w:jc w:val="center"/>
        </w:trPr>
        <w:tc>
          <w:tcPr>
            <w:tcW w:w="4788" w:type="dxa"/>
            <w:shd w:val="clear" w:color="auto" w:fill="auto"/>
            <w:vAlign w:val="center"/>
          </w:tcPr>
          <w:p w:rsidR="00D80750" w:rsidRPr="00EC1AB2" w:rsidRDefault="00D80750" w:rsidP="007A02A8">
            <w:pPr>
              <w:autoSpaceDE w:val="0"/>
              <w:autoSpaceDN w:val="0"/>
              <w:adjustRightInd w:val="0"/>
              <w:spacing w:after="0" w:line="360" w:lineRule="auto"/>
              <w:rPr>
                <w:rFonts w:ascii="Times New Roman" w:hAnsi="Times New Roman" w:cs="Times New Roman"/>
                <w:b/>
                <w:sz w:val="20"/>
                <w:szCs w:val="20"/>
              </w:rPr>
            </w:pPr>
            <w:r w:rsidRPr="00EC1AB2">
              <w:rPr>
                <w:rFonts w:ascii="Times New Roman" w:hAnsi="Times New Roman" w:cs="Times New Roman"/>
                <w:b/>
                <w:sz w:val="20"/>
                <w:szCs w:val="20"/>
              </w:rPr>
              <w:t>Bendras reitingas</w:t>
            </w:r>
          </w:p>
        </w:tc>
        <w:tc>
          <w:tcPr>
            <w:tcW w:w="1800" w:type="dxa"/>
            <w:shd w:val="clear" w:color="auto" w:fill="auto"/>
            <w:vAlign w:val="center"/>
          </w:tcPr>
          <w:p w:rsidR="00D80750" w:rsidRPr="00EC1AB2" w:rsidRDefault="00D80750" w:rsidP="007A02A8">
            <w:pPr>
              <w:autoSpaceDE w:val="0"/>
              <w:autoSpaceDN w:val="0"/>
              <w:adjustRightInd w:val="0"/>
              <w:spacing w:after="0" w:line="360" w:lineRule="auto"/>
              <w:jc w:val="center"/>
              <w:rPr>
                <w:rFonts w:ascii="Times New Roman" w:hAnsi="Times New Roman" w:cs="Times New Roman"/>
                <w:b/>
                <w:sz w:val="20"/>
                <w:szCs w:val="20"/>
              </w:rPr>
            </w:pPr>
            <w:r w:rsidRPr="00EC1AB2">
              <w:rPr>
                <w:rFonts w:ascii="Times New Roman" w:hAnsi="Times New Roman" w:cs="Times New Roman"/>
                <w:b/>
                <w:sz w:val="20"/>
                <w:szCs w:val="20"/>
              </w:rPr>
              <w:t>46</w:t>
            </w:r>
          </w:p>
        </w:tc>
        <w:tc>
          <w:tcPr>
            <w:tcW w:w="1683" w:type="dxa"/>
            <w:shd w:val="clear" w:color="auto" w:fill="auto"/>
            <w:vAlign w:val="center"/>
          </w:tcPr>
          <w:p w:rsidR="00D80750" w:rsidRPr="00EC1AB2" w:rsidRDefault="00D80750" w:rsidP="007A02A8">
            <w:pPr>
              <w:autoSpaceDE w:val="0"/>
              <w:autoSpaceDN w:val="0"/>
              <w:adjustRightInd w:val="0"/>
              <w:spacing w:after="0" w:line="360" w:lineRule="auto"/>
              <w:jc w:val="center"/>
              <w:rPr>
                <w:rFonts w:ascii="Times New Roman" w:hAnsi="Times New Roman" w:cs="Times New Roman"/>
                <w:b/>
                <w:sz w:val="20"/>
                <w:szCs w:val="20"/>
              </w:rPr>
            </w:pPr>
            <w:r w:rsidRPr="00EC1AB2">
              <w:rPr>
                <w:rFonts w:ascii="Times New Roman" w:hAnsi="Times New Roman" w:cs="Times New Roman"/>
                <w:b/>
                <w:sz w:val="20"/>
                <w:szCs w:val="20"/>
              </w:rPr>
              <w:t>57</w:t>
            </w:r>
          </w:p>
        </w:tc>
      </w:tr>
      <w:tr w:rsidR="00F25E1F" w:rsidRPr="00EC1AB2" w:rsidTr="00F3420B">
        <w:trPr>
          <w:trHeight w:val="228"/>
          <w:jc w:val="center"/>
        </w:trPr>
        <w:tc>
          <w:tcPr>
            <w:tcW w:w="4788" w:type="dxa"/>
            <w:shd w:val="clear" w:color="auto" w:fill="auto"/>
            <w:vAlign w:val="center"/>
          </w:tcPr>
          <w:p w:rsidR="002A7A3E" w:rsidRPr="00EC1AB2" w:rsidRDefault="002A7A3E" w:rsidP="007A02A8">
            <w:pPr>
              <w:autoSpaceDE w:val="0"/>
              <w:autoSpaceDN w:val="0"/>
              <w:adjustRightInd w:val="0"/>
              <w:spacing w:after="0" w:line="360" w:lineRule="auto"/>
              <w:rPr>
                <w:rFonts w:ascii="Times New Roman" w:hAnsi="Times New Roman" w:cs="Times New Roman"/>
                <w:sz w:val="20"/>
                <w:szCs w:val="20"/>
              </w:rPr>
            </w:pPr>
            <w:r w:rsidRPr="00EC1AB2">
              <w:rPr>
                <w:rFonts w:ascii="Times New Roman" w:hAnsi="Times New Roman" w:cs="Times New Roman"/>
                <w:sz w:val="20"/>
                <w:szCs w:val="20"/>
              </w:rPr>
              <w:t>Ekonominis aktyvumas</w:t>
            </w:r>
          </w:p>
        </w:tc>
        <w:tc>
          <w:tcPr>
            <w:tcW w:w="1800" w:type="dxa"/>
            <w:shd w:val="clear" w:color="auto" w:fill="auto"/>
            <w:vAlign w:val="center"/>
          </w:tcPr>
          <w:p w:rsidR="002A7A3E" w:rsidRPr="00EC1AB2" w:rsidRDefault="00D80750" w:rsidP="007A02A8">
            <w:pPr>
              <w:autoSpaceDE w:val="0"/>
              <w:autoSpaceDN w:val="0"/>
              <w:adjustRightInd w:val="0"/>
              <w:spacing w:after="0" w:line="360" w:lineRule="auto"/>
              <w:jc w:val="center"/>
              <w:rPr>
                <w:rFonts w:ascii="Times New Roman" w:hAnsi="Times New Roman" w:cs="Times New Roman"/>
                <w:sz w:val="20"/>
                <w:szCs w:val="20"/>
              </w:rPr>
            </w:pPr>
            <w:r w:rsidRPr="00EC1AB2">
              <w:rPr>
                <w:rFonts w:ascii="Times New Roman" w:hAnsi="Times New Roman" w:cs="Times New Roman"/>
                <w:sz w:val="20"/>
                <w:szCs w:val="20"/>
              </w:rPr>
              <w:t>30</w:t>
            </w:r>
          </w:p>
        </w:tc>
        <w:tc>
          <w:tcPr>
            <w:tcW w:w="1683" w:type="dxa"/>
            <w:shd w:val="clear" w:color="auto" w:fill="auto"/>
            <w:vAlign w:val="center"/>
          </w:tcPr>
          <w:p w:rsidR="002A7A3E" w:rsidRPr="00EC1AB2" w:rsidRDefault="00D80750" w:rsidP="007A02A8">
            <w:pPr>
              <w:autoSpaceDE w:val="0"/>
              <w:autoSpaceDN w:val="0"/>
              <w:adjustRightInd w:val="0"/>
              <w:spacing w:after="0" w:line="360" w:lineRule="auto"/>
              <w:jc w:val="center"/>
              <w:rPr>
                <w:rFonts w:ascii="Times New Roman" w:hAnsi="Times New Roman" w:cs="Times New Roman"/>
                <w:sz w:val="20"/>
                <w:szCs w:val="20"/>
              </w:rPr>
            </w:pPr>
            <w:r w:rsidRPr="00EC1AB2">
              <w:rPr>
                <w:rFonts w:ascii="Times New Roman" w:hAnsi="Times New Roman" w:cs="Times New Roman"/>
                <w:sz w:val="20"/>
                <w:szCs w:val="20"/>
              </w:rPr>
              <w:t>71</w:t>
            </w:r>
          </w:p>
        </w:tc>
      </w:tr>
      <w:tr w:rsidR="00F25E1F" w:rsidRPr="00EC1AB2" w:rsidTr="00F3420B">
        <w:trPr>
          <w:jc w:val="center"/>
        </w:trPr>
        <w:tc>
          <w:tcPr>
            <w:tcW w:w="4788" w:type="dxa"/>
            <w:shd w:val="clear" w:color="auto" w:fill="auto"/>
            <w:vAlign w:val="center"/>
          </w:tcPr>
          <w:p w:rsidR="002A7A3E" w:rsidRPr="00EC1AB2" w:rsidRDefault="002A7A3E" w:rsidP="007A02A8">
            <w:pPr>
              <w:autoSpaceDE w:val="0"/>
              <w:autoSpaceDN w:val="0"/>
              <w:adjustRightInd w:val="0"/>
              <w:spacing w:after="0" w:line="360" w:lineRule="auto"/>
              <w:rPr>
                <w:rFonts w:ascii="Times New Roman" w:hAnsi="Times New Roman" w:cs="Times New Roman"/>
                <w:sz w:val="20"/>
                <w:szCs w:val="20"/>
              </w:rPr>
            </w:pPr>
            <w:r w:rsidRPr="00EC1AB2">
              <w:rPr>
                <w:rFonts w:ascii="Times New Roman" w:hAnsi="Times New Roman" w:cs="Times New Roman"/>
                <w:sz w:val="20"/>
                <w:szCs w:val="20"/>
              </w:rPr>
              <w:t>Kapitalo rinkos gilumas</w:t>
            </w:r>
          </w:p>
        </w:tc>
        <w:tc>
          <w:tcPr>
            <w:tcW w:w="1800" w:type="dxa"/>
            <w:shd w:val="clear" w:color="auto" w:fill="auto"/>
            <w:vAlign w:val="center"/>
          </w:tcPr>
          <w:p w:rsidR="002A7A3E" w:rsidRPr="00EC1AB2" w:rsidRDefault="00D80750" w:rsidP="007A02A8">
            <w:pPr>
              <w:autoSpaceDE w:val="0"/>
              <w:autoSpaceDN w:val="0"/>
              <w:adjustRightInd w:val="0"/>
              <w:spacing w:after="0" w:line="360" w:lineRule="auto"/>
              <w:jc w:val="center"/>
              <w:rPr>
                <w:rFonts w:ascii="Times New Roman" w:hAnsi="Times New Roman" w:cs="Times New Roman"/>
                <w:sz w:val="20"/>
                <w:szCs w:val="20"/>
              </w:rPr>
            </w:pPr>
            <w:r w:rsidRPr="00EC1AB2">
              <w:rPr>
                <w:rFonts w:ascii="Times New Roman" w:hAnsi="Times New Roman" w:cs="Times New Roman"/>
                <w:sz w:val="20"/>
                <w:szCs w:val="20"/>
              </w:rPr>
              <w:t>57</w:t>
            </w:r>
          </w:p>
        </w:tc>
        <w:tc>
          <w:tcPr>
            <w:tcW w:w="1683" w:type="dxa"/>
            <w:shd w:val="clear" w:color="auto" w:fill="auto"/>
            <w:vAlign w:val="center"/>
          </w:tcPr>
          <w:p w:rsidR="002A7A3E" w:rsidRPr="00EC1AB2" w:rsidRDefault="00D80750" w:rsidP="007A02A8">
            <w:pPr>
              <w:autoSpaceDE w:val="0"/>
              <w:autoSpaceDN w:val="0"/>
              <w:adjustRightInd w:val="0"/>
              <w:spacing w:after="0" w:line="360" w:lineRule="auto"/>
              <w:jc w:val="center"/>
              <w:rPr>
                <w:rFonts w:ascii="Times New Roman" w:hAnsi="Times New Roman" w:cs="Times New Roman"/>
                <w:sz w:val="20"/>
                <w:szCs w:val="20"/>
              </w:rPr>
            </w:pPr>
            <w:r w:rsidRPr="00EC1AB2">
              <w:rPr>
                <w:rFonts w:ascii="Times New Roman" w:hAnsi="Times New Roman" w:cs="Times New Roman"/>
                <w:sz w:val="20"/>
                <w:szCs w:val="20"/>
              </w:rPr>
              <w:t>60</w:t>
            </w:r>
          </w:p>
        </w:tc>
      </w:tr>
      <w:tr w:rsidR="00F25E1F" w:rsidRPr="00EC1AB2" w:rsidTr="00F3420B">
        <w:trPr>
          <w:jc w:val="center"/>
        </w:trPr>
        <w:tc>
          <w:tcPr>
            <w:tcW w:w="4788" w:type="dxa"/>
            <w:shd w:val="clear" w:color="auto" w:fill="auto"/>
            <w:vAlign w:val="center"/>
          </w:tcPr>
          <w:p w:rsidR="002A7A3E" w:rsidRPr="00EC1AB2" w:rsidRDefault="002A7A3E" w:rsidP="007A02A8">
            <w:pPr>
              <w:autoSpaceDE w:val="0"/>
              <w:autoSpaceDN w:val="0"/>
              <w:adjustRightInd w:val="0"/>
              <w:spacing w:after="0" w:line="360" w:lineRule="auto"/>
              <w:rPr>
                <w:rFonts w:ascii="Times New Roman" w:hAnsi="Times New Roman" w:cs="Times New Roman"/>
                <w:sz w:val="20"/>
                <w:szCs w:val="20"/>
              </w:rPr>
            </w:pPr>
            <w:r w:rsidRPr="00EC1AB2">
              <w:rPr>
                <w:rFonts w:ascii="Times New Roman" w:hAnsi="Times New Roman" w:cs="Times New Roman"/>
                <w:sz w:val="20"/>
                <w:szCs w:val="20"/>
              </w:rPr>
              <w:t>Mokesčių sistema</w:t>
            </w:r>
          </w:p>
        </w:tc>
        <w:tc>
          <w:tcPr>
            <w:tcW w:w="1800" w:type="dxa"/>
            <w:shd w:val="clear" w:color="auto" w:fill="auto"/>
            <w:vAlign w:val="center"/>
          </w:tcPr>
          <w:p w:rsidR="002A7A3E" w:rsidRPr="00EC1AB2" w:rsidRDefault="00D80750" w:rsidP="007A02A8">
            <w:pPr>
              <w:autoSpaceDE w:val="0"/>
              <w:autoSpaceDN w:val="0"/>
              <w:adjustRightInd w:val="0"/>
              <w:spacing w:after="0" w:line="360" w:lineRule="auto"/>
              <w:jc w:val="center"/>
              <w:rPr>
                <w:rFonts w:ascii="Times New Roman" w:hAnsi="Times New Roman" w:cs="Times New Roman"/>
                <w:sz w:val="20"/>
                <w:szCs w:val="20"/>
              </w:rPr>
            </w:pPr>
            <w:r w:rsidRPr="00EC1AB2">
              <w:rPr>
                <w:rFonts w:ascii="Times New Roman" w:hAnsi="Times New Roman" w:cs="Times New Roman"/>
                <w:sz w:val="20"/>
                <w:szCs w:val="20"/>
              </w:rPr>
              <w:t>9</w:t>
            </w:r>
          </w:p>
        </w:tc>
        <w:tc>
          <w:tcPr>
            <w:tcW w:w="1683" w:type="dxa"/>
            <w:shd w:val="clear" w:color="auto" w:fill="auto"/>
            <w:vAlign w:val="center"/>
          </w:tcPr>
          <w:p w:rsidR="002A7A3E" w:rsidRPr="00EC1AB2" w:rsidRDefault="00D80750" w:rsidP="007A02A8">
            <w:pPr>
              <w:autoSpaceDE w:val="0"/>
              <w:autoSpaceDN w:val="0"/>
              <w:adjustRightInd w:val="0"/>
              <w:spacing w:after="0" w:line="360" w:lineRule="auto"/>
              <w:jc w:val="center"/>
              <w:rPr>
                <w:rFonts w:ascii="Times New Roman" w:hAnsi="Times New Roman" w:cs="Times New Roman"/>
                <w:sz w:val="20"/>
                <w:szCs w:val="20"/>
              </w:rPr>
            </w:pPr>
            <w:r w:rsidRPr="00EC1AB2">
              <w:rPr>
                <w:rFonts w:ascii="Times New Roman" w:hAnsi="Times New Roman" w:cs="Times New Roman"/>
                <w:sz w:val="20"/>
                <w:szCs w:val="20"/>
              </w:rPr>
              <w:t>32</w:t>
            </w:r>
          </w:p>
        </w:tc>
      </w:tr>
      <w:tr w:rsidR="00F25E1F" w:rsidRPr="00EC1AB2" w:rsidTr="00F3420B">
        <w:trPr>
          <w:jc w:val="center"/>
        </w:trPr>
        <w:tc>
          <w:tcPr>
            <w:tcW w:w="4788" w:type="dxa"/>
            <w:shd w:val="clear" w:color="auto" w:fill="auto"/>
            <w:vAlign w:val="center"/>
          </w:tcPr>
          <w:p w:rsidR="002A7A3E" w:rsidRPr="00EC1AB2" w:rsidRDefault="002A7A3E" w:rsidP="007A02A8">
            <w:pPr>
              <w:autoSpaceDE w:val="0"/>
              <w:autoSpaceDN w:val="0"/>
              <w:adjustRightInd w:val="0"/>
              <w:spacing w:after="0" w:line="360" w:lineRule="auto"/>
              <w:rPr>
                <w:rFonts w:ascii="Times New Roman" w:hAnsi="Times New Roman" w:cs="Times New Roman"/>
                <w:sz w:val="20"/>
                <w:szCs w:val="20"/>
              </w:rPr>
            </w:pPr>
            <w:r w:rsidRPr="00EC1AB2">
              <w:rPr>
                <w:rFonts w:ascii="Times New Roman" w:hAnsi="Times New Roman" w:cs="Times New Roman"/>
                <w:sz w:val="20"/>
                <w:szCs w:val="20"/>
              </w:rPr>
              <w:t>Investuotojų apsauga ir organizacijų valdymas</w:t>
            </w:r>
          </w:p>
        </w:tc>
        <w:tc>
          <w:tcPr>
            <w:tcW w:w="1800" w:type="dxa"/>
            <w:shd w:val="clear" w:color="auto" w:fill="auto"/>
            <w:vAlign w:val="center"/>
          </w:tcPr>
          <w:p w:rsidR="002A7A3E" w:rsidRPr="00EC1AB2" w:rsidRDefault="00D80750" w:rsidP="007A02A8">
            <w:pPr>
              <w:autoSpaceDE w:val="0"/>
              <w:autoSpaceDN w:val="0"/>
              <w:adjustRightInd w:val="0"/>
              <w:spacing w:after="0" w:line="360" w:lineRule="auto"/>
              <w:jc w:val="center"/>
              <w:rPr>
                <w:rFonts w:ascii="Times New Roman" w:hAnsi="Times New Roman" w:cs="Times New Roman"/>
                <w:sz w:val="20"/>
                <w:szCs w:val="20"/>
              </w:rPr>
            </w:pPr>
            <w:r w:rsidRPr="00EC1AB2">
              <w:rPr>
                <w:rFonts w:ascii="Times New Roman" w:hAnsi="Times New Roman" w:cs="Times New Roman"/>
                <w:sz w:val="20"/>
                <w:szCs w:val="20"/>
              </w:rPr>
              <w:t>36</w:t>
            </w:r>
          </w:p>
        </w:tc>
        <w:tc>
          <w:tcPr>
            <w:tcW w:w="1683" w:type="dxa"/>
            <w:shd w:val="clear" w:color="auto" w:fill="auto"/>
            <w:vAlign w:val="center"/>
          </w:tcPr>
          <w:p w:rsidR="002A7A3E" w:rsidRPr="00EC1AB2" w:rsidRDefault="00D80750" w:rsidP="007A02A8">
            <w:pPr>
              <w:autoSpaceDE w:val="0"/>
              <w:autoSpaceDN w:val="0"/>
              <w:adjustRightInd w:val="0"/>
              <w:spacing w:after="0" w:line="360" w:lineRule="auto"/>
              <w:jc w:val="center"/>
              <w:rPr>
                <w:rFonts w:ascii="Times New Roman" w:hAnsi="Times New Roman" w:cs="Times New Roman"/>
                <w:sz w:val="20"/>
                <w:szCs w:val="20"/>
              </w:rPr>
            </w:pPr>
            <w:r w:rsidRPr="00EC1AB2">
              <w:rPr>
                <w:rFonts w:ascii="Times New Roman" w:hAnsi="Times New Roman" w:cs="Times New Roman"/>
                <w:sz w:val="20"/>
                <w:szCs w:val="20"/>
              </w:rPr>
              <w:t>37</w:t>
            </w:r>
          </w:p>
        </w:tc>
      </w:tr>
      <w:tr w:rsidR="00F25E1F" w:rsidRPr="00EC1AB2" w:rsidTr="00F3420B">
        <w:trPr>
          <w:jc w:val="center"/>
        </w:trPr>
        <w:tc>
          <w:tcPr>
            <w:tcW w:w="4788" w:type="dxa"/>
            <w:shd w:val="clear" w:color="auto" w:fill="auto"/>
            <w:vAlign w:val="center"/>
          </w:tcPr>
          <w:p w:rsidR="002A7A3E" w:rsidRPr="00EC1AB2" w:rsidRDefault="002A7A3E" w:rsidP="007A02A8">
            <w:pPr>
              <w:autoSpaceDE w:val="0"/>
              <w:autoSpaceDN w:val="0"/>
              <w:adjustRightInd w:val="0"/>
              <w:spacing w:after="0" w:line="360" w:lineRule="auto"/>
              <w:rPr>
                <w:rFonts w:ascii="Times New Roman" w:hAnsi="Times New Roman" w:cs="Times New Roman"/>
                <w:sz w:val="20"/>
                <w:szCs w:val="20"/>
              </w:rPr>
            </w:pPr>
            <w:r w:rsidRPr="00EC1AB2">
              <w:rPr>
                <w:rFonts w:ascii="Times New Roman" w:hAnsi="Times New Roman" w:cs="Times New Roman"/>
                <w:sz w:val="20"/>
                <w:szCs w:val="20"/>
              </w:rPr>
              <w:t>Socialinė aplinka</w:t>
            </w:r>
          </w:p>
        </w:tc>
        <w:tc>
          <w:tcPr>
            <w:tcW w:w="1800" w:type="dxa"/>
            <w:shd w:val="clear" w:color="auto" w:fill="auto"/>
            <w:vAlign w:val="center"/>
          </w:tcPr>
          <w:p w:rsidR="002A7A3E" w:rsidRPr="00EC1AB2" w:rsidRDefault="00D80750" w:rsidP="007A02A8">
            <w:pPr>
              <w:autoSpaceDE w:val="0"/>
              <w:autoSpaceDN w:val="0"/>
              <w:adjustRightInd w:val="0"/>
              <w:spacing w:after="0" w:line="360" w:lineRule="auto"/>
              <w:jc w:val="center"/>
              <w:rPr>
                <w:rFonts w:ascii="Times New Roman" w:hAnsi="Times New Roman" w:cs="Times New Roman"/>
                <w:sz w:val="20"/>
                <w:szCs w:val="20"/>
              </w:rPr>
            </w:pPr>
            <w:r w:rsidRPr="00EC1AB2">
              <w:rPr>
                <w:rFonts w:ascii="Times New Roman" w:hAnsi="Times New Roman" w:cs="Times New Roman"/>
                <w:sz w:val="20"/>
                <w:szCs w:val="20"/>
              </w:rPr>
              <w:t>42</w:t>
            </w:r>
          </w:p>
        </w:tc>
        <w:tc>
          <w:tcPr>
            <w:tcW w:w="1683" w:type="dxa"/>
            <w:shd w:val="clear" w:color="auto" w:fill="auto"/>
            <w:vAlign w:val="center"/>
          </w:tcPr>
          <w:p w:rsidR="002A7A3E" w:rsidRPr="00EC1AB2" w:rsidRDefault="00D80750" w:rsidP="007A02A8">
            <w:pPr>
              <w:autoSpaceDE w:val="0"/>
              <w:autoSpaceDN w:val="0"/>
              <w:adjustRightInd w:val="0"/>
              <w:spacing w:after="0" w:line="360" w:lineRule="auto"/>
              <w:jc w:val="center"/>
              <w:rPr>
                <w:rFonts w:ascii="Times New Roman" w:hAnsi="Times New Roman" w:cs="Times New Roman"/>
                <w:sz w:val="20"/>
                <w:szCs w:val="20"/>
              </w:rPr>
            </w:pPr>
            <w:r w:rsidRPr="00EC1AB2">
              <w:rPr>
                <w:rFonts w:ascii="Times New Roman" w:hAnsi="Times New Roman" w:cs="Times New Roman"/>
                <w:sz w:val="20"/>
                <w:szCs w:val="20"/>
              </w:rPr>
              <w:t>45</w:t>
            </w:r>
          </w:p>
        </w:tc>
      </w:tr>
      <w:tr w:rsidR="002A7A3E" w:rsidRPr="00EC1AB2" w:rsidTr="00F3420B">
        <w:trPr>
          <w:jc w:val="center"/>
        </w:trPr>
        <w:tc>
          <w:tcPr>
            <w:tcW w:w="4788" w:type="dxa"/>
            <w:shd w:val="clear" w:color="auto" w:fill="auto"/>
            <w:vAlign w:val="center"/>
          </w:tcPr>
          <w:p w:rsidR="002A7A3E" w:rsidRPr="00EC1AB2" w:rsidRDefault="0052555C" w:rsidP="007A02A8">
            <w:pPr>
              <w:autoSpaceDE w:val="0"/>
              <w:autoSpaceDN w:val="0"/>
              <w:adjustRightInd w:val="0"/>
              <w:spacing w:after="0" w:line="360" w:lineRule="auto"/>
              <w:rPr>
                <w:rFonts w:ascii="Times New Roman" w:hAnsi="Times New Roman" w:cs="Times New Roman"/>
                <w:sz w:val="20"/>
                <w:szCs w:val="20"/>
              </w:rPr>
            </w:pPr>
            <w:r w:rsidRPr="00EC1AB2">
              <w:rPr>
                <w:rFonts w:ascii="Times New Roman" w:hAnsi="Times New Roman" w:cs="Times New Roman"/>
                <w:sz w:val="20"/>
                <w:szCs w:val="20"/>
              </w:rPr>
              <w:t>Antrepreneriška</w:t>
            </w:r>
            <w:r w:rsidR="002A7A3E" w:rsidRPr="00EC1AB2">
              <w:rPr>
                <w:rFonts w:ascii="Times New Roman" w:hAnsi="Times New Roman" w:cs="Times New Roman"/>
                <w:sz w:val="20"/>
                <w:szCs w:val="20"/>
              </w:rPr>
              <w:t xml:space="preserve"> kultūra ir jos galimybės</w:t>
            </w:r>
          </w:p>
        </w:tc>
        <w:tc>
          <w:tcPr>
            <w:tcW w:w="1800" w:type="dxa"/>
            <w:shd w:val="clear" w:color="auto" w:fill="auto"/>
            <w:vAlign w:val="center"/>
          </w:tcPr>
          <w:p w:rsidR="002A7A3E" w:rsidRPr="00EC1AB2" w:rsidRDefault="00D80750" w:rsidP="007A02A8">
            <w:pPr>
              <w:autoSpaceDE w:val="0"/>
              <w:autoSpaceDN w:val="0"/>
              <w:adjustRightInd w:val="0"/>
              <w:spacing w:after="0" w:line="360" w:lineRule="auto"/>
              <w:jc w:val="center"/>
              <w:rPr>
                <w:rFonts w:ascii="Times New Roman" w:hAnsi="Times New Roman" w:cs="Times New Roman"/>
                <w:sz w:val="20"/>
                <w:szCs w:val="20"/>
              </w:rPr>
            </w:pPr>
            <w:r w:rsidRPr="00EC1AB2">
              <w:rPr>
                <w:rFonts w:ascii="Times New Roman" w:hAnsi="Times New Roman" w:cs="Times New Roman"/>
                <w:sz w:val="20"/>
                <w:szCs w:val="20"/>
              </w:rPr>
              <w:t>34</w:t>
            </w:r>
          </w:p>
        </w:tc>
        <w:tc>
          <w:tcPr>
            <w:tcW w:w="1683" w:type="dxa"/>
            <w:shd w:val="clear" w:color="auto" w:fill="auto"/>
            <w:vAlign w:val="center"/>
          </w:tcPr>
          <w:p w:rsidR="002A7A3E" w:rsidRPr="00EC1AB2" w:rsidRDefault="00D80750" w:rsidP="007A02A8">
            <w:pPr>
              <w:autoSpaceDE w:val="0"/>
              <w:autoSpaceDN w:val="0"/>
              <w:adjustRightInd w:val="0"/>
              <w:spacing w:after="0" w:line="360" w:lineRule="auto"/>
              <w:jc w:val="center"/>
              <w:rPr>
                <w:rFonts w:ascii="Times New Roman" w:hAnsi="Times New Roman" w:cs="Times New Roman"/>
                <w:sz w:val="20"/>
                <w:szCs w:val="20"/>
              </w:rPr>
            </w:pPr>
            <w:r w:rsidRPr="00EC1AB2">
              <w:rPr>
                <w:rFonts w:ascii="Times New Roman" w:hAnsi="Times New Roman" w:cs="Times New Roman"/>
                <w:sz w:val="20"/>
                <w:szCs w:val="20"/>
              </w:rPr>
              <w:t>35</w:t>
            </w:r>
          </w:p>
        </w:tc>
      </w:tr>
    </w:tbl>
    <w:p w:rsidR="002A7A3E" w:rsidRPr="00EC1AB2" w:rsidRDefault="002A7A3E" w:rsidP="007A02A8">
      <w:pPr>
        <w:spacing w:after="0" w:line="360" w:lineRule="auto"/>
        <w:jc w:val="center"/>
        <w:rPr>
          <w:rFonts w:ascii="Times New Roman" w:hAnsi="Times New Roman" w:cs="Times New Roman"/>
          <w:sz w:val="24"/>
          <w:szCs w:val="24"/>
        </w:rPr>
      </w:pPr>
    </w:p>
    <w:p w:rsidR="00D80750" w:rsidRPr="00EC1AB2" w:rsidRDefault="00D80750" w:rsidP="007A02A8">
      <w:pPr>
        <w:spacing w:after="0" w:line="360" w:lineRule="auto"/>
        <w:ind w:firstLine="1296"/>
        <w:rPr>
          <w:rFonts w:ascii="Times New Roman" w:hAnsi="Times New Roman" w:cs="Times New Roman"/>
          <w:sz w:val="20"/>
          <w:szCs w:val="20"/>
        </w:rPr>
      </w:pPr>
      <w:r w:rsidRPr="00EC1AB2">
        <w:rPr>
          <w:rFonts w:ascii="Times New Roman" w:hAnsi="Times New Roman" w:cs="Times New Roman"/>
          <w:b/>
          <w:sz w:val="20"/>
          <w:szCs w:val="20"/>
        </w:rPr>
        <w:t xml:space="preserve">Šaltinis: </w:t>
      </w:r>
      <w:r w:rsidR="00A2000C" w:rsidRPr="00EC1AB2">
        <w:rPr>
          <w:rFonts w:ascii="Times New Roman" w:hAnsi="Times New Roman" w:cs="Times New Roman"/>
          <w:sz w:val="20"/>
          <w:szCs w:val="20"/>
        </w:rPr>
        <w:t>The Global Venture Capital and Private Equity Country  Index 2011 annual</w:t>
      </w:r>
    </w:p>
    <w:p w:rsidR="00001876" w:rsidRPr="00EC1AB2" w:rsidRDefault="00001876" w:rsidP="007A02A8">
      <w:pPr>
        <w:spacing w:after="0" w:line="360" w:lineRule="auto"/>
        <w:ind w:firstLine="1296"/>
        <w:rPr>
          <w:rFonts w:ascii="Times New Roman" w:hAnsi="Times New Roman" w:cs="Times New Roman"/>
          <w:sz w:val="24"/>
          <w:szCs w:val="24"/>
        </w:rPr>
      </w:pPr>
    </w:p>
    <w:p w:rsidR="005C1FDA" w:rsidRPr="00EC1AB2" w:rsidRDefault="002530F4"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Kaip matyt iš 10</w:t>
      </w:r>
      <w:r w:rsidR="005C1FDA" w:rsidRPr="00EC1AB2">
        <w:rPr>
          <w:rFonts w:ascii="Times New Roman" w:hAnsi="Times New Roman" w:cs="Times New Roman"/>
          <w:sz w:val="24"/>
          <w:szCs w:val="24"/>
        </w:rPr>
        <w:t xml:space="preserve"> lent. 2011 m. lyginant su 2007 m. </w:t>
      </w:r>
      <w:r w:rsidR="00001876" w:rsidRPr="00EC1AB2">
        <w:rPr>
          <w:rFonts w:ascii="Times New Roman" w:hAnsi="Times New Roman" w:cs="Times New Roman"/>
          <w:sz w:val="24"/>
          <w:szCs w:val="24"/>
        </w:rPr>
        <w:t>visi rodikliai prastėjo, daugiausiai ekonominis aktyvumas ir mokesčių sistema. Tai be abejo, lėmė</w:t>
      </w:r>
      <w:r w:rsidR="00F16614" w:rsidRPr="00EC1AB2">
        <w:rPr>
          <w:rFonts w:ascii="Times New Roman" w:hAnsi="Times New Roman" w:cs="Times New Roman"/>
          <w:sz w:val="24"/>
          <w:szCs w:val="24"/>
        </w:rPr>
        <w:t xml:space="preserve"> pasaulinė ekonominė krizė, </w:t>
      </w:r>
      <w:r w:rsidR="00C877F8" w:rsidRPr="00EC1AB2">
        <w:rPr>
          <w:rFonts w:ascii="Times New Roman" w:hAnsi="Times New Roman" w:cs="Times New Roman"/>
          <w:sz w:val="24"/>
          <w:szCs w:val="24"/>
        </w:rPr>
        <w:t xml:space="preserve">sulėtinusi ekonomikos augimo tempus bei dalį šalių nustūmusi į recesiją bei </w:t>
      </w:r>
      <w:r w:rsidR="00F16614" w:rsidRPr="00EC1AB2">
        <w:rPr>
          <w:rFonts w:ascii="Times New Roman" w:hAnsi="Times New Roman" w:cs="Times New Roman"/>
          <w:sz w:val="24"/>
          <w:szCs w:val="24"/>
        </w:rPr>
        <w:t xml:space="preserve">privertusi </w:t>
      </w:r>
      <w:r w:rsidR="00C877F8" w:rsidRPr="00EC1AB2">
        <w:rPr>
          <w:rFonts w:ascii="Times New Roman" w:hAnsi="Times New Roman" w:cs="Times New Roman"/>
          <w:sz w:val="24"/>
          <w:szCs w:val="24"/>
        </w:rPr>
        <w:t>vyriausybes didinti mokesčius.</w:t>
      </w:r>
      <w:r w:rsidR="00C72FE9" w:rsidRPr="00EC1AB2">
        <w:rPr>
          <w:rFonts w:ascii="Times New Roman" w:hAnsi="Times New Roman" w:cs="Times New Roman"/>
          <w:sz w:val="24"/>
          <w:szCs w:val="24"/>
        </w:rPr>
        <w:t xml:space="preserve"> Trimis pozicijomis sumažėjo kapitalo rinkos gilimo vertinimas. </w:t>
      </w:r>
      <w:r w:rsidR="001B651A" w:rsidRPr="00EC1AB2">
        <w:rPr>
          <w:rFonts w:ascii="Times New Roman" w:hAnsi="Times New Roman" w:cs="Times New Roman"/>
          <w:sz w:val="24"/>
          <w:szCs w:val="24"/>
        </w:rPr>
        <w:t xml:space="preserve">Jis apskaičiuojamas remiantis tokiais rodikliais kaip akcijų rinkos kapitalizacija, </w:t>
      </w:r>
      <w:r w:rsidR="008A59AE" w:rsidRPr="00EC1AB2">
        <w:rPr>
          <w:rFonts w:ascii="Times New Roman" w:hAnsi="Times New Roman" w:cs="Times New Roman"/>
          <w:sz w:val="24"/>
          <w:szCs w:val="24"/>
        </w:rPr>
        <w:t xml:space="preserve">įvykusių IPO, susijungimų ir susiliejimų </w:t>
      </w:r>
      <w:r w:rsidR="008A59AE" w:rsidRPr="00EC1AB2">
        <w:rPr>
          <w:rFonts w:ascii="Times New Roman" w:hAnsi="Times New Roman" w:cs="Times New Roman"/>
          <w:sz w:val="24"/>
          <w:szCs w:val="24"/>
        </w:rPr>
        <w:lastRenderedPageBreak/>
        <w:t xml:space="preserve">skaičius, galimybės gauti paskolą </w:t>
      </w:r>
      <w:r w:rsidR="009715C0" w:rsidRPr="00EC1AB2">
        <w:rPr>
          <w:rFonts w:ascii="Times New Roman" w:hAnsi="Times New Roman" w:cs="Times New Roman"/>
          <w:sz w:val="24"/>
          <w:szCs w:val="24"/>
        </w:rPr>
        <w:t xml:space="preserve">iš kredito institucijų, blogų paskolų santykis su visomis išduotomis paskolomis ir </w:t>
      </w:r>
      <w:r w:rsidR="008A59AE" w:rsidRPr="00EC1AB2">
        <w:rPr>
          <w:rFonts w:ascii="Times New Roman" w:hAnsi="Times New Roman" w:cs="Times New Roman"/>
          <w:sz w:val="24"/>
          <w:szCs w:val="24"/>
        </w:rPr>
        <w:t xml:space="preserve"> kt.</w:t>
      </w:r>
      <w:r w:rsidR="001568E2" w:rsidRPr="00EC1AB2">
        <w:rPr>
          <w:rFonts w:ascii="Times New Roman" w:hAnsi="Times New Roman" w:cs="Times New Roman"/>
          <w:sz w:val="24"/>
          <w:szCs w:val="24"/>
        </w:rPr>
        <w:t xml:space="preserve"> Galima paminėti, kad </w:t>
      </w:r>
      <w:r w:rsidR="008B6943" w:rsidRPr="00EC1AB2">
        <w:rPr>
          <w:rFonts w:ascii="Times New Roman" w:hAnsi="Times New Roman" w:cs="Times New Roman"/>
          <w:bCs/>
          <w:sz w:val="24"/>
          <w:szCs w:val="24"/>
          <w:lang w:eastAsia="lt-LT"/>
        </w:rPr>
        <w:t xml:space="preserve">Lietuvoje per 10 metų įvyko vos keturi pirminiai vieši akcijų platinimai („Lietuvos telekomo“ (2000 m.), City Service“ (2007 m.), „Agrowill Group“ (2008 m.)  ir „Linas Agro Group“(2010 m.). Ši informacija patvirtina ir ekspertinio tyrimo metu gautą informaciją, t.y. kad  Lietuvoje viena iš kliūčių </w:t>
      </w:r>
      <w:r w:rsidR="0096106D" w:rsidRPr="00EC1AB2">
        <w:rPr>
          <w:rFonts w:ascii="Times New Roman" w:hAnsi="Times New Roman" w:cs="Times New Roman"/>
          <w:bCs/>
          <w:sz w:val="24"/>
          <w:szCs w:val="24"/>
          <w:lang w:eastAsia="lt-LT"/>
        </w:rPr>
        <w:t xml:space="preserve">trukdanti </w:t>
      </w:r>
      <w:r w:rsidR="00A57CF5" w:rsidRPr="00EC1AB2">
        <w:rPr>
          <w:rFonts w:ascii="Times New Roman" w:hAnsi="Times New Roman" w:cs="Times New Roman"/>
          <w:bCs/>
          <w:sz w:val="24"/>
          <w:szCs w:val="24"/>
          <w:lang w:eastAsia="lt-LT"/>
        </w:rPr>
        <w:t>kurtis rizikos kapitalo rinkai</w:t>
      </w:r>
      <w:r w:rsidR="00332EDD" w:rsidRPr="00EC1AB2">
        <w:rPr>
          <w:rFonts w:ascii="Times New Roman" w:hAnsi="Times New Roman" w:cs="Times New Roman"/>
          <w:bCs/>
          <w:sz w:val="24"/>
          <w:szCs w:val="24"/>
          <w:lang w:eastAsia="lt-LT"/>
        </w:rPr>
        <w:t xml:space="preserve"> yra </w:t>
      </w:r>
      <w:r w:rsidR="008B6943" w:rsidRPr="00EC1AB2">
        <w:rPr>
          <w:rFonts w:ascii="Times New Roman" w:hAnsi="Times New Roman" w:cs="Times New Roman"/>
          <w:bCs/>
          <w:sz w:val="24"/>
          <w:szCs w:val="24"/>
          <w:lang w:eastAsia="lt-LT"/>
        </w:rPr>
        <w:t xml:space="preserve"> </w:t>
      </w:r>
      <w:r w:rsidR="00332EDD" w:rsidRPr="00EC1AB2">
        <w:rPr>
          <w:rFonts w:ascii="Times New Roman" w:hAnsi="Times New Roman" w:cs="Times New Roman"/>
          <w:bCs/>
          <w:sz w:val="24"/>
          <w:szCs w:val="24"/>
          <w:lang w:eastAsia="lt-LT"/>
        </w:rPr>
        <w:t xml:space="preserve">investicijų realizavimo akcijų rinkoje galimybės nebuvimas. </w:t>
      </w:r>
      <w:r w:rsidR="00E2389A" w:rsidRPr="00EC1AB2">
        <w:rPr>
          <w:rFonts w:ascii="Times New Roman" w:hAnsi="Times New Roman" w:cs="Times New Roman"/>
          <w:bCs/>
          <w:sz w:val="24"/>
          <w:szCs w:val="24"/>
          <w:lang w:eastAsia="lt-LT"/>
        </w:rPr>
        <w:t xml:space="preserve">Kiti rodikliai pakankamai nedaug pablogėjo ir lyginant su bendru reitingu buvo geresnėse pozicijose. </w:t>
      </w:r>
      <w:r w:rsidR="00D51C45" w:rsidRPr="00EC1AB2">
        <w:rPr>
          <w:rFonts w:ascii="Times New Roman" w:hAnsi="Times New Roman" w:cs="Times New Roman"/>
          <w:bCs/>
          <w:sz w:val="24"/>
          <w:szCs w:val="24"/>
          <w:lang w:eastAsia="lt-LT"/>
        </w:rPr>
        <w:t xml:space="preserve">Taigi, iš dalies </w:t>
      </w:r>
      <w:r w:rsidR="00D51C45" w:rsidRPr="00EC1AB2">
        <w:rPr>
          <w:rFonts w:ascii="Times New Roman" w:hAnsi="Times New Roman" w:cs="Times New Roman"/>
          <w:sz w:val="24"/>
          <w:szCs w:val="24"/>
        </w:rPr>
        <w:t xml:space="preserve">investuotojų apsaugą ir </w:t>
      </w:r>
      <w:r w:rsidR="00081D87" w:rsidRPr="00EC1AB2">
        <w:rPr>
          <w:rFonts w:ascii="Times New Roman" w:hAnsi="Times New Roman" w:cs="Times New Roman"/>
          <w:sz w:val="24"/>
          <w:szCs w:val="24"/>
        </w:rPr>
        <w:t>organizacijų valdymą (intelekt</w:t>
      </w:r>
      <w:r w:rsidR="00D51C45" w:rsidRPr="00EC1AB2">
        <w:rPr>
          <w:rFonts w:ascii="Times New Roman" w:hAnsi="Times New Roman" w:cs="Times New Roman"/>
          <w:sz w:val="24"/>
          <w:szCs w:val="24"/>
        </w:rPr>
        <w:t xml:space="preserve">inės nuosavybės teisės buvimas, teisinės sistemos nepriklausomumas, jos integralumas), socialinę aplinką </w:t>
      </w:r>
      <w:r w:rsidR="000B0C5C" w:rsidRPr="00EC1AB2">
        <w:rPr>
          <w:rFonts w:ascii="Times New Roman" w:hAnsi="Times New Roman" w:cs="Times New Roman"/>
          <w:sz w:val="24"/>
          <w:szCs w:val="24"/>
        </w:rPr>
        <w:t>(</w:t>
      </w:r>
      <w:r w:rsidR="0096432D" w:rsidRPr="00EC1AB2">
        <w:rPr>
          <w:rFonts w:ascii="Times New Roman" w:hAnsi="Times New Roman" w:cs="Times New Roman"/>
          <w:sz w:val="24"/>
          <w:szCs w:val="24"/>
        </w:rPr>
        <w:t>švietimo sistema, darbo jėgos nepaslankumas, korupcija, nusikalstamumas)</w:t>
      </w:r>
      <w:r w:rsidR="000B0C5C" w:rsidRPr="00EC1AB2">
        <w:rPr>
          <w:rFonts w:ascii="Times New Roman" w:hAnsi="Times New Roman" w:cs="Times New Roman"/>
          <w:sz w:val="24"/>
          <w:szCs w:val="24"/>
        </w:rPr>
        <w:t xml:space="preserve"> </w:t>
      </w:r>
      <w:r w:rsidR="00D51C45" w:rsidRPr="00EC1AB2">
        <w:rPr>
          <w:rFonts w:ascii="Times New Roman" w:hAnsi="Times New Roman" w:cs="Times New Roman"/>
          <w:sz w:val="24"/>
          <w:szCs w:val="24"/>
        </w:rPr>
        <w:t xml:space="preserve">bei antreprenerišką kultūrą ir jos galimybės </w:t>
      </w:r>
      <w:r w:rsidR="0096432D" w:rsidRPr="00EC1AB2">
        <w:rPr>
          <w:rFonts w:ascii="Times New Roman" w:hAnsi="Times New Roman" w:cs="Times New Roman"/>
          <w:sz w:val="24"/>
          <w:szCs w:val="24"/>
        </w:rPr>
        <w:t xml:space="preserve">(paprastumas pradėti ir uždaryti naują verslą ir kt.) </w:t>
      </w:r>
      <w:r w:rsidR="00D51C45" w:rsidRPr="00EC1AB2">
        <w:rPr>
          <w:rFonts w:ascii="Times New Roman" w:hAnsi="Times New Roman" w:cs="Times New Roman"/>
          <w:sz w:val="24"/>
          <w:szCs w:val="24"/>
        </w:rPr>
        <w:t xml:space="preserve">galima priskirti prie stipriųjų Lietuvos pusių. </w:t>
      </w:r>
    </w:p>
    <w:p w:rsidR="00A001C8" w:rsidRPr="00EC1AB2" w:rsidRDefault="00013CFD" w:rsidP="007A02A8">
      <w:pPr>
        <w:spacing w:after="0" w:line="360" w:lineRule="auto"/>
        <w:ind w:firstLine="567"/>
        <w:jc w:val="both"/>
        <w:rPr>
          <w:rFonts w:ascii="Times New Roman" w:hAnsi="Times New Roman" w:cs="Times New Roman"/>
          <w:sz w:val="24"/>
          <w:szCs w:val="24"/>
        </w:rPr>
      </w:pPr>
      <w:r w:rsidRPr="00EC1AB2">
        <w:rPr>
          <w:rFonts w:ascii="Times New Roman" w:hAnsi="Times New Roman" w:cs="Times New Roman"/>
          <w:sz w:val="24"/>
          <w:szCs w:val="24"/>
        </w:rPr>
        <w:t xml:space="preserve">Apibendrinant atlikto ekspertinio tyrimo rezultatus, EVCA rengiamą atskaitą bei </w:t>
      </w:r>
      <w:r w:rsidR="00B702E3" w:rsidRPr="00EC1AB2">
        <w:rPr>
          <w:rFonts w:ascii="Times New Roman" w:hAnsi="Times New Roman" w:cs="Times New Roman"/>
          <w:sz w:val="24"/>
          <w:szCs w:val="24"/>
        </w:rPr>
        <w:t xml:space="preserve">minėtą indeksą, vertinantį šalies patrauklumą </w:t>
      </w:r>
      <w:r w:rsidR="00FC6BDE" w:rsidRPr="00EC1AB2">
        <w:rPr>
          <w:rFonts w:ascii="Times New Roman" w:hAnsi="Times New Roman" w:cs="Times New Roman"/>
          <w:sz w:val="24"/>
          <w:szCs w:val="24"/>
        </w:rPr>
        <w:t>rizikos ir privataus kapitalo fond</w:t>
      </w:r>
      <w:r w:rsidR="00AF22EE" w:rsidRPr="00EC1AB2">
        <w:rPr>
          <w:rFonts w:ascii="Times New Roman" w:hAnsi="Times New Roman" w:cs="Times New Roman"/>
          <w:sz w:val="24"/>
          <w:szCs w:val="24"/>
        </w:rPr>
        <w:t>a</w:t>
      </w:r>
      <w:r w:rsidR="002530F4" w:rsidRPr="00EC1AB2">
        <w:rPr>
          <w:rFonts w:ascii="Times New Roman" w:hAnsi="Times New Roman" w:cs="Times New Roman"/>
          <w:sz w:val="24"/>
          <w:szCs w:val="24"/>
        </w:rPr>
        <w:t>ms sudaryta SWOT analizė (žr. 11</w:t>
      </w:r>
      <w:r w:rsidR="00FC6BDE" w:rsidRPr="00EC1AB2">
        <w:rPr>
          <w:rFonts w:ascii="Times New Roman" w:hAnsi="Times New Roman" w:cs="Times New Roman"/>
          <w:sz w:val="24"/>
          <w:szCs w:val="24"/>
        </w:rPr>
        <w:t xml:space="preserve"> lent.).</w:t>
      </w:r>
    </w:p>
    <w:p w:rsidR="006719ED" w:rsidRPr="00EC1AB2" w:rsidRDefault="00A001C8" w:rsidP="005E05CF">
      <w:pPr>
        <w:pStyle w:val="Heading4"/>
        <w:spacing w:before="0" w:line="240" w:lineRule="auto"/>
        <w:contextualSpacing/>
        <w:jc w:val="center"/>
        <w:rPr>
          <w:rFonts w:ascii="Times New Roman" w:hAnsi="Times New Roman" w:cs="Times New Roman"/>
          <w:i w:val="0"/>
          <w:color w:val="auto"/>
          <w:sz w:val="24"/>
          <w:szCs w:val="24"/>
        </w:rPr>
      </w:pPr>
      <w:bookmarkStart w:id="193" w:name="_Toc320761941"/>
      <w:bookmarkStart w:id="194" w:name="_Toc320762176"/>
      <w:bookmarkStart w:id="195" w:name="_Toc320762579"/>
      <w:r w:rsidRPr="00EC1AB2">
        <w:rPr>
          <w:rFonts w:ascii="Times New Roman" w:hAnsi="Times New Roman" w:cs="Times New Roman"/>
          <w:b w:val="0"/>
          <w:i w:val="0"/>
          <w:color w:val="auto"/>
          <w:sz w:val="24"/>
          <w:szCs w:val="24"/>
        </w:rPr>
        <w:t>11</w:t>
      </w:r>
      <w:r w:rsidR="00602177" w:rsidRPr="00EC1AB2">
        <w:rPr>
          <w:rFonts w:ascii="Times New Roman" w:hAnsi="Times New Roman" w:cs="Times New Roman"/>
          <w:b w:val="0"/>
          <w:i w:val="0"/>
          <w:color w:val="auto"/>
          <w:sz w:val="24"/>
          <w:szCs w:val="24"/>
        </w:rPr>
        <w:t xml:space="preserve"> lentelė.</w:t>
      </w:r>
      <w:r w:rsidR="00602177" w:rsidRPr="00EC1AB2">
        <w:rPr>
          <w:rFonts w:ascii="Times New Roman" w:hAnsi="Times New Roman" w:cs="Times New Roman"/>
          <w:i w:val="0"/>
          <w:color w:val="auto"/>
          <w:sz w:val="24"/>
          <w:szCs w:val="24"/>
        </w:rPr>
        <w:t xml:space="preserve"> R</w:t>
      </w:r>
      <w:r w:rsidR="00B92424" w:rsidRPr="00EC1AB2">
        <w:rPr>
          <w:rFonts w:ascii="Times New Roman" w:hAnsi="Times New Roman" w:cs="Times New Roman"/>
          <w:i w:val="0"/>
          <w:color w:val="auto"/>
          <w:sz w:val="24"/>
          <w:szCs w:val="24"/>
        </w:rPr>
        <w:t>izikos kapitalo fondų plėtros Lietuvoje</w:t>
      </w:r>
      <w:r w:rsidR="00602177" w:rsidRPr="00EC1AB2">
        <w:rPr>
          <w:rFonts w:ascii="Times New Roman" w:hAnsi="Times New Roman" w:cs="Times New Roman"/>
          <w:i w:val="0"/>
          <w:color w:val="auto"/>
          <w:sz w:val="24"/>
          <w:szCs w:val="24"/>
        </w:rPr>
        <w:t xml:space="preserve"> SWOT analizė</w:t>
      </w:r>
      <w:bookmarkEnd w:id="193"/>
      <w:bookmarkEnd w:id="194"/>
      <w:bookmarkEnd w:id="195"/>
    </w:p>
    <w:p w:rsidR="006719ED" w:rsidRPr="00EC1AB2" w:rsidRDefault="006719ED" w:rsidP="005E05CF">
      <w:pPr>
        <w:spacing w:after="0" w:line="240" w:lineRule="auto"/>
        <w:ind w:firstLine="1296"/>
        <w:contextualSpacing/>
        <w:rPr>
          <w:rFonts w:ascii="Times New Roman" w:hAnsi="Times New Roman" w:cs="Times New Roman"/>
          <w:sz w:val="24"/>
          <w:szCs w:val="24"/>
        </w:rPr>
      </w:pPr>
    </w:p>
    <w:tbl>
      <w:tblPr>
        <w:tblStyle w:val="TableGrid"/>
        <w:tblW w:w="0" w:type="auto"/>
        <w:tblInd w:w="108" w:type="dxa"/>
        <w:tblLook w:val="04A0" w:firstRow="1" w:lastRow="0" w:firstColumn="1" w:lastColumn="0" w:noHBand="0" w:noVBand="1"/>
      </w:tblPr>
      <w:tblGrid>
        <w:gridCol w:w="4819"/>
        <w:gridCol w:w="4927"/>
      </w:tblGrid>
      <w:tr w:rsidR="00F25E1F" w:rsidRPr="00EC1AB2" w:rsidTr="00FA1D9A">
        <w:trPr>
          <w:trHeight w:val="303"/>
        </w:trPr>
        <w:tc>
          <w:tcPr>
            <w:tcW w:w="4819" w:type="dxa"/>
          </w:tcPr>
          <w:p w:rsidR="008A6E9F" w:rsidRPr="00EC1AB2" w:rsidRDefault="008A6E9F" w:rsidP="00A617B2">
            <w:pPr>
              <w:autoSpaceDE w:val="0"/>
              <w:autoSpaceDN w:val="0"/>
              <w:adjustRightInd w:val="0"/>
              <w:contextualSpacing/>
              <w:jc w:val="both"/>
              <w:rPr>
                <w:rFonts w:ascii="Times New Roman" w:eastAsia="Times New Roman" w:hAnsi="Times New Roman" w:cs="Times New Roman"/>
                <w:b/>
                <w:sz w:val="24"/>
                <w:szCs w:val="24"/>
                <w:lang w:eastAsia="lt-LT"/>
              </w:rPr>
            </w:pPr>
            <w:r w:rsidRPr="00EC1AB2">
              <w:rPr>
                <w:rFonts w:ascii="Times New Roman" w:eastAsia="Times New Roman" w:hAnsi="Times New Roman" w:cs="Times New Roman"/>
                <w:b/>
                <w:sz w:val="24"/>
                <w:szCs w:val="24"/>
                <w:lang w:eastAsia="lt-LT"/>
              </w:rPr>
              <w:t>Stiprybės</w:t>
            </w:r>
          </w:p>
        </w:tc>
        <w:tc>
          <w:tcPr>
            <w:tcW w:w="4927" w:type="dxa"/>
          </w:tcPr>
          <w:p w:rsidR="008A6E9F" w:rsidRPr="00EC1AB2" w:rsidRDefault="008A6E9F" w:rsidP="00A617B2">
            <w:pPr>
              <w:autoSpaceDE w:val="0"/>
              <w:autoSpaceDN w:val="0"/>
              <w:adjustRightInd w:val="0"/>
              <w:contextualSpacing/>
              <w:jc w:val="both"/>
              <w:rPr>
                <w:rFonts w:ascii="Times New Roman" w:eastAsia="Times New Roman" w:hAnsi="Times New Roman" w:cs="Times New Roman"/>
                <w:b/>
                <w:sz w:val="24"/>
                <w:szCs w:val="24"/>
                <w:lang w:eastAsia="lt-LT"/>
              </w:rPr>
            </w:pPr>
            <w:r w:rsidRPr="00EC1AB2">
              <w:rPr>
                <w:rFonts w:ascii="Times New Roman" w:eastAsia="Times New Roman" w:hAnsi="Times New Roman" w:cs="Times New Roman"/>
                <w:b/>
                <w:sz w:val="24"/>
                <w:szCs w:val="24"/>
                <w:lang w:eastAsia="lt-LT"/>
              </w:rPr>
              <w:t>Silpnybės</w:t>
            </w:r>
          </w:p>
        </w:tc>
      </w:tr>
      <w:tr w:rsidR="00F25E1F" w:rsidRPr="00EC1AB2" w:rsidTr="00A001C8">
        <w:tc>
          <w:tcPr>
            <w:tcW w:w="4819" w:type="dxa"/>
          </w:tcPr>
          <w:p w:rsidR="00E979C1" w:rsidRPr="00EC1AB2" w:rsidRDefault="000E7269" w:rsidP="009F4399">
            <w:pPr>
              <w:autoSpaceDE w:val="0"/>
              <w:autoSpaceDN w:val="0"/>
              <w:adjustRightInd w:val="0"/>
              <w:spacing w:line="276" w:lineRule="auto"/>
              <w:jc w:val="both"/>
              <w:rPr>
                <w:rFonts w:ascii="Times New Roman" w:eastAsia="Times New Roman" w:hAnsi="Times New Roman" w:cs="Times New Roman"/>
                <w:sz w:val="20"/>
                <w:szCs w:val="20"/>
                <w:lang w:eastAsia="lt-LT"/>
              </w:rPr>
            </w:pPr>
            <w:r w:rsidRPr="00EC1AB2">
              <w:rPr>
                <w:rFonts w:ascii="Times New Roman" w:eastAsia="Times New Roman" w:hAnsi="Times New Roman" w:cs="Times New Roman"/>
                <w:sz w:val="24"/>
                <w:szCs w:val="24"/>
                <w:lang w:eastAsia="lt-LT"/>
              </w:rPr>
              <w:t xml:space="preserve">1. </w:t>
            </w:r>
            <w:r w:rsidR="00E979C1" w:rsidRPr="00EC1AB2">
              <w:rPr>
                <w:rFonts w:ascii="Times New Roman" w:eastAsia="Times New Roman" w:hAnsi="Times New Roman" w:cs="Times New Roman"/>
                <w:sz w:val="20"/>
                <w:szCs w:val="20"/>
                <w:lang w:eastAsia="lt-LT"/>
              </w:rPr>
              <w:t>Leidimas pensijų fondams ir draudimo įmonėms investuoti į RKF;</w:t>
            </w:r>
          </w:p>
          <w:p w:rsidR="008A6E9F" w:rsidRPr="00EC1AB2" w:rsidRDefault="00E979C1" w:rsidP="009F4399">
            <w:pPr>
              <w:autoSpaceDE w:val="0"/>
              <w:autoSpaceDN w:val="0"/>
              <w:adjustRightInd w:val="0"/>
              <w:spacing w:line="276" w:lineRule="auto"/>
              <w:jc w:val="both"/>
              <w:rPr>
                <w:rFonts w:ascii="Times New Roman" w:eastAsia="Times New Roman" w:hAnsi="Times New Roman" w:cs="Times New Roman"/>
                <w:sz w:val="20"/>
                <w:szCs w:val="20"/>
                <w:lang w:eastAsia="lt-LT"/>
              </w:rPr>
            </w:pPr>
            <w:r w:rsidRPr="00EC1AB2">
              <w:rPr>
                <w:rFonts w:ascii="Times New Roman" w:eastAsia="Times New Roman" w:hAnsi="Times New Roman" w:cs="Times New Roman"/>
                <w:sz w:val="20"/>
                <w:szCs w:val="20"/>
                <w:lang w:eastAsia="lt-LT"/>
              </w:rPr>
              <w:t>2. Pelno mokesčio lengvatos</w:t>
            </w:r>
            <w:r w:rsidR="00C84F70" w:rsidRPr="00EC1AB2">
              <w:rPr>
                <w:rFonts w:ascii="Times New Roman" w:eastAsia="Times New Roman" w:hAnsi="Times New Roman" w:cs="Times New Roman"/>
                <w:sz w:val="20"/>
                <w:szCs w:val="20"/>
                <w:lang w:eastAsia="lt-LT"/>
              </w:rPr>
              <w:t xml:space="preserve"> įmonės, investuojančioms į MTEP</w:t>
            </w:r>
            <w:r w:rsidRPr="00EC1AB2">
              <w:rPr>
                <w:rFonts w:ascii="Times New Roman" w:eastAsia="Times New Roman" w:hAnsi="Times New Roman" w:cs="Times New Roman"/>
                <w:sz w:val="20"/>
                <w:szCs w:val="20"/>
                <w:lang w:eastAsia="lt-LT"/>
              </w:rPr>
              <w:t xml:space="preserve"> </w:t>
            </w:r>
            <w:r w:rsidR="000E7269" w:rsidRPr="00EC1AB2">
              <w:rPr>
                <w:rFonts w:ascii="Times New Roman" w:eastAsia="Times New Roman" w:hAnsi="Times New Roman" w:cs="Times New Roman"/>
                <w:sz w:val="20"/>
                <w:szCs w:val="20"/>
                <w:lang w:eastAsia="lt-LT"/>
              </w:rPr>
              <w:t>;</w:t>
            </w:r>
          </w:p>
          <w:p w:rsidR="00AD5ECE" w:rsidRPr="00EC1AB2" w:rsidRDefault="00AD5ECE" w:rsidP="009F4399">
            <w:pPr>
              <w:autoSpaceDE w:val="0"/>
              <w:autoSpaceDN w:val="0"/>
              <w:adjustRightInd w:val="0"/>
              <w:spacing w:line="276" w:lineRule="auto"/>
              <w:jc w:val="both"/>
              <w:rPr>
                <w:rFonts w:ascii="Times New Roman" w:eastAsia="Times New Roman" w:hAnsi="Times New Roman" w:cs="Times New Roman"/>
                <w:sz w:val="20"/>
                <w:szCs w:val="20"/>
                <w:lang w:eastAsia="lt-LT"/>
              </w:rPr>
            </w:pPr>
            <w:r w:rsidRPr="00EC1AB2">
              <w:rPr>
                <w:rFonts w:ascii="Times New Roman" w:eastAsia="Times New Roman" w:hAnsi="Times New Roman" w:cs="Times New Roman"/>
                <w:sz w:val="20"/>
                <w:szCs w:val="20"/>
                <w:lang w:eastAsia="lt-LT"/>
              </w:rPr>
              <w:t>3. Pakankamai žemas pelno ir dividendų apmokest</w:t>
            </w:r>
            <w:r w:rsidR="00EE0316" w:rsidRPr="00EC1AB2">
              <w:rPr>
                <w:rFonts w:ascii="Times New Roman" w:eastAsia="Times New Roman" w:hAnsi="Times New Roman" w:cs="Times New Roman"/>
                <w:sz w:val="20"/>
                <w:szCs w:val="20"/>
                <w:lang w:eastAsia="lt-LT"/>
              </w:rPr>
              <w:t>inimo tarifas</w:t>
            </w:r>
            <w:r w:rsidRPr="00EC1AB2">
              <w:rPr>
                <w:rFonts w:ascii="Times New Roman" w:eastAsia="Times New Roman" w:hAnsi="Times New Roman" w:cs="Times New Roman"/>
                <w:sz w:val="20"/>
                <w:szCs w:val="20"/>
                <w:lang w:eastAsia="lt-LT"/>
              </w:rPr>
              <w:t>;</w:t>
            </w:r>
          </w:p>
          <w:p w:rsidR="00EE70CC" w:rsidRPr="00EC1AB2" w:rsidRDefault="00AD5ECE" w:rsidP="009F4399">
            <w:pPr>
              <w:autoSpaceDE w:val="0"/>
              <w:autoSpaceDN w:val="0"/>
              <w:adjustRightInd w:val="0"/>
              <w:spacing w:line="276" w:lineRule="auto"/>
              <w:jc w:val="both"/>
              <w:rPr>
                <w:rFonts w:ascii="Times New Roman" w:eastAsia="Times New Roman" w:hAnsi="Times New Roman" w:cs="Times New Roman"/>
                <w:sz w:val="20"/>
                <w:szCs w:val="20"/>
                <w:lang w:eastAsia="lt-LT"/>
              </w:rPr>
            </w:pPr>
            <w:r w:rsidRPr="00EC1AB2">
              <w:rPr>
                <w:rFonts w:ascii="Times New Roman" w:eastAsia="Times New Roman" w:hAnsi="Times New Roman" w:cs="Times New Roman"/>
                <w:sz w:val="20"/>
                <w:szCs w:val="20"/>
                <w:lang w:eastAsia="lt-LT"/>
              </w:rPr>
              <w:t>4</w:t>
            </w:r>
            <w:r w:rsidR="000E7269" w:rsidRPr="00EC1AB2">
              <w:rPr>
                <w:rFonts w:ascii="Times New Roman" w:eastAsia="Times New Roman" w:hAnsi="Times New Roman" w:cs="Times New Roman"/>
                <w:sz w:val="20"/>
                <w:szCs w:val="20"/>
                <w:lang w:eastAsia="lt-LT"/>
              </w:rPr>
              <w:t xml:space="preserve">. </w:t>
            </w:r>
            <w:r w:rsidR="00AB44AE" w:rsidRPr="00EC1AB2">
              <w:rPr>
                <w:rFonts w:ascii="Times New Roman" w:eastAsia="Times New Roman" w:hAnsi="Times New Roman" w:cs="Times New Roman"/>
                <w:sz w:val="20"/>
                <w:szCs w:val="20"/>
                <w:lang w:eastAsia="lt-LT"/>
              </w:rPr>
              <w:t xml:space="preserve">Atvira rinka, </w:t>
            </w:r>
            <w:r w:rsidR="008366CA" w:rsidRPr="00EC1AB2">
              <w:rPr>
                <w:rFonts w:ascii="Times New Roman" w:eastAsia="Times New Roman" w:hAnsi="Times New Roman" w:cs="Times New Roman"/>
                <w:sz w:val="20"/>
                <w:szCs w:val="20"/>
                <w:lang w:eastAsia="lt-LT"/>
              </w:rPr>
              <w:t xml:space="preserve">glaudūs ekonominiai ryšiai su ES ir </w:t>
            </w:r>
            <w:r w:rsidR="008C4C8B" w:rsidRPr="00EC1AB2">
              <w:rPr>
                <w:rFonts w:ascii="Times New Roman" w:eastAsia="Times New Roman" w:hAnsi="Times New Roman" w:cs="Times New Roman"/>
                <w:sz w:val="20"/>
                <w:szCs w:val="20"/>
                <w:lang w:eastAsia="lt-LT"/>
              </w:rPr>
              <w:t>Europos ekonominės erdvės valstybėmis</w:t>
            </w:r>
            <w:r w:rsidR="000E7269" w:rsidRPr="00EC1AB2">
              <w:rPr>
                <w:rFonts w:ascii="Times New Roman" w:eastAsia="Times New Roman" w:hAnsi="Times New Roman" w:cs="Times New Roman"/>
                <w:sz w:val="20"/>
                <w:szCs w:val="20"/>
                <w:lang w:eastAsia="lt-LT"/>
              </w:rPr>
              <w:t>;</w:t>
            </w:r>
          </w:p>
          <w:p w:rsidR="00DD1238" w:rsidRPr="00EC1AB2" w:rsidRDefault="00AD5ECE" w:rsidP="009F4399">
            <w:pPr>
              <w:autoSpaceDE w:val="0"/>
              <w:autoSpaceDN w:val="0"/>
              <w:adjustRightInd w:val="0"/>
              <w:spacing w:line="276" w:lineRule="auto"/>
              <w:jc w:val="both"/>
              <w:rPr>
                <w:rFonts w:ascii="Times New Roman" w:eastAsia="Times New Roman" w:hAnsi="Times New Roman" w:cs="Times New Roman"/>
                <w:sz w:val="20"/>
                <w:szCs w:val="20"/>
                <w:lang w:eastAsia="lt-LT"/>
              </w:rPr>
            </w:pPr>
            <w:r w:rsidRPr="00EC1AB2">
              <w:rPr>
                <w:rFonts w:ascii="Times New Roman" w:eastAsia="Times New Roman" w:hAnsi="Times New Roman" w:cs="Times New Roman"/>
                <w:sz w:val="20"/>
                <w:szCs w:val="20"/>
                <w:lang w:eastAsia="lt-LT"/>
              </w:rPr>
              <w:t>5</w:t>
            </w:r>
            <w:r w:rsidR="00DF3407" w:rsidRPr="00EC1AB2">
              <w:rPr>
                <w:rFonts w:ascii="Times New Roman" w:eastAsia="Times New Roman" w:hAnsi="Times New Roman" w:cs="Times New Roman"/>
                <w:sz w:val="20"/>
                <w:szCs w:val="20"/>
                <w:lang w:eastAsia="lt-LT"/>
              </w:rPr>
              <w:t>. Žmogiškasis potencialas</w:t>
            </w:r>
            <w:r w:rsidR="009715C0" w:rsidRPr="00EC1AB2">
              <w:rPr>
                <w:rFonts w:ascii="Times New Roman" w:eastAsia="Times New Roman" w:hAnsi="Times New Roman" w:cs="Times New Roman"/>
                <w:sz w:val="20"/>
                <w:szCs w:val="20"/>
                <w:lang w:eastAsia="lt-LT"/>
              </w:rPr>
              <w:t>;</w:t>
            </w:r>
          </w:p>
          <w:p w:rsidR="000E7269" w:rsidRPr="00EC1AB2" w:rsidRDefault="00EE4DAE" w:rsidP="009F4399">
            <w:pPr>
              <w:autoSpaceDE w:val="0"/>
              <w:autoSpaceDN w:val="0"/>
              <w:adjustRightInd w:val="0"/>
              <w:spacing w:line="276" w:lineRule="auto"/>
              <w:jc w:val="both"/>
              <w:rPr>
                <w:rFonts w:ascii="Times New Roman" w:eastAsia="Times New Roman" w:hAnsi="Times New Roman" w:cs="Times New Roman"/>
                <w:sz w:val="20"/>
                <w:szCs w:val="20"/>
                <w:lang w:eastAsia="lt-LT"/>
              </w:rPr>
            </w:pPr>
            <w:r w:rsidRPr="00EC1AB2">
              <w:rPr>
                <w:rFonts w:ascii="Times New Roman" w:eastAsia="Times New Roman" w:hAnsi="Times New Roman" w:cs="Times New Roman"/>
                <w:sz w:val="20"/>
                <w:szCs w:val="20"/>
                <w:lang w:eastAsia="lt-LT"/>
              </w:rPr>
              <w:t>6. Vyriausybės ir ES pastangos tiesiogiai dalyvaujant RKF veikloje, skatinti šio sektor</w:t>
            </w:r>
            <w:r w:rsidR="005E05CF" w:rsidRPr="00EC1AB2">
              <w:rPr>
                <w:rFonts w:ascii="Times New Roman" w:eastAsia="Times New Roman" w:hAnsi="Times New Roman" w:cs="Times New Roman"/>
                <w:sz w:val="20"/>
                <w:szCs w:val="20"/>
                <w:lang w:eastAsia="lt-LT"/>
              </w:rPr>
              <w:t>iaus plėtrą</w:t>
            </w:r>
            <w:r w:rsidR="00BF688A" w:rsidRPr="00EC1AB2">
              <w:rPr>
                <w:rFonts w:ascii="Times New Roman" w:eastAsia="Times New Roman" w:hAnsi="Times New Roman" w:cs="Times New Roman"/>
                <w:sz w:val="20"/>
                <w:szCs w:val="20"/>
                <w:lang w:eastAsia="lt-LT"/>
              </w:rPr>
              <w:t>.</w:t>
            </w:r>
          </w:p>
        </w:tc>
        <w:tc>
          <w:tcPr>
            <w:tcW w:w="4927" w:type="dxa"/>
          </w:tcPr>
          <w:p w:rsidR="0086650E" w:rsidRPr="00EC1AB2" w:rsidRDefault="0086650E" w:rsidP="009F4399">
            <w:pPr>
              <w:autoSpaceDE w:val="0"/>
              <w:autoSpaceDN w:val="0"/>
              <w:adjustRightInd w:val="0"/>
              <w:spacing w:line="276" w:lineRule="auto"/>
              <w:jc w:val="both"/>
              <w:rPr>
                <w:rFonts w:ascii="Times New Roman" w:hAnsi="Times New Roman" w:cs="Times New Roman"/>
                <w:sz w:val="20"/>
                <w:szCs w:val="20"/>
              </w:rPr>
            </w:pPr>
            <w:r w:rsidRPr="00EC1AB2">
              <w:rPr>
                <w:rFonts w:ascii="Times New Roman" w:hAnsi="Times New Roman" w:cs="Times New Roman"/>
                <w:sz w:val="20"/>
                <w:szCs w:val="20"/>
              </w:rPr>
              <w:t xml:space="preserve">1. </w:t>
            </w:r>
            <w:r w:rsidR="00936582" w:rsidRPr="00EC1AB2">
              <w:rPr>
                <w:rFonts w:ascii="Times New Roman" w:hAnsi="Times New Roman" w:cs="Times New Roman"/>
                <w:sz w:val="20"/>
                <w:szCs w:val="20"/>
              </w:rPr>
              <w:t>Specifinių mokestinių lengvatų, skatinančių jaunų ir inovatyvių įmonių plėtrą ankstyvoje veiklos stadijoje, nubuvimas;</w:t>
            </w:r>
          </w:p>
          <w:p w:rsidR="0086650E" w:rsidRPr="00EC1AB2" w:rsidRDefault="0086650E" w:rsidP="009F4399">
            <w:pPr>
              <w:autoSpaceDE w:val="0"/>
              <w:autoSpaceDN w:val="0"/>
              <w:adjustRightInd w:val="0"/>
              <w:spacing w:line="276" w:lineRule="auto"/>
              <w:jc w:val="both"/>
              <w:rPr>
                <w:rFonts w:ascii="Times New Roman" w:hAnsi="Times New Roman" w:cs="Times New Roman"/>
                <w:sz w:val="20"/>
                <w:szCs w:val="20"/>
              </w:rPr>
            </w:pPr>
            <w:r w:rsidRPr="00EC1AB2">
              <w:rPr>
                <w:rFonts w:ascii="Times New Roman" w:hAnsi="Times New Roman" w:cs="Times New Roman"/>
                <w:sz w:val="20"/>
                <w:szCs w:val="20"/>
              </w:rPr>
              <w:t>2. Maža inovacijų sklaida</w:t>
            </w:r>
            <w:r w:rsidR="00AB7511" w:rsidRPr="00EC1AB2">
              <w:rPr>
                <w:rFonts w:ascii="Times New Roman" w:hAnsi="Times New Roman" w:cs="Times New Roman"/>
                <w:sz w:val="20"/>
                <w:szCs w:val="20"/>
              </w:rPr>
              <w:t xml:space="preserve"> (mokslo tyrimų sistema fragmentuota, </w:t>
            </w:r>
            <w:r w:rsidR="00C848A5" w:rsidRPr="00EC1AB2">
              <w:rPr>
                <w:rFonts w:ascii="Times New Roman" w:hAnsi="Times New Roman" w:cs="Times New Roman"/>
                <w:sz w:val="20"/>
                <w:szCs w:val="20"/>
              </w:rPr>
              <w:t>dalis jos neatitinka šiandienos reikalavimų);</w:t>
            </w:r>
          </w:p>
          <w:p w:rsidR="00936582" w:rsidRPr="00EC1AB2" w:rsidRDefault="0086650E" w:rsidP="009F4399">
            <w:pPr>
              <w:autoSpaceDE w:val="0"/>
              <w:autoSpaceDN w:val="0"/>
              <w:adjustRightInd w:val="0"/>
              <w:spacing w:line="276" w:lineRule="auto"/>
              <w:jc w:val="both"/>
              <w:rPr>
                <w:rFonts w:ascii="Times New Roman" w:hAnsi="Times New Roman" w:cs="Times New Roman"/>
                <w:sz w:val="20"/>
                <w:szCs w:val="20"/>
              </w:rPr>
            </w:pPr>
            <w:r w:rsidRPr="00EC1AB2">
              <w:rPr>
                <w:rFonts w:ascii="Times New Roman" w:hAnsi="Times New Roman" w:cs="Times New Roman"/>
                <w:sz w:val="20"/>
                <w:szCs w:val="20"/>
              </w:rPr>
              <w:t>3. Mažas pensijų fondų ir draudimo įmonių dalyvavimas formuojant rizikos kapitalo investicijas;</w:t>
            </w:r>
          </w:p>
          <w:p w:rsidR="00AB5D8D" w:rsidRPr="00EC1AB2" w:rsidRDefault="00AB5D8D" w:rsidP="009F4399">
            <w:pPr>
              <w:autoSpaceDE w:val="0"/>
              <w:autoSpaceDN w:val="0"/>
              <w:adjustRightInd w:val="0"/>
              <w:spacing w:line="276" w:lineRule="auto"/>
              <w:jc w:val="both"/>
              <w:rPr>
                <w:rFonts w:ascii="Times New Roman" w:eastAsia="Times New Roman" w:hAnsi="Times New Roman" w:cs="Times New Roman"/>
                <w:sz w:val="20"/>
                <w:szCs w:val="20"/>
                <w:lang w:eastAsia="lt-LT"/>
              </w:rPr>
            </w:pPr>
            <w:r w:rsidRPr="00EC1AB2">
              <w:rPr>
                <w:rFonts w:ascii="Times New Roman" w:hAnsi="Times New Roman" w:cs="Times New Roman"/>
                <w:sz w:val="20"/>
                <w:szCs w:val="20"/>
              </w:rPr>
              <w:t xml:space="preserve">4. </w:t>
            </w:r>
            <w:r w:rsidR="00B25F56" w:rsidRPr="00EC1AB2">
              <w:rPr>
                <w:rFonts w:ascii="Times New Roman" w:hAnsi="Times New Roman" w:cs="Times New Roman"/>
                <w:sz w:val="20"/>
                <w:szCs w:val="20"/>
              </w:rPr>
              <w:t xml:space="preserve">Dėl VP rinkos </w:t>
            </w:r>
            <w:r w:rsidR="00613D74" w:rsidRPr="00EC1AB2">
              <w:rPr>
                <w:rFonts w:ascii="Times New Roman" w:hAnsi="Times New Roman" w:cs="Times New Roman"/>
                <w:sz w:val="20"/>
                <w:szCs w:val="20"/>
              </w:rPr>
              <w:t>mažo likvidumo</w:t>
            </w:r>
            <w:r w:rsidR="009869AD" w:rsidRPr="00EC1AB2">
              <w:rPr>
                <w:rFonts w:ascii="Times New Roman" w:hAnsi="Times New Roman" w:cs="Times New Roman"/>
                <w:bCs/>
                <w:sz w:val="20"/>
                <w:szCs w:val="20"/>
                <w:lang w:eastAsia="lt-LT"/>
              </w:rPr>
              <w:t xml:space="preserve"> ribota</w:t>
            </w:r>
            <w:r w:rsidR="00CA61A4" w:rsidRPr="00EC1AB2">
              <w:rPr>
                <w:rFonts w:ascii="Times New Roman" w:hAnsi="Times New Roman" w:cs="Times New Roman"/>
                <w:bCs/>
                <w:sz w:val="20"/>
                <w:szCs w:val="20"/>
                <w:lang w:eastAsia="lt-LT"/>
              </w:rPr>
              <w:t xml:space="preserve">s </w:t>
            </w:r>
            <w:r w:rsidR="004D7155" w:rsidRPr="00EC1AB2">
              <w:rPr>
                <w:rFonts w:ascii="Times New Roman" w:hAnsi="Times New Roman" w:cs="Times New Roman"/>
                <w:bCs/>
                <w:sz w:val="20"/>
                <w:szCs w:val="20"/>
                <w:lang w:eastAsia="lt-LT"/>
              </w:rPr>
              <w:t xml:space="preserve">RKF </w:t>
            </w:r>
            <w:r w:rsidR="00CA61A4" w:rsidRPr="00EC1AB2">
              <w:rPr>
                <w:rFonts w:ascii="Times New Roman" w:hAnsi="Times New Roman" w:cs="Times New Roman"/>
                <w:bCs/>
                <w:sz w:val="20"/>
                <w:szCs w:val="20"/>
                <w:lang w:eastAsia="lt-LT"/>
              </w:rPr>
              <w:t>investicijų realizavimo galimybių pasirinkimas</w:t>
            </w:r>
            <w:r w:rsidR="00CA61A4" w:rsidRPr="00EC1AB2">
              <w:rPr>
                <w:rFonts w:ascii="Times New Roman" w:hAnsi="Times New Roman" w:cs="Times New Roman"/>
                <w:bCs/>
                <w:lang w:eastAsia="lt-LT"/>
              </w:rPr>
              <w:t>.</w:t>
            </w:r>
          </w:p>
        </w:tc>
      </w:tr>
      <w:tr w:rsidR="00F25E1F" w:rsidRPr="00EC1AB2" w:rsidTr="00A001C8">
        <w:tc>
          <w:tcPr>
            <w:tcW w:w="4819" w:type="dxa"/>
          </w:tcPr>
          <w:p w:rsidR="008A6E9F" w:rsidRPr="00EC1AB2" w:rsidRDefault="008A6E9F" w:rsidP="00A617B2">
            <w:pPr>
              <w:autoSpaceDE w:val="0"/>
              <w:autoSpaceDN w:val="0"/>
              <w:adjustRightInd w:val="0"/>
              <w:jc w:val="both"/>
              <w:rPr>
                <w:rFonts w:ascii="Times New Roman" w:eastAsia="Times New Roman" w:hAnsi="Times New Roman" w:cs="Times New Roman"/>
                <w:b/>
                <w:sz w:val="24"/>
                <w:szCs w:val="24"/>
                <w:lang w:eastAsia="lt-LT"/>
              </w:rPr>
            </w:pPr>
            <w:r w:rsidRPr="00EC1AB2">
              <w:rPr>
                <w:rFonts w:ascii="Times New Roman" w:eastAsia="Times New Roman" w:hAnsi="Times New Roman" w:cs="Times New Roman"/>
                <w:b/>
                <w:sz w:val="24"/>
                <w:szCs w:val="24"/>
                <w:lang w:eastAsia="lt-LT"/>
              </w:rPr>
              <w:t>Galimybės</w:t>
            </w:r>
          </w:p>
        </w:tc>
        <w:tc>
          <w:tcPr>
            <w:tcW w:w="4927" w:type="dxa"/>
          </w:tcPr>
          <w:p w:rsidR="008A6E9F" w:rsidRPr="00EC1AB2" w:rsidRDefault="008A6E9F" w:rsidP="00A617B2">
            <w:pPr>
              <w:autoSpaceDE w:val="0"/>
              <w:autoSpaceDN w:val="0"/>
              <w:adjustRightInd w:val="0"/>
              <w:jc w:val="both"/>
              <w:rPr>
                <w:rFonts w:ascii="Times New Roman" w:eastAsia="Times New Roman" w:hAnsi="Times New Roman" w:cs="Times New Roman"/>
                <w:b/>
                <w:sz w:val="24"/>
                <w:szCs w:val="24"/>
                <w:lang w:eastAsia="lt-LT"/>
              </w:rPr>
            </w:pPr>
            <w:r w:rsidRPr="00EC1AB2">
              <w:rPr>
                <w:rFonts w:ascii="Times New Roman" w:eastAsia="Times New Roman" w:hAnsi="Times New Roman" w:cs="Times New Roman"/>
                <w:b/>
                <w:sz w:val="24"/>
                <w:szCs w:val="24"/>
                <w:lang w:eastAsia="lt-LT"/>
              </w:rPr>
              <w:t>Grėsmės</w:t>
            </w:r>
          </w:p>
        </w:tc>
      </w:tr>
      <w:tr w:rsidR="008A6E9F" w:rsidRPr="00EC1AB2" w:rsidTr="00A001C8">
        <w:tc>
          <w:tcPr>
            <w:tcW w:w="4819" w:type="dxa"/>
          </w:tcPr>
          <w:p w:rsidR="008A6E9F" w:rsidRPr="00EC1AB2" w:rsidRDefault="00C85CB8" w:rsidP="009F4399">
            <w:pPr>
              <w:autoSpaceDE w:val="0"/>
              <w:autoSpaceDN w:val="0"/>
              <w:adjustRightInd w:val="0"/>
              <w:spacing w:line="276" w:lineRule="auto"/>
              <w:jc w:val="both"/>
              <w:rPr>
                <w:rFonts w:ascii="Times New Roman" w:eastAsia="Times New Roman" w:hAnsi="Times New Roman" w:cs="Times New Roman"/>
                <w:sz w:val="20"/>
                <w:szCs w:val="20"/>
                <w:lang w:eastAsia="lt-LT"/>
              </w:rPr>
            </w:pPr>
            <w:r w:rsidRPr="00EC1AB2">
              <w:rPr>
                <w:rFonts w:ascii="Times New Roman" w:eastAsia="Times New Roman" w:hAnsi="Times New Roman" w:cs="Times New Roman"/>
                <w:sz w:val="20"/>
                <w:szCs w:val="20"/>
                <w:lang w:eastAsia="lt-LT"/>
              </w:rPr>
              <w:t xml:space="preserve">1. </w:t>
            </w:r>
            <w:r w:rsidR="006C5A3F" w:rsidRPr="00EC1AB2">
              <w:rPr>
                <w:rFonts w:ascii="Times New Roman" w:eastAsia="Times New Roman" w:hAnsi="Times New Roman" w:cs="Times New Roman"/>
                <w:sz w:val="20"/>
                <w:szCs w:val="20"/>
                <w:lang w:eastAsia="lt-LT"/>
              </w:rPr>
              <w:t>Teikiama ES finansinė</w:t>
            </w:r>
            <w:r w:rsidR="00387B35" w:rsidRPr="00EC1AB2">
              <w:rPr>
                <w:rFonts w:ascii="Times New Roman" w:eastAsia="Times New Roman" w:hAnsi="Times New Roman" w:cs="Times New Roman"/>
                <w:sz w:val="20"/>
                <w:szCs w:val="20"/>
                <w:lang w:eastAsia="lt-LT"/>
              </w:rPr>
              <w:t xml:space="preserve"> parama</w:t>
            </w:r>
            <w:r w:rsidR="0033124A" w:rsidRPr="00EC1AB2">
              <w:rPr>
                <w:rFonts w:ascii="Times New Roman" w:eastAsia="Times New Roman" w:hAnsi="Times New Roman" w:cs="Times New Roman"/>
                <w:sz w:val="20"/>
                <w:szCs w:val="20"/>
                <w:lang w:eastAsia="lt-LT"/>
              </w:rPr>
              <w:t xml:space="preserve"> </w:t>
            </w:r>
            <w:r w:rsidR="00C91846" w:rsidRPr="00EC1AB2">
              <w:rPr>
                <w:rFonts w:ascii="Times New Roman" w:eastAsia="Times New Roman" w:hAnsi="Times New Roman" w:cs="Times New Roman"/>
                <w:sz w:val="20"/>
                <w:szCs w:val="20"/>
                <w:lang w:eastAsia="lt-LT"/>
              </w:rPr>
              <w:t>verslo inovacijoms 2007-2013 m.</w:t>
            </w:r>
            <w:r w:rsidRPr="00EC1AB2">
              <w:rPr>
                <w:rFonts w:ascii="Times New Roman" w:eastAsia="Times New Roman" w:hAnsi="Times New Roman" w:cs="Times New Roman"/>
                <w:sz w:val="20"/>
                <w:szCs w:val="20"/>
                <w:lang w:eastAsia="lt-LT"/>
              </w:rPr>
              <w:t>;</w:t>
            </w:r>
          </w:p>
          <w:p w:rsidR="00F7611D" w:rsidRPr="00EC1AB2" w:rsidRDefault="00C85CB8" w:rsidP="009F4399">
            <w:pPr>
              <w:autoSpaceDE w:val="0"/>
              <w:autoSpaceDN w:val="0"/>
              <w:adjustRightInd w:val="0"/>
              <w:spacing w:line="276" w:lineRule="auto"/>
              <w:jc w:val="both"/>
              <w:rPr>
                <w:rFonts w:ascii="Times New Roman" w:hAnsi="Times New Roman" w:cs="Times New Roman"/>
                <w:sz w:val="20"/>
                <w:szCs w:val="20"/>
              </w:rPr>
            </w:pPr>
            <w:r w:rsidRPr="00EC1AB2">
              <w:rPr>
                <w:rFonts w:ascii="Times New Roman" w:hAnsi="Times New Roman" w:cs="Times New Roman"/>
                <w:sz w:val="20"/>
                <w:szCs w:val="20"/>
              </w:rPr>
              <w:t xml:space="preserve">2. </w:t>
            </w:r>
            <w:r w:rsidR="00F7611D" w:rsidRPr="00EC1AB2">
              <w:rPr>
                <w:rFonts w:ascii="Times New Roman" w:hAnsi="Times New Roman" w:cs="Times New Roman"/>
                <w:sz w:val="20"/>
                <w:szCs w:val="20"/>
              </w:rPr>
              <w:t>Įkurta Mokslo, inovacijų</w:t>
            </w:r>
            <w:r w:rsidRPr="00EC1AB2">
              <w:rPr>
                <w:rFonts w:ascii="Times New Roman" w:hAnsi="Times New Roman" w:cs="Times New Roman"/>
                <w:sz w:val="20"/>
                <w:szCs w:val="20"/>
              </w:rPr>
              <w:t xml:space="preserve"> ir technologijų agentūra, kurios tikslas skatinti verslo ir mokslo bendradarbiavimą, moksli</w:t>
            </w:r>
            <w:r w:rsidR="00B6746E" w:rsidRPr="00EC1AB2">
              <w:rPr>
                <w:rFonts w:ascii="Times New Roman" w:hAnsi="Times New Roman" w:cs="Times New Roman"/>
                <w:sz w:val="20"/>
                <w:szCs w:val="20"/>
              </w:rPr>
              <w:t>nių tyrimų rezultatų komercializavimą</w:t>
            </w:r>
            <w:r w:rsidRPr="00EC1AB2">
              <w:rPr>
                <w:rFonts w:ascii="Times New Roman" w:hAnsi="Times New Roman" w:cs="Times New Roman"/>
                <w:sz w:val="20"/>
                <w:szCs w:val="20"/>
              </w:rPr>
              <w:t xml:space="preserve"> ir intelektinės nuosavybės apsaugą;</w:t>
            </w:r>
          </w:p>
          <w:p w:rsidR="00C85CB8" w:rsidRPr="00EC1AB2" w:rsidRDefault="00C85CB8" w:rsidP="009F4399">
            <w:pPr>
              <w:autoSpaceDE w:val="0"/>
              <w:autoSpaceDN w:val="0"/>
              <w:adjustRightInd w:val="0"/>
              <w:spacing w:line="276" w:lineRule="auto"/>
              <w:jc w:val="both"/>
              <w:rPr>
                <w:rFonts w:ascii="Times New Roman" w:hAnsi="Times New Roman" w:cs="Times New Roman"/>
                <w:sz w:val="20"/>
                <w:szCs w:val="20"/>
              </w:rPr>
            </w:pPr>
            <w:r w:rsidRPr="00EC1AB2">
              <w:rPr>
                <w:rFonts w:ascii="Times New Roman" w:hAnsi="Times New Roman" w:cs="Times New Roman"/>
                <w:sz w:val="20"/>
                <w:szCs w:val="20"/>
              </w:rPr>
              <w:t xml:space="preserve">3. </w:t>
            </w:r>
            <w:r w:rsidR="005A18B8" w:rsidRPr="00EC1AB2">
              <w:rPr>
                <w:rFonts w:ascii="Times New Roman" w:hAnsi="Times New Roman" w:cs="Times New Roman"/>
                <w:sz w:val="20"/>
                <w:szCs w:val="20"/>
              </w:rPr>
              <w:t>Valstybinių įmonių, vykdančių komercinę veiklą, privatizavimas</w:t>
            </w:r>
            <w:r w:rsidR="00F268A9" w:rsidRPr="00EC1AB2">
              <w:rPr>
                <w:rFonts w:ascii="Times New Roman" w:hAnsi="Times New Roman" w:cs="Times New Roman"/>
                <w:sz w:val="20"/>
                <w:szCs w:val="20"/>
              </w:rPr>
              <w:t>;</w:t>
            </w:r>
          </w:p>
          <w:p w:rsidR="00CD3A11" w:rsidRPr="00EC1AB2" w:rsidRDefault="00A32766" w:rsidP="009F4399">
            <w:pPr>
              <w:autoSpaceDE w:val="0"/>
              <w:autoSpaceDN w:val="0"/>
              <w:adjustRightInd w:val="0"/>
              <w:spacing w:line="276" w:lineRule="auto"/>
              <w:jc w:val="both"/>
              <w:rPr>
                <w:rFonts w:ascii="Times New Roman" w:eastAsia="Times New Roman" w:hAnsi="Times New Roman" w:cs="Times New Roman"/>
                <w:sz w:val="20"/>
                <w:szCs w:val="20"/>
                <w:lang w:eastAsia="lt-LT"/>
              </w:rPr>
            </w:pPr>
            <w:r w:rsidRPr="00EC1AB2">
              <w:rPr>
                <w:rFonts w:ascii="Times New Roman" w:hAnsi="Times New Roman" w:cs="Times New Roman"/>
                <w:sz w:val="20"/>
                <w:szCs w:val="20"/>
              </w:rPr>
              <w:t>4. Po recesi</w:t>
            </w:r>
            <w:r w:rsidR="00CD3A11" w:rsidRPr="00EC1AB2">
              <w:rPr>
                <w:rFonts w:ascii="Times New Roman" w:hAnsi="Times New Roman" w:cs="Times New Roman"/>
                <w:sz w:val="20"/>
                <w:szCs w:val="20"/>
              </w:rPr>
              <w:t>jos atsigaunanti ekonomika.</w:t>
            </w:r>
          </w:p>
        </w:tc>
        <w:tc>
          <w:tcPr>
            <w:tcW w:w="4927" w:type="dxa"/>
          </w:tcPr>
          <w:p w:rsidR="00605203" w:rsidRPr="00EC1AB2" w:rsidRDefault="004A5120" w:rsidP="009F4399">
            <w:pPr>
              <w:autoSpaceDE w:val="0"/>
              <w:autoSpaceDN w:val="0"/>
              <w:adjustRightInd w:val="0"/>
              <w:spacing w:line="276" w:lineRule="auto"/>
              <w:jc w:val="both"/>
              <w:rPr>
                <w:rFonts w:ascii="Times New Roman" w:eastAsia="Times New Roman" w:hAnsi="Times New Roman" w:cs="Times New Roman"/>
                <w:sz w:val="20"/>
                <w:szCs w:val="20"/>
                <w:lang w:eastAsia="lt-LT"/>
              </w:rPr>
            </w:pPr>
            <w:r w:rsidRPr="00EC1AB2">
              <w:rPr>
                <w:rFonts w:ascii="Times New Roman" w:eastAsia="Times New Roman" w:hAnsi="Times New Roman" w:cs="Times New Roman"/>
                <w:sz w:val="20"/>
                <w:szCs w:val="20"/>
                <w:lang w:eastAsia="lt-LT"/>
              </w:rPr>
              <w:t xml:space="preserve">1. </w:t>
            </w:r>
            <w:r w:rsidR="00D72722" w:rsidRPr="00EC1AB2">
              <w:rPr>
                <w:rFonts w:ascii="Times New Roman" w:eastAsia="Times New Roman" w:hAnsi="Times New Roman" w:cs="Times New Roman"/>
                <w:sz w:val="20"/>
                <w:szCs w:val="20"/>
                <w:lang w:eastAsia="lt-LT"/>
              </w:rPr>
              <w:t>Įmonių tarptautinio konkurencingumo mažėjimas;</w:t>
            </w:r>
          </w:p>
          <w:p w:rsidR="00D72722" w:rsidRPr="00EC1AB2" w:rsidRDefault="00D72722" w:rsidP="009F4399">
            <w:pPr>
              <w:autoSpaceDE w:val="0"/>
              <w:autoSpaceDN w:val="0"/>
              <w:adjustRightInd w:val="0"/>
              <w:spacing w:line="276" w:lineRule="auto"/>
              <w:jc w:val="both"/>
              <w:rPr>
                <w:rFonts w:ascii="Times New Roman" w:hAnsi="Times New Roman" w:cs="Times New Roman"/>
                <w:sz w:val="20"/>
                <w:szCs w:val="20"/>
              </w:rPr>
            </w:pPr>
            <w:r w:rsidRPr="00EC1AB2">
              <w:rPr>
                <w:rFonts w:ascii="Times New Roman" w:eastAsia="Times New Roman" w:hAnsi="Times New Roman" w:cs="Times New Roman"/>
                <w:sz w:val="20"/>
                <w:szCs w:val="20"/>
                <w:lang w:eastAsia="lt-LT"/>
              </w:rPr>
              <w:t xml:space="preserve">2. </w:t>
            </w:r>
            <w:r w:rsidRPr="00EC1AB2">
              <w:rPr>
                <w:rFonts w:ascii="Times New Roman" w:hAnsi="Times New Roman" w:cs="Times New Roman"/>
                <w:spacing w:val="1"/>
                <w:sz w:val="20"/>
                <w:szCs w:val="20"/>
              </w:rPr>
              <w:t>P</w:t>
            </w:r>
            <w:r w:rsidRPr="00EC1AB2">
              <w:rPr>
                <w:rFonts w:ascii="Times New Roman" w:hAnsi="Times New Roman" w:cs="Times New Roman"/>
                <w:sz w:val="20"/>
                <w:szCs w:val="20"/>
              </w:rPr>
              <w:t>ol</w:t>
            </w:r>
            <w:r w:rsidRPr="00EC1AB2">
              <w:rPr>
                <w:rFonts w:ascii="Times New Roman" w:hAnsi="Times New Roman" w:cs="Times New Roman"/>
                <w:spacing w:val="1"/>
                <w:sz w:val="20"/>
                <w:szCs w:val="20"/>
              </w:rPr>
              <w:t>i</w:t>
            </w:r>
            <w:r w:rsidRPr="00EC1AB2">
              <w:rPr>
                <w:rFonts w:ascii="Times New Roman" w:hAnsi="Times New Roman" w:cs="Times New Roman"/>
                <w:sz w:val="20"/>
                <w:szCs w:val="20"/>
              </w:rPr>
              <w:t>t</w:t>
            </w:r>
            <w:r w:rsidRPr="00EC1AB2">
              <w:rPr>
                <w:rFonts w:ascii="Times New Roman" w:hAnsi="Times New Roman" w:cs="Times New Roman"/>
                <w:spacing w:val="1"/>
                <w:sz w:val="20"/>
                <w:szCs w:val="20"/>
              </w:rPr>
              <w:t>i</w:t>
            </w:r>
            <w:r w:rsidRPr="00EC1AB2">
              <w:rPr>
                <w:rFonts w:ascii="Times New Roman" w:hAnsi="Times New Roman" w:cs="Times New Roman"/>
                <w:sz w:val="20"/>
                <w:szCs w:val="20"/>
              </w:rPr>
              <w:t>n</w:t>
            </w:r>
            <w:r w:rsidRPr="00EC1AB2">
              <w:rPr>
                <w:rFonts w:ascii="Times New Roman" w:hAnsi="Times New Roman" w:cs="Times New Roman"/>
                <w:spacing w:val="-2"/>
                <w:sz w:val="20"/>
                <w:szCs w:val="20"/>
              </w:rPr>
              <w:t>i</w:t>
            </w:r>
            <w:r w:rsidRPr="00EC1AB2">
              <w:rPr>
                <w:rFonts w:ascii="Times New Roman" w:hAnsi="Times New Roman" w:cs="Times New Roman"/>
                <w:sz w:val="20"/>
                <w:szCs w:val="20"/>
              </w:rPr>
              <w:t>s nest</w:t>
            </w:r>
            <w:r w:rsidRPr="00EC1AB2">
              <w:rPr>
                <w:rFonts w:ascii="Times New Roman" w:hAnsi="Times New Roman" w:cs="Times New Roman"/>
                <w:spacing w:val="-1"/>
                <w:sz w:val="20"/>
                <w:szCs w:val="20"/>
              </w:rPr>
              <w:t>a</w:t>
            </w:r>
            <w:r w:rsidRPr="00EC1AB2">
              <w:rPr>
                <w:rFonts w:ascii="Times New Roman" w:hAnsi="Times New Roman" w:cs="Times New Roman"/>
                <w:sz w:val="20"/>
                <w:szCs w:val="20"/>
              </w:rPr>
              <w:t>bi</w:t>
            </w:r>
            <w:r w:rsidRPr="00EC1AB2">
              <w:rPr>
                <w:rFonts w:ascii="Times New Roman" w:hAnsi="Times New Roman" w:cs="Times New Roman"/>
                <w:spacing w:val="1"/>
                <w:sz w:val="20"/>
                <w:szCs w:val="20"/>
              </w:rPr>
              <w:t>l</w:t>
            </w:r>
            <w:r w:rsidRPr="00EC1AB2">
              <w:rPr>
                <w:rFonts w:ascii="Times New Roman" w:hAnsi="Times New Roman" w:cs="Times New Roman"/>
                <w:sz w:val="20"/>
                <w:szCs w:val="20"/>
              </w:rPr>
              <w:t>u</w:t>
            </w:r>
            <w:r w:rsidRPr="00EC1AB2">
              <w:rPr>
                <w:rFonts w:ascii="Times New Roman" w:hAnsi="Times New Roman" w:cs="Times New Roman"/>
                <w:spacing w:val="-2"/>
                <w:sz w:val="20"/>
                <w:szCs w:val="20"/>
              </w:rPr>
              <w:t>m</w:t>
            </w:r>
            <w:r w:rsidRPr="00EC1AB2">
              <w:rPr>
                <w:rFonts w:ascii="Times New Roman" w:hAnsi="Times New Roman" w:cs="Times New Roman"/>
                <w:spacing w:val="-1"/>
                <w:sz w:val="20"/>
                <w:szCs w:val="20"/>
              </w:rPr>
              <w:t>a</w:t>
            </w:r>
            <w:r w:rsidRPr="00EC1AB2">
              <w:rPr>
                <w:rFonts w:ascii="Times New Roman" w:hAnsi="Times New Roman" w:cs="Times New Roman"/>
                <w:sz w:val="20"/>
                <w:szCs w:val="20"/>
              </w:rPr>
              <w:t>s ir d</w:t>
            </w:r>
            <w:r w:rsidRPr="00EC1AB2">
              <w:rPr>
                <w:rFonts w:ascii="Times New Roman" w:hAnsi="Times New Roman" w:cs="Times New Roman"/>
                <w:spacing w:val="-1"/>
                <w:sz w:val="20"/>
                <w:szCs w:val="20"/>
              </w:rPr>
              <w:t>a</w:t>
            </w:r>
            <w:r w:rsidRPr="00EC1AB2">
              <w:rPr>
                <w:rFonts w:ascii="Times New Roman" w:hAnsi="Times New Roman" w:cs="Times New Roman"/>
                <w:spacing w:val="1"/>
                <w:w w:val="160"/>
                <w:sz w:val="20"/>
                <w:szCs w:val="20"/>
              </w:rPr>
              <w:t>ž</w:t>
            </w:r>
            <w:r w:rsidRPr="00EC1AB2">
              <w:rPr>
                <w:rFonts w:ascii="Times New Roman" w:hAnsi="Times New Roman" w:cs="Times New Roman"/>
                <w:sz w:val="20"/>
                <w:szCs w:val="20"/>
              </w:rPr>
              <w:t>n</w:t>
            </w:r>
            <w:r w:rsidRPr="00EC1AB2">
              <w:rPr>
                <w:rFonts w:ascii="Times New Roman" w:hAnsi="Times New Roman" w:cs="Times New Roman"/>
                <w:spacing w:val="-1"/>
                <w:sz w:val="20"/>
                <w:szCs w:val="20"/>
              </w:rPr>
              <w:t>a</w:t>
            </w:r>
            <w:r w:rsidRPr="00EC1AB2">
              <w:rPr>
                <w:rFonts w:ascii="Times New Roman" w:hAnsi="Times New Roman" w:cs="Times New Roman"/>
                <w:sz w:val="20"/>
                <w:szCs w:val="20"/>
              </w:rPr>
              <w:t>i nenuos</w:t>
            </w:r>
            <w:r w:rsidRPr="00EC1AB2">
              <w:rPr>
                <w:rFonts w:ascii="Times New Roman" w:hAnsi="Times New Roman" w:cs="Times New Roman"/>
                <w:spacing w:val="-1"/>
                <w:sz w:val="20"/>
                <w:szCs w:val="20"/>
              </w:rPr>
              <w:t>e</w:t>
            </w:r>
            <w:r w:rsidRPr="00EC1AB2">
              <w:rPr>
                <w:rFonts w:ascii="Times New Roman" w:hAnsi="Times New Roman" w:cs="Times New Roman"/>
                <w:sz w:val="20"/>
                <w:szCs w:val="20"/>
              </w:rPr>
              <w:t>klus</w:t>
            </w:r>
            <w:r w:rsidRPr="00EC1AB2">
              <w:rPr>
                <w:rFonts w:ascii="Times New Roman" w:hAnsi="Times New Roman" w:cs="Times New Roman"/>
                <w:spacing w:val="3"/>
                <w:sz w:val="20"/>
                <w:szCs w:val="20"/>
              </w:rPr>
              <w:t xml:space="preserve"> </w:t>
            </w:r>
            <w:r w:rsidRPr="00EC1AB2">
              <w:rPr>
                <w:rFonts w:ascii="Times New Roman" w:hAnsi="Times New Roman" w:cs="Times New Roman"/>
                <w:sz w:val="20"/>
                <w:szCs w:val="20"/>
              </w:rPr>
              <w:t>pol</w:t>
            </w:r>
            <w:r w:rsidRPr="00EC1AB2">
              <w:rPr>
                <w:rFonts w:ascii="Times New Roman" w:hAnsi="Times New Roman" w:cs="Times New Roman"/>
                <w:spacing w:val="1"/>
                <w:sz w:val="20"/>
                <w:szCs w:val="20"/>
              </w:rPr>
              <w:t>i</w:t>
            </w:r>
            <w:r w:rsidRPr="00EC1AB2">
              <w:rPr>
                <w:rFonts w:ascii="Times New Roman" w:hAnsi="Times New Roman" w:cs="Times New Roman"/>
                <w:sz w:val="20"/>
                <w:szCs w:val="20"/>
              </w:rPr>
              <w:t>t</w:t>
            </w:r>
            <w:r w:rsidRPr="00EC1AB2">
              <w:rPr>
                <w:rFonts w:ascii="Times New Roman" w:hAnsi="Times New Roman" w:cs="Times New Roman"/>
                <w:spacing w:val="1"/>
                <w:sz w:val="20"/>
                <w:szCs w:val="20"/>
              </w:rPr>
              <w:t>i</w:t>
            </w:r>
            <w:r w:rsidRPr="00EC1AB2">
              <w:rPr>
                <w:rFonts w:ascii="Times New Roman" w:hAnsi="Times New Roman" w:cs="Times New Roman"/>
                <w:sz w:val="20"/>
                <w:szCs w:val="20"/>
              </w:rPr>
              <w:t>nių spr</w:t>
            </w:r>
            <w:r w:rsidRPr="00EC1AB2">
              <w:rPr>
                <w:rFonts w:ascii="Times New Roman" w:hAnsi="Times New Roman" w:cs="Times New Roman"/>
                <w:spacing w:val="-2"/>
                <w:sz w:val="20"/>
                <w:szCs w:val="20"/>
              </w:rPr>
              <w:t>e</w:t>
            </w:r>
            <w:r w:rsidRPr="00EC1AB2">
              <w:rPr>
                <w:rFonts w:ascii="Times New Roman" w:hAnsi="Times New Roman" w:cs="Times New Roman"/>
                <w:sz w:val="20"/>
                <w:szCs w:val="20"/>
              </w:rPr>
              <w:t>ndi</w:t>
            </w:r>
            <w:r w:rsidRPr="00EC1AB2">
              <w:rPr>
                <w:rFonts w:ascii="Times New Roman" w:hAnsi="Times New Roman" w:cs="Times New Roman"/>
                <w:spacing w:val="1"/>
                <w:sz w:val="20"/>
                <w:szCs w:val="20"/>
              </w:rPr>
              <w:t>m</w:t>
            </w:r>
            <w:r w:rsidRPr="00EC1AB2">
              <w:rPr>
                <w:rFonts w:ascii="Times New Roman" w:hAnsi="Times New Roman" w:cs="Times New Roman"/>
                <w:sz w:val="20"/>
                <w:szCs w:val="20"/>
              </w:rPr>
              <w:t>ų pri</w:t>
            </w:r>
            <w:r w:rsidRPr="00EC1AB2">
              <w:rPr>
                <w:rFonts w:ascii="Times New Roman" w:hAnsi="Times New Roman" w:cs="Times New Roman"/>
                <w:spacing w:val="-1"/>
                <w:sz w:val="20"/>
                <w:szCs w:val="20"/>
              </w:rPr>
              <w:t>ė</w:t>
            </w:r>
            <w:r w:rsidRPr="00EC1AB2">
              <w:rPr>
                <w:rFonts w:ascii="Times New Roman" w:hAnsi="Times New Roman" w:cs="Times New Roman"/>
                <w:sz w:val="20"/>
                <w:szCs w:val="20"/>
              </w:rPr>
              <w:t>m</w:t>
            </w:r>
            <w:r w:rsidRPr="00EC1AB2">
              <w:rPr>
                <w:rFonts w:ascii="Times New Roman" w:hAnsi="Times New Roman" w:cs="Times New Roman"/>
                <w:spacing w:val="1"/>
                <w:sz w:val="20"/>
                <w:szCs w:val="20"/>
              </w:rPr>
              <w:t>i</w:t>
            </w:r>
            <w:r w:rsidRPr="00EC1AB2">
              <w:rPr>
                <w:rFonts w:ascii="Times New Roman" w:hAnsi="Times New Roman" w:cs="Times New Roman"/>
                <w:sz w:val="20"/>
                <w:szCs w:val="20"/>
              </w:rPr>
              <w:t>mas;</w:t>
            </w:r>
          </w:p>
          <w:p w:rsidR="00D72722" w:rsidRPr="00EC1AB2" w:rsidRDefault="00641E89" w:rsidP="009F4399">
            <w:pPr>
              <w:autoSpaceDE w:val="0"/>
              <w:autoSpaceDN w:val="0"/>
              <w:adjustRightInd w:val="0"/>
              <w:spacing w:line="276" w:lineRule="auto"/>
              <w:jc w:val="both"/>
              <w:rPr>
                <w:rFonts w:ascii="Times New Roman" w:eastAsia="Times New Roman" w:hAnsi="Times New Roman" w:cs="Times New Roman"/>
                <w:sz w:val="20"/>
                <w:szCs w:val="20"/>
                <w:lang w:eastAsia="lt-LT"/>
              </w:rPr>
            </w:pPr>
            <w:r w:rsidRPr="00EC1AB2">
              <w:rPr>
                <w:rFonts w:ascii="Times New Roman" w:eastAsia="Times New Roman" w:hAnsi="Times New Roman" w:cs="Times New Roman"/>
                <w:sz w:val="20"/>
                <w:szCs w:val="20"/>
                <w:lang w:eastAsia="lt-LT"/>
              </w:rPr>
              <w:t>3. „Protų nutekėjimo“ problema;</w:t>
            </w:r>
          </w:p>
          <w:p w:rsidR="008A6E9F" w:rsidRPr="00EC1AB2" w:rsidRDefault="00641E89" w:rsidP="009F4399">
            <w:pPr>
              <w:autoSpaceDE w:val="0"/>
              <w:autoSpaceDN w:val="0"/>
              <w:adjustRightInd w:val="0"/>
              <w:spacing w:line="276" w:lineRule="auto"/>
              <w:jc w:val="both"/>
              <w:rPr>
                <w:rFonts w:ascii="Times New Roman" w:eastAsia="Times New Roman" w:hAnsi="Times New Roman" w:cs="Times New Roman"/>
                <w:sz w:val="20"/>
                <w:szCs w:val="20"/>
                <w:lang w:eastAsia="lt-LT"/>
              </w:rPr>
            </w:pPr>
            <w:r w:rsidRPr="00EC1AB2">
              <w:rPr>
                <w:rFonts w:ascii="Times New Roman" w:eastAsia="Times New Roman" w:hAnsi="Times New Roman" w:cs="Times New Roman"/>
                <w:sz w:val="20"/>
                <w:szCs w:val="20"/>
                <w:lang w:eastAsia="lt-LT"/>
              </w:rPr>
              <w:t>4</w:t>
            </w:r>
            <w:r w:rsidR="00605203" w:rsidRPr="00EC1AB2">
              <w:rPr>
                <w:rFonts w:ascii="Times New Roman" w:eastAsia="Times New Roman" w:hAnsi="Times New Roman" w:cs="Times New Roman"/>
                <w:sz w:val="20"/>
                <w:szCs w:val="20"/>
                <w:lang w:eastAsia="lt-LT"/>
              </w:rPr>
              <w:t xml:space="preserve">. </w:t>
            </w:r>
            <w:r w:rsidR="003B4C63" w:rsidRPr="00EC1AB2">
              <w:rPr>
                <w:rFonts w:ascii="Times New Roman" w:eastAsia="Times New Roman" w:hAnsi="Times New Roman" w:cs="Times New Roman"/>
                <w:sz w:val="20"/>
                <w:szCs w:val="20"/>
                <w:lang w:eastAsia="lt-LT"/>
              </w:rPr>
              <w:t>Lėtas paskolų rinkos atsigavimas;</w:t>
            </w:r>
          </w:p>
          <w:p w:rsidR="003B4C63" w:rsidRPr="00EC1AB2" w:rsidRDefault="00641E89" w:rsidP="009F4399">
            <w:pPr>
              <w:autoSpaceDE w:val="0"/>
              <w:autoSpaceDN w:val="0"/>
              <w:adjustRightInd w:val="0"/>
              <w:spacing w:line="276" w:lineRule="auto"/>
              <w:jc w:val="both"/>
              <w:rPr>
                <w:rFonts w:ascii="Times New Roman" w:eastAsia="Times New Roman" w:hAnsi="Times New Roman" w:cs="Times New Roman"/>
                <w:sz w:val="24"/>
                <w:szCs w:val="24"/>
                <w:lang w:eastAsia="lt-LT"/>
              </w:rPr>
            </w:pPr>
            <w:r w:rsidRPr="00EC1AB2">
              <w:rPr>
                <w:rFonts w:ascii="Times New Roman" w:eastAsia="Times New Roman" w:hAnsi="Times New Roman" w:cs="Times New Roman"/>
                <w:sz w:val="20"/>
                <w:szCs w:val="20"/>
                <w:lang w:eastAsia="lt-LT"/>
              </w:rPr>
              <w:t>5</w:t>
            </w:r>
            <w:r w:rsidR="003B4C63" w:rsidRPr="00EC1AB2">
              <w:rPr>
                <w:rFonts w:ascii="Times New Roman" w:eastAsia="Times New Roman" w:hAnsi="Times New Roman" w:cs="Times New Roman"/>
                <w:sz w:val="20"/>
                <w:szCs w:val="20"/>
                <w:lang w:eastAsia="lt-LT"/>
              </w:rPr>
              <w:t xml:space="preserve">. </w:t>
            </w:r>
            <w:r w:rsidR="00043CEA" w:rsidRPr="00EC1AB2">
              <w:rPr>
                <w:rFonts w:ascii="Times New Roman" w:eastAsia="Times New Roman" w:hAnsi="Times New Roman" w:cs="Times New Roman"/>
                <w:sz w:val="20"/>
                <w:szCs w:val="20"/>
                <w:lang w:eastAsia="lt-LT"/>
              </w:rPr>
              <w:t>Sunkumai atgaunant užsienio investuotojų pasitikėjimą ir susidomėjimą.</w:t>
            </w:r>
          </w:p>
        </w:tc>
      </w:tr>
    </w:tbl>
    <w:p w:rsidR="00A001C8" w:rsidRPr="00EC1AB2" w:rsidRDefault="00A001C8" w:rsidP="007A02A8">
      <w:pPr>
        <w:autoSpaceDE w:val="0"/>
        <w:autoSpaceDN w:val="0"/>
        <w:adjustRightInd w:val="0"/>
        <w:spacing w:after="0" w:line="360" w:lineRule="auto"/>
        <w:jc w:val="both"/>
        <w:rPr>
          <w:rFonts w:ascii="Times New Roman" w:eastAsia="Times New Roman" w:hAnsi="Times New Roman" w:cs="Times New Roman"/>
          <w:sz w:val="24"/>
          <w:szCs w:val="24"/>
          <w:lang w:eastAsia="lt-LT"/>
        </w:rPr>
      </w:pPr>
    </w:p>
    <w:p w:rsidR="009F4399" w:rsidRPr="00EC1AB2" w:rsidRDefault="00FF48D2" w:rsidP="007A02A8">
      <w:pPr>
        <w:autoSpaceDE w:val="0"/>
        <w:autoSpaceDN w:val="0"/>
        <w:adjustRightInd w:val="0"/>
        <w:spacing w:after="0" w:line="360" w:lineRule="auto"/>
        <w:ind w:firstLine="567"/>
        <w:jc w:val="both"/>
        <w:rPr>
          <w:rFonts w:ascii="Times New Roman" w:eastAsia="Times New Roman" w:hAnsi="Times New Roman" w:cs="Times New Roman"/>
          <w:sz w:val="20"/>
          <w:szCs w:val="20"/>
          <w:lang w:eastAsia="lt-LT"/>
        </w:rPr>
      </w:pPr>
      <w:r w:rsidRPr="00EC1AB2">
        <w:rPr>
          <w:rFonts w:ascii="Times New Roman" w:eastAsia="Times New Roman" w:hAnsi="Times New Roman" w:cs="Times New Roman"/>
          <w:b/>
          <w:sz w:val="20"/>
          <w:szCs w:val="20"/>
          <w:lang w:eastAsia="lt-LT"/>
        </w:rPr>
        <w:t>Šaltinis</w:t>
      </w:r>
      <w:r w:rsidR="003B2AF3" w:rsidRPr="00EC1AB2">
        <w:rPr>
          <w:rFonts w:ascii="Times New Roman" w:eastAsia="Times New Roman" w:hAnsi="Times New Roman" w:cs="Times New Roman"/>
          <w:sz w:val="20"/>
          <w:szCs w:val="20"/>
          <w:lang w:eastAsia="lt-LT"/>
        </w:rPr>
        <w:t xml:space="preserve">: </w:t>
      </w:r>
      <w:r w:rsidR="009F4399" w:rsidRPr="00EC1AB2">
        <w:rPr>
          <w:rFonts w:ascii="Times New Roman" w:eastAsia="Times New Roman" w:hAnsi="Times New Roman" w:cs="Times New Roman"/>
          <w:sz w:val="20"/>
          <w:szCs w:val="20"/>
          <w:lang w:eastAsia="lt-LT"/>
        </w:rPr>
        <w:t>sudaryta darbo autorės</w:t>
      </w:r>
    </w:p>
    <w:p w:rsidR="009F4399" w:rsidRPr="00EC1AB2" w:rsidRDefault="009F4399" w:rsidP="007A02A8">
      <w:pPr>
        <w:autoSpaceDE w:val="0"/>
        <w:autoSpaceDN w:val="0"/>
        <w:adjustRightInd w:val="0"/>
        <w:spacing w:after="0" w:line="360" w:lineRule="auto"/>
        <w:ind w:firstLine="567"/>
        <w:jc w:val="both"/>
        <w:rPr>
          <w:rFonts w:ascii="Times New Roman" w:eastAsia="Times New Roman" w:hAnsi="Times New Roman" w:cs="Times New Roman"/>
          <w:sz w:val="24"/>
          <w:szCs w:val="24"/>
          <w:lang w:eastAsia="lt-LT"/>
        </w:rPr>
      </w:pPr>
    </w:p>
    <w:p w:rsidR="00385363" w:rsidRPr="00EC1AB2" w:rsidRDefault="00E62586" w:rsidP="007A02A8">
      <w:pPr>
        <w:autoSpaceDE w:val="0"/>
        <w:autoSpaceDN w:val="0"/>
        <w:adjustRightInd w:val="0"/>
        <w:spacing w:after="0" w:line="360" w:lineRule="auto"/>
        <w:ind w:firstLine="567"/>
        <w:jc w:val="both"/>
        <w:rPr>
          <w:rFonts w:ascii="Times New Roman" w:eastAsia="Times New Roman" w:hAnsi="Times New Roman" w:cs="Times New Roman"/>
          <w:sz w:val="24"/>
          <w:szCs w:val="24"/>
          <w:lang w:eastAsia="lt-LT"/>
        </w:rPr>
      </w:pPr>
      <w:r w:rsidRPr="00EC1AB2">
        <w:rPr>
          <w:rFonts w:ascii="Times New Roman" w:eastAsia="Times New Roman" w:hAnsi="Times New Roman" w:cs="Times New Roman"/>
          <w:sz w:val="24"/>
          <w:szCs w:val="24"/>
          <w:lang w:eastAsia="lt-LT"/>
        </w:rPr>
        <w:t>Apibendrinant,</w:t>
      </w:r>
      <w:r w:rsidR="00C4082E" w:rsidRPr="00EC1AB2">
        <w:rPr>
          <w:rFonts w:ascii="Times New Roman" w:eastAsia="Times New Roman" w:hAnsi="Times New Roman" w:cs="Times New Roman"/>
          <w:sz w:val="24"/>
          <w:szCs w:val="24"/>
          <w:lang w:eastAsia="lt-LT"/>
        </w:rPr>
        <w:t xml:space="preserve"> vienas iš pasiūlymų – </w:t>
      </w:r>
      <w:r w:rsidR="009F6DFA" w:rsidRPr="00EC1AB2">
        <w:rPr>
          <w:rFonts w:ascii="Times New Roman" w:eastAsia="Times New Roman" w:hAnsi="Times New Roman" w:cs="Times New Roman"/>
          <w:sz w:val="24"/>
          <w:szCs w:val="24"/>
          <w:lang w:eastAsia="lt-LT"/>
        </w:rPr>
        <w:t>pens</w:t>
      </w:r>
      <w:r w:rsidR="00310CD0" w:rsidRPr="00EC1AB2">
        <w:rPr>
          <w:rFonts w:ascii="Times New Roman" w:eastAsia="Times New Roman" w:hAnsi="Times New Roman" w:cs="Times New Roman"/>
          <w:sz w:val="24"/>
          <w:szCs w:val="24"/>
          <w:lang w:eastAsia="lt-LT"/>
        </w:rPr>
        <w:t>ijų ir draudimo įmonių skatinimas</w:t>
      </w:r>
      <w:r w:rsidR="009F6DFA" w:rsidRPr="00EC1AB2">
        <w:rPr>
          <w:rFonts w:ascii="Times New Roman" w:eastAsia="Times New Roman" w:hAnsi="Times New Roman" w:cs="Times New Roman"/>
          <w:sz w:val="24"/>
          <w:szCs w:val="24"/>
          <w:lang w:eastAsia="lt-LT"/>
        </w:rPr>
        <w:t xml:space="preserve"> dalyvauti formuojant </w:t>
      </w:r>
      <w:r w:rsidR="005A07CA" w:rsidRPr="00EC1AB2">
        <w:rPr>
          <w:rFonts w:ascii="Times New Roman" w:eastAsia="Times New Roman" w:hAnsi="Times New Roman" w:cs="Times New Roman"/>
          <w:sz w:val="24"/>
          <w:szCs w:val="24"/>
          <w:lang w:eastAsia="lt-LT"/>
        </w:rPr>
        <w:t>RKF</w:t>
      </w:r>
      <w:r w:rsidR="00E579FE" w:rsidRPr="00EC1AB2">
        <w:rPr>
          <w:rFonts w:ascii="Times New Roman" w:eastAsia="Times New Roman" w:hAnsi="Times New Roman" w:cs="Times New Roman"/>
          <w:sz w:val="24"/>
          <w:szCs w:val="24"/>
          <w:lang w:eastAsia="lt-LT"/>
        </w:rPr>
        <w:t xml:space="preserve"> investicijas</w:t>
      </w:r>
      <w:r w:rsidR="005A07CA" w:rsidRPr="00EC1AB2">
        <w:rPr>
          <w:rFonts w:ascii="Times New Roman" w:eastAsia="Times New Roman" w:hAnsi="Times New Roman" w:cs="Times New Roman"/>
          <w:sz w:val="24"/>
          <w:szCs w:val="24"/>
          <w:lang w:eastAsia="lt-LT"/>
        </w:rPr>
        <w:t>, ta</w:t>
      </w:r>
      <w:r w:rsidR="00552ABC" w:rsidRPr="00EC1AB2">
        <w:rPr>
          <w:rFonts w:ascii="Times New Roman" w:eastAsia="Times New Roman" w:hAnsi="Times New Roman" w:cs="Times New Roman"/>
          <w:sz w:val="24"/>
          <w:szCs w:val="24"/>
          <w:lang w:eastAsia="lt-LT"/>
        </w:rPr>
        <w:t xml:space="preserve">ikant </w:t>
      </w:r>
      <w:r w:rsidR="00310CD0" w:rsidRPr="00EC1AB2">
        <w:rPr>
          <w:rFonts w:ascii="Times New Roman" w:eastAsia="Times New Roman" w:hAnsi="Times New Roman" w:cs="Times New Roman"/>
          <w:sz w:val="24"/>
          <w:szCs w:val="24"/>
          <w:lang w:eastAsia="lt-LT"/>
        </w:rPr>
        <w:t xml:space="preserve">mokesčių </w:t>
      </w:r>
      <w:r w:rsidR="00E579FE" w:rsidRPr="00EC1AB2">
        <w:rPr>
          <w:rFonts w:ascii="Times New Roman" w:eastAsia="Times New Roman" w:hAnsi="Times New Roman" w:cs="Times New Roman"/>
          <w:sz w:val="24"/>
          <w:szCs w:val="24"/>
          <w:lang w:eastAsia="lt-LT"/>
        </w:rPr>
        <w:t xml:space="preserve">lengvatas. </w:t>
      </w:r>
      <w:r w:rsidR="00776936" w:rsidRPr="00EC1AB2">
        <w:rPr>
          <w:rFonts w:ascii="Times New Roman" w:eastAsia="Times New Roman" w:hAnsi="Times New Roman" w:cs="Times New Roman"/>
          <w:sz w:val="24"/>
          <w:szCs w:val="24"/>
          <w:lang w:eastAsia="lt-LT"/>
        </w:rPr>
        <w:t xml:space="preserve">2010 m. duomenimis pensijų įmonės </w:t>
      </w:r>
      <w:r w:rsidR="00E579FE" w:rsidRPr="00EC1AB2">
        <w:rPr>
          <w:rFonts w:ascii="Times New Roman" w:eastAsia="Times New Roman" w:hAnsi="Times New Roman" w:cs="Times New Roman"/>
          <w:sz w:val="24"/>
          <w:szCs w:val="24"/>
          <w:lang w:eastAsia="lt-LT"/>
        </w:rPr>
        <w:t xml:space="preserve">pagal </w:t>
      </w:r>
      <w:r w:rsidR="00E579FE" w:rsidRPr="00EC1AB2">
        <w:rPr>
          <w:rFonts w:ascii="Times New Roman" w:eastAsia="Times New Roman" w:hAnsi="Times New Roman" w:cs="Times New Roman"/>
          <w:sz w:val="24"/>
          <w:szCs w:val="24"/>
          <w:lang w:eastAsia="lt-LT"/>
        </w:rPr>
        <w:lastRenderedPageBreak/>
        <w:t>įsta</w:t>
      </w:r>
      <w:r w:rsidR="0024192E" w:rsidRPr="00EC1AB2">
        <w:rPr>
          <w:rFonts w:ascii="Times New Roman" w:eastAsia="Times New Roman" w:hAnsi="Times New Roman" w:cs="Times New Roman"/>
          <w:sz w:val="24"/>
          <w:szCs w:val="24"/>
          <w:lang w:eastAsia="lt-LT"/>
        </w:rPr>
        <w:t>tymo nuostatas galėjo investuoti</w:t>
      </w:r>
      <w:r w:rsidR="00E579FE" w:rsidRPr="00EC1AB2">
        <w:rPr>
          <w:rFonts w:ascii="Times New Roman" w:eastAsia="Times New Roman" w:hAnsi="Times New Roman" w:cs="Times New Roman"/>
          <w:sz w:val="24"/>
          <w:szCs w:val="24"/>
          <w:lang w:eastAsia="lt-LT"/>
        </w:rPr>
        <w:t xml:space="preserve"> iki 667,67 mln. litų</w:t>
      </w:r>
      <w:r w:rsidR="001D1E36" w:rsidRPr="00EC1AB2">
        <w:rPr>
          <w:rFonts w:ascii="Times New Roman" w:eastAsia="Times New Roman" w:hAnsi="Times New Roman" w:cs="Times New Roman"/>
          <w:sz w:val="24"/>
          <w:szCs w:val="24"/>
          <w:lang w:eastAsia="lt-LT"/>
        </w:rPr>
        <w:t xml:space="preserve"> (20 proc. grynųjų aktyvų vertės)</w:t>
      </w:r>
      <w:r w:rsidR="00E579FE" w:rsidRPr="00EC1AB2">
        <w:rPr>
          <w:rFonts w:ascii="Times New Roman" w:eastAsia="Times New Roman" w:hAnsi="Times New Roman" w:cs="Times New Roman"/>
          <w:sz w:val="24"/>
          <w:szCs w:val="24"/>
          <w:lang w:eastAsia="lt-LT"/>
        </w:rPr>
        <w:t xml:space="preserve"> , tačiau buvo investuota tik 0,4 mln. Lt, tuo tarpu draudimo įmonės apskirtai nedalyvavo formuojant RKF </w:t>
      </w:r>
      <w:r w:rsidR="008F138A" w:rsidRPr="00EC1AB2">
        <w:rPr>
          <w:rFonts w:ascii="Times New Roman" w:eastAsia="Times New Roman" w:hAnsi="Times New Roman" w:cs="Times New Roman"/>
          <w:sz w:val="24"/>
          <w:szCs w:val="24"/>
          <w:lang w:eastAsia="lt-LT"/>
        </w:rPr>
        <w:t>investicijas, nors įs</w:t>
      </w:r>
      <w:r w:rsidR="00E579FE" w:rsidRPr="00EC1AB2">
        <w:rPr>
          <w:rFonts w:ascii="Times New Roman" w:eastAsia="Times New Roman" w:hAnsi="Times New Roman" w:cs="Times New Roman"/>
          <w:sz w:val="24"/>
          <w:szCs w:val="24"/>
          <w:lang w:eastAsia="lt-LT"/>
        </w:rPr>
        <w:t>tatymai netaiko jokių apribojimų.</w:t>
      </w:r>
      <w:r w:rsidR="00C87AB1" w:rsidRPr="00EC1AB2">
        <w:rPr>
          <w:rFonts w:ascii="Times New Roman" w:eastAsia="Times New Roman" w:hAnsi="Times New Roman" w:cs="Times New Roman"/>
          <w:sz w:val="24"/>
          <w:szCs w:val="24"/>
          <w:lang w:eastAsia="lt-LT"/>
        </w:rPr>
        <w:t xml:space="preserve"> </w:t>
      </w:r>
      <w:r w:rsidR="008B7219" w:rsidRPr="00EC1AB2">
        <w:rPr>
          <w:rFonts w:ascii="Times New Roman" w:eastAsia="Times New Roman" w:hAnsi="Times New Roman" w:cs="Times New Roman"/>
          <w:sz w:val="24"/>
          <w:szCs w:val="24"/>
          <w:lang w:eastAsia="lt-LT"/>
        </w:rPr>
        <w:t>Daugelyje šalių šie instituciniai investuotojai yra pagrindiniai RKF investicijų formuotojai, todėl</w:t>
      </w:r>
      <w:r w:rsidR="00F12AA8" w:rsidRPr="00EC1AB2">
        <w:rPr>
          <w:rFonts w:ascii="Times New Roman" w:eastAsia="Times New Roman" w:hAnsi="Times New Roman" w:cs="Times New Roman"/>
          <w:sz w:val="24"/>
          <w:szCs w:val="24"/>
          <w:lang w:eastAsia="lt-LT"/>
        </w:rPr>
        <w:t xml:space="preserve"> tai tik pagrindžia lengvatų taikymo būtinybę.</w:t>
      </w:r>
      <w:r w:rsidR="00320E6A" w:rsidRPr="00EC1AB2">
        <w:rPr>
          <w:rFonts w:ascii="Times New Roman" w:eastAsia="Times New Roman" w:hAnsi="Times New Roman" w:cs="Times New Roman"/>
          <w:sz w:val="24"/>
          <w:szCs w:val="24"/>
          <w:lang w:eastAsia="lt-LT"/>
        </w:rPr>
        <w:t xml:space="preserve"> </w:t>
      </w:r>
    </w:p>
    <w:p w:rsidR="00707C8C" w:rsidRPr="00EC1AB2" w:rsidRDefault="00E62586" w:rsidP="004A2DEB">
      <w:pPr>
        <w:autoSpaceDE w:val="0"/>
        <w:autoSpaceDN w:val="0"/>
        <w:adjustRightInd w:val="0"/>
        <w:spacing w:after="0" w:line="360" w:lineRule="auto"/>
        <w:ind w:firstLine="567"/>
        <w:jc w:val="both"/>
        <w:rPr>
          <w:rFonts w:ascii="Times New Roman" w:eastAsia="Times New Roman" w:hAnsi="Times New Roman" w:cs="Times New Roman"/>
          <w:sz w:val="24"/>
          <w:szCs w:val="24"/>
          <w:lang w:eastAsia="lt-LT"/>
        </w:rPr>
      </w:pPr>
      <w:r w:rsidRPr="00EC1AB2">
        <w:rPr>
          <w:rFonts w:ascii="Times New Roman" w:eastAsia="Times New Roman" w:hAnsi="Times New Roman" w:cs="Times New Roman"/>
          <w:sz w:val="24"/>
          <w:szCs w:val="24"/>
          <w:lang w:eastAsia="lt-LT"/>
        </w:rPr>
        <w:t>T</w:t>
      </w:r>
      <w:r w:rsidR="00552ABC" w:rsidRPr="00EC1AB2">
        <w:rPr>
          <w:rFonts w:ascii="Times New Roman" w:eastAsia="Times New Roman" w:hAnsi="Times New Roman" w:cs="Times New Roman"/>
          <w:sz w:val="24"/>
          <w:szCs w:val="24"/>
          <w:lang w:eastAsia="lt-LT"/>
        </w:rPr>
        <w:t xml:space="preserve">aip pat </w:t>
      </w:r>
      <w:r w:rsidRPr="00EC1AB2">
        <w:rPr>
          <w:rFonts w:ascii="Times New Roman" w:eastAsia="Times New Roman" w:hAnsi="Times New Roman" w:cs="Times New Roman"/>
          <w:sz w:val="24"/>
          <w:szCs w:val="24"/>
          <w:lang w:eastAsia="lt-LT"/>
        </w:rPr>
        <w:t xml:space="preserve">reikalinga </w:t>
      </w:r>
      <w:r w:rsidR="004A2DEB" w:rsidRPr="00EC1AB2">
        <w:rPr>
          <w:rFonts w:ascii="Times New Roman" w:eastAsia="Times New Roman" w:hAnsi="Times New Roman" w:cs="Times New Roman"/>
          <w:sz w:val="24"/>
          <w:szCs w:val="24"/>
          <w:lang w:eastAsia="lt-LT"/>
        </w:rPr>
        <w:t xml:space="preserve">imtis priemonių, skatinančių </w:t>
      </w:r>
      <w:r w:rsidR="00552ABC" w:rsidRPr="00EC1AB2">
        <w:rPr>
          <w:rFonts w:ascii="Times New Roman" w:eastAsia="Times New Roman" w:hAnsi="Times New Roman" w:cs="Times New Roman"/>
          <w:sz w:val="24"/>
          <w:szCs w:val="24"/>
          <w:lang w:eastAsia="lt-LT"/>
        </w:rPr>
        <w:t>auštos pridėtinės vertės verslų kūrimą</w:t>
      </w:r>
      <w:r w:rsidR="004A2DEB" w:rsidRPr="00EC1AB2">
        <w:rPr>
          <w:rFonts w:ascii="Times New Roman" w:eastAsia="Times New Roman" w:hAnsi="Times New Roman" w:cs="Times New Roman"/>
          <w:sz w:val="24"/>
          <w:szCs w:val="24"/>
          <w:lang w:eastAsia="lt-LT"/>
        </w:rPr>
        <w:t>, didinančių naujų inovatyvių įmonių steigimosi apimtis.</w:t>
      </w:r>
      <w:r w:rsidRPr="00EC1AB2">
        <w:rPr>
          <w:rFonts w:ascii="Times New Roman" w:eastAsia="Times New Roman" w:hAnsi="Times New Roman" w:cs="Times New Roman"/>
          <w:sz w:val="24"/>
          <w:szCs w:val="24"/>
          <w:lang w:eastAsia="lt-LT"/>
        </w:rPr>
        <w:t xml:space="preserve"> </w:t>
      </w:r>
      <w:r w:rsidR="00121C25" w:rsidRPr="00EC1AB2">
        <w:rPr>
          <w:rFonts w:ascii="Times New Roman" w:eastAsia="Times New Roman" w:hAnsi="Times New Roman" w:cs="Times New Roman"/>
          <w:sz w:val="24"/>
          <w:szCs w:val="24"/>
          <w:lang w:eastAsia="lt-LT"/>
        </w:rPr>
        <w:t xml:space="preserve">Dar vienas iš pasiūlymų būtų </w:t>
      </w:r>
      <w:r w:rsidR="003E502D" w:rsidRPr="00EC1AB2">
        <w:rPr>
          <w:rFonts w:ascii="Times New Roman" w:eastAsia="Times New Roman" w:hAnsi="Times New Roman" w:cs="Times New Roman"/>
          <w:sz w:val="24"/>
          <w:szCs w:val="24"/>
          <w:lang w:eastAsia="lt-LT"/>
        </w:rPr>
        <w:t>v</w:t>
      </w:r>
      <w:r w:rsidR="00121C25" w:rsidRPr="00EC1AB2">
        <w:rPr>
          <w:rFonts w:ascii="Times New Roman" w:eastAsia="Times New Roman" w:hAnsi="Times New Roman" w:cs="Times New Roman"/>
          <w:sz w:val="24"/>
          <w:szCs w:val="24"/>
          <w:lang w:eastAsia="lt-LT"/>
        </w:rPr>
        <w:t xml:space="preserve">erslo ir mokslo bendradarbiavimo skatinimas. Siekiant, </w:t>
      </w:r>
      <w:r w:rsidR="003E502D" w:rsidRPr="00EC1AB2">
        <w:rPr>
          <w:rFonts w:ascii="Times New Roman" w:eastAsia="Times New Roman" w:hAnsi="Times New Roman" w:cs="Times New Roman"/>
          <w:sz w:val="24"/>
          <w:szCs w:val="24"/>
          <w:lang w:eastAsia="lt-LT"/>
        </w:rPr>
        <w:t>kad</w:t>
      </w:r>
      <w:r w:rsidR="00285668" w:rsidRPr="00EC1AB2">
        <w:rPr>
          <w:rFonts w:ascii="Times New Roman" w:eastAsia="Times New Roman" w:hAnsi="Times New Roman" w:cs="Times New Roman"/>
          <w:sz w:val="24"/>
          <w:szCs w:val="24"/>
          <w:lang w:eastAsia="lt-LT"/>
        </w:rPr>
        <w:t xml:space="preserve"> kuo daugiau inovacijų būtų komerciali</w:t>
      </w:r>
      <w:r w:rsidR="00310CD0" w:rsidRPr="00EC1AB2">
        <w:rPr>
          <w:rFonts w:ascii="Times New Roman" w:eastAsia="Times New Roman" w:hAnsi="Times New Roman" w:cs="Times New Roman"/>
          <w:sz w:val="24"/>
          <w:szCs w:val="24"/>
          <w:lang w:eastAsia="lt-LT"/>
        </w:rPr>
        <w:t>zuojama, t.y. pritaikoma ūkinėje veikloje</w:t>
      </w:r>
      <w:r w:rsidR="00121C25" w:rsidRPr="00EC1AB2">
        <w:rPr>
          <w:rFonts w:ascii="Times New Roman" w:eastAsia="Times New Roman" w:hAnsi="Times New Roman" w:cs="Times New Roman"/>
          <w:sz w:val="24"/>
          <w:szCs w:val="24"/>
          <w:lang w:eastAsia="lt-LT"/>
        </w:rPr>
        <w:t>, reikalinga nedelsiant</w:t>
      </w:r>
      <w:r w:rsidR="00EB78D8" w:rsidRPr="00EC1AB2">
        <w:rPr>
          <w:rFonts w:ascii="Times New Roman" w:eastAsia="Times New Roman" w:hAnsi="Times New Roman" w:cs="Times New Roman"/>
          <w:sz w:val="24"/>
          <w:szCs w:val="24"/>
          <w:lang w:eastAsia="lt-LT"/>
        </w:rPr>
        <w:t xml:space="preserve"> sudaryti mokslinės produkcijos gamybos ir Lietuvos ūkio reikmių duomenų bazes.</w:t>
      </w:r>
    </w:p>
    <w:p w:rsidR="00707C8C" w:rsidRPr="00EC1AB2" w:rsidRDefault="00707C8C" w:rsidP="007A02A8">
      <w:pPr>
        <w:autoSpaceDE w:val="0"/>
        <w:autoSpaceDN w:val="0"/>
        <w:adjustRightInd w:val="0"/>
        <w:spacing w:after="0" w:line="360" w:lineRule="auto"/>
        <w:ind w:firstLine="1296"/>
        <w:jc w:val="both"/>
        <w:rPr>
          <w:rFonts w:ascii="Times New Roman" w:eastAsia="Times New Roman" w:hAnsi="Times New Roman" w:cs="Times New Roman"/>
          <w:sz w:val="24"/>
          <w:szCs w:val="24"/>
          <w:lang w:eastAsia="lt-LT"/>
        </w:rPr>
      </w:pPr>
    </w:p>
    <w:p w:rsidR="00975B21" w:rsidRPr="00EC1AB2" w:rsidRDefault="00A44A20" w:rsidP="007A02A8">
      <w:pPr>
        <w:autoSpaceDE w:val="0"/>
        <w:autoSpaceDN w:val="0"/>
        <w:adjustRightInd w:val="0"/>
        <w:spacing w:after="0" w:line="360" w:lineRule="auto"/>
        <w:jc w:val="both"/>
        <w:rPr>
          <w:rFonts w:ascii="Times New Roman" w:eastAsia="Times New Roman" w:hAnsi="Times New Roman" w:cs="Times New Roman"/>
          <w:sz w:val="24"/>
          <w:szCs w:val="24"/>
          <w:lang w:eastAsia="lt-LT"/>
        </w:rPr>
      </w:pPr>
      <w:r w:rsidRPr="00EC1AB2">
        <w:rPr>
          <w:rFonts w:ascii="Times New Roman" w:eastAsia="Times New Roman" w:hAnsi="Times New Roman" w:cs="Times New Roman"/>
          <w:sz w:val="24"/>
          <w:szCs w:val="24"/>
          <w:lang w:eastAsia="lt-LT"/>
        </w:rPr>
        <w:br w:type="page"/>
      </w:r>
    </w:p>
    <w:p w:rsidR="00707C8C" w:rsidRPr="00EC1AB2" w:rsidRDefault="00081C80" w:rsidP="007A02A8">
      <w:pPr>
        <w:pStyle w:val="Heading1"/>
        <w:spacing w:before="0" w:after="0" w:line="360" w:lineRule="auto"/>
        <w:rPr>
          <w:sz w:val="28"/>
          <w:szCs w:val="28"/>
        </w:rPr>
      </w:pPr>
      <w:bookmarkStart w:id="196" w:name="_Toc320567003"/>
      <w:bookmarkStart w:id="197" w:name="_Toc320567043"/>
      <w:bookmarkStart w:id="198" w:name="_Toc320567190"/>
      <w:bookmarkStart w:id="199" w:name="_Toc320761773"/>
      <w:bookmarkStart w:id="200" w:name="_Toc320761942"/>
      <w:bookmarkStart w:id="201" w:name="_Toc320762177"/>
      <w:bookmarkStart w:id="202" w:name="_Toc320762580"/>
      <w:bookmarkStart w:id="203" w:name="_Toc321092706"/>
      <w:r w:rsidRPr="00EC1AB2">
        <w:rPr>
          <w:sz w:val="28"/>
          <w:szCs w:val="28"/>
        </w:rPr>
        <w:lastRenderedPageBreak/>
        <w:t xml:space="preserve">IŠVADOS IR </w:t>
      </w:r>
      <w:r w:rsidR="00B21BF5" w:rsidRPr="00EC1AB2">
        <w:rPr>
          <w:sz w:val="28"/>
          <w:szCs w:val="28"/>
        </w:rPr>
        <w:t>SIŪLYMAI</w:t>
      </w:r>
      <w:bookmarkEnd w:id="196"/>
      <w:bookmarkEnd w:id="197"/>
      <w:bookmarkEnd w:id="198"/>
      <w:bookmarkEnd w:id="199"/>
      <w:bookmarkEnd w:id="200"/>
      <w:bookmarkEnd w:id="201"/>
      <w:bookmarkEnd w:id="202"/>
      <w:bookmarkEnd w:id="203"/>
    </w:p>
    <w:p w:rsidR="00486712" w:rsidRPr="00EC1AB2" w:rsidRDefault="00486712" w:rsidP="007A02A8">
      <w:pPr>
        <w:autoSpaceDE w:val="0"/>
        <w:autoSpaceDN w:val="0"/>
        <w:adjustRightInd w:val="0"/>
        <w:spacing w:after="0" w:line="360" w:lineRule="auto"/>
        <w:ind w:firstLine="1296"/>
        <w:jc w:val="center"/>
        <w:rPr>
          <w:rFonts w:ascii="Times New Roman" w:eastAsia="Times New Roman" w:hAnsi="Times New Roman" w:cs="Times New Roman"/>
          <w:b/>
          <w:sz w:val="28"/>
          <w:szCs w:val="28"/>
          <w:lang w:eastAsia="lt-LT"/>
        </w:rPr>
      </w:pPr>
    </w:p>
    <w:p w:rsidR="00B63D8F" w:rsidRPr="00EC1AB2" w:rsidRDefault="00B63D8F" w:rsidP="007A02A8">
      <w:pPr>
        <w:pStyle w:val="ListParagraph"/>
        <w:numPr>
          <w:ilvl w:val="0"/>
          <w:numId w:val="6"/>
        </w:numPr>
        <w:autoSpaceDE w:val="0"/>
        <w:autoSpaceDN w:val="0"/>
        <w:adjustRightInd w:val="0"/>
        <w:spacing w:after="0" w:line="360" w:lineRule="auto"/>
        <w:jc w:val="both"/>
        <w:rPr>
          <w:rFonts w:ascii="Times New Roman" w:eastAsia="Times New Roman" w:hAnsi="Times New Roman" w:cs="Times New Roman"/>
          <w:sz w:val="24"/>
          <w:szCs w:val="24"/>
          <w:lang w:eastAsia="lt-LT"/>
        </w:rPr>
      </w:pPr>
      <w:r w:rsidRPr="00EC1AB2">
        <w:rPr>
          <w:rFonts w:ascii="Times New Roman" w:eastAsia="Times New Roman" w:hAnsi="Times New Roman" w:cs="Times New Roman"/>
          <w:sz w:val="24"/>
          <w:szCs w:val="24"/>
          <w:lang w:eastAsia="lt-LT"/>
        </w:rPr>
        <w:t>Rizikos kapitalo samprata tiek teoriniuose, tiek empiriniuose užsienio autorių tyrimuose traktuojama nevienodai, tačiau laikantis europietiško požiūrio, rizikos k</w:t>
      </w:r>
      <w:r w:rsidR="003B0257" w:rsidRPr="00EC1AB2">
        <w:rPr>
          <w:rFonts w:ascii="Times New Roman" w:eastAsia="Times New Roman" w:hAnsi="Times New Roman" w:cs="Times New Roman"/>
          <w:sz w:val="24"/>
          <w:szCs w:val="24"/>
          <w:lang w:eastAsia="lt-LT"/>
        </w:rPr>
        <w:t xml:space="preserve">apitalas suprantamas, kaip </w:t>
      </w:r>
      <w:r w:rsidR="007F7D1D" w:rsidRPr="00EC1AB2">
        <w:rPr>
          <w:rFonts w:ascii="Times New Roman" w:eastAsia="Times New Roman" w:hAnsi="Times New Roman" w:cs="Times New Roman"/>
          <w:sz w:val="24"/>
          <w:szCs w:val="24"/>
          <w:lang w:eastAsia="lt-LT"/>
        </w:rPr>
        <w:t xml:space="preserve">inovatyvių įmonių </w:t>
      </w:r>
      <w:r w:rsidR="003B0257" w:rsidRPr="00EC1AB2">
        <w:rPr>
          <w:rFonts w:ascii="Times New Roman" w:eastAsia="Times New Roman" w:hAnsi="Times New Roman" w:cs="Times New Roman"/>
          <w:sz w:val="24"/>
          <w:szCs w:val="24"/>
          <w:lang w:eastAsia="lt-LT"/>
        </w:rPr>
        <w:t xml:space="preserve">veiklos pradžios bei ankstyvos plėtros </w:t>
      </w:r>
      <w:r w:rsidRPr="00EC1AB2">
        <w:rPr>
          <w:rFonts w:ascii="Times New Roman" w:eastAsia="Times New Roman" w:hAnsi="Times New Roman" w:cs="Times New Roman"/>
          <w:sz w:val="24"/>
          <w:szCs w:val="24"/>
          <w:lang w:eastAsia="lt-LT"/>
        </w:rPr>
        <w:t xml:space="preserve">finansavimo būdas, viena iš privataus kapitalo investavimo formų. </w:t>
      </w:r>
    </w:p>
    <w:p w:rsidR="00B63D8F" w:rsidRPr="00EC1AB2" w:rsidRDefault="00B63D8F" w:rsidP="007A02A8">
      <w:pPr>
        <w:pStyle w:val="ListParagraph"/>
        <w:numPr>
          <w:ilvl w:val="0"/>
          <w:numId w:val="6"/>
        </w:numPr>
        <w:autoSpaceDE w:val="0"/>
        <w:autoSpaceDN w:val="0"/>
        <w:adjustRightInd w:val="0"/>
        <w:spacing w:after="0" w:line="360" w:lineRule="auto"/>
        <w:jc w:val="both"/>
        <w:rPr>
          <w:rFonts w:ascii="Times New Roman" w:eastAsia="Times New Roman" w:hAnsi="Times New Roman" w:cs="Times New Roman"/>
          <w:sz w:val="24"/>
          <w:szCs w:val="24"/>
          <w:lang w:eastAsia="lt-LT"/>
        </w:rPr>
      </w:pPr>
      <w:r w:rsidRPr="00EC1AB2">
        <w:rPr>
          <w:rFonts w:ascii="Times New Roman" w:eastAsia="Times New Roman" w:hAnsi="Times New Roman" w:cs="Times New Roman"/>
          <w:sz w:val="24"/>
          <w:szCs w:val="24"/>
          <w:lang w:eastAsia="lt-LT"/>
        </w:rPr>
        <w:t>RKF yra finansų tarpininkas, investuojantis į jaunų, potencialiai perspektyvių įmonių akcijas, aktyviai valdantis, kontroliuojantis ir padedantis</w:t>
      </w:r>
      <w:r w:rsidR="004D52EB" w:rsidRPr="00EC1AB2">
        <w:rPr>
          <w:rFonts w:ascii="Times New Roman" w:eastAsia="Times New Roman" w:hAnsi="Times New Roman" w:cs="Times New Roman"/>
          <w:sz w:val="24"/>
          <w:szCs w:val="24"/>
          <w:lang w:eastAsia="lt-LT"/>
        </w:rPr>
        <w:t xml:space="preserve"> po</w:t>
      </w:r>
      <w:r w:rsidR="00351911" w:rsidRPr="00EC1AB2">
        <w:rPr>
          <w:rFonts w:ascii="Times New Roman" w:eastAsia="Times New Roman" w:hAnsi="Times New Roman" w:cs="Times New Roman"/>
          <w:sz w:val="24"/>
          <w:szCs w:val="24"/>
          <w:lang w:eastAsia="lt-LT"/>
        </w:rPr>
        <w:t>r</w:t>
      </w:r>
      <w:r w:rsidR="004D52EB" w:rsidRPr="00EC1AB2">
        <w:rPr>
          <w:rFonts w:ascii="Times New Roman" w:eastAsia="Times New Roman" w:hAnsi="Times New Roman" w:cs="Times New Roman"/>
          <w:sz w:val="24"/>
          <w:szCs w:val="24"/>
          <w:lang w:eastAsia="lt-LT"/>
        </w:rPr>
        <w:t>tfelio</w:t>
      </w:r>
      <w:r w:rsidR="00351911" w:rsidRPr="00EC1AB2">
        <w:rPr>
          <w:rFonts w:ascii="Times New Roman" w:eastAsia="Times New Roman" w:hAnsi="Times New Roman" w:cs="Times New Roman"/>
          <w:sz w:val="24"/>
          <w:szCs w:val="24"/>
          <w:lang w:eastAsia="lt-LT"/>
        </w:rPr>
        <w:t xml:space="preserve"> įmonėms,</w:t>
      </w:r>
      <w:r w:rsidR="009D0BF1" w:rsidRPr="00EC1AB2">
        <w:rPr>
          <w:rFonts w:ascii="Times New Roman" w:eastAsia="Times New Roman" w:hAnsi="Times New Roman" w:cs="Times New Roman"/>
          <w:sz w:val="24"/>
          <w:szCs w:val="24"/>
          <w:lang w:eastAsia="lt-LT"/>
        </w:rPr>
        <w:t xml:space="preserve"> siekiantis</w:t>
      </w:r>
      <w:r w:rsidRPr="00EC1AB2">
        <w:rPr>
          <w:rFonts w:ascii="Times New Roman" w:eastAsia="Times New Roman" w:hAnsi="Times New Roman" w:cs="Times New Roman"/>
          <w:sz w:val="24"/>
          <w:szCs w:val="24"/>
          <w:lang w:eastAsia="lt-LT"/>
        </w:rPr>
        <w:t xml:space="preserve"> didelės investicinės grąžos, </w:t>
      </w:r>
      <w:r w:rsidR="00351911" w:rsidRPr="00EC1AB2">
        <w:rPr>
          <w:rFonts w:ascii="Times New Roman" w:eastAsia="Times New Roman" w:hAnsi="Times New Roman" w:cs="Times New Roman"/>
          <w:sz w:val="24"/>
          <w:szCs w:val="24"/>
          <w:lang w:eastAsia="lt-LT"/>
        </w:rPr>
        <w:t>investicijas realizuojant</w:t>
      </w:r>
      <w:r w:rsidR="009D0BF1" w:rsidRPr="00EC1AB2">
        <w:rPr>
          <w:rFonts w:ascii="Times New Roman" w:eastAsia="Times New Roman" w:hAnsi="Times New Roman" w:cs="Times New Roman"/>
          <w:sz w:val="24"/>
          <w:szCs w:val="24"/>
          <w:lang w:eastAsia="lt-LT"/>
        </w:rPr>
        <w:t>is</w:t>
      </w:r>
      <w:r w:rsidR="00351911" w:rsidRPr="00EC1AB2">
        <w:rPr>
          <w:rFonts w:ascii="Times New Roman" w:eastAsia="Times New Roman" w:hAnsi="Times New Roman" w:cs="Times New Roman"/>
          <w:sz w:val="24"/>
          <w:szCs w:val="24"/>
          <w:lang w:eastAsia="lt-LT"/>
        </w:rPr>
        <w:t xml:space="preserve"> parduodant</w:t>
      </w:r>
      <w:r w:rsidRPr="00EC1AB2">
        <w:rPr>
          <w:rFonts w:ascii="Times New Roman" w:eastAsia="Times New Roman" w:hAnsi="Times New Roman" w:cs="Times New Roman"/>
          <w:sz w:val="24"/>
          <w:szCs w:val="24"/>
          <w:lang w:eastAsia="lt-LT"/>
        </w:rPr>
        <w:t xml:space="preserve"> akcijas privačiai arba paskelbiant IPO. </w:t>
      </w:r>
    </w:p>
    <w:p w:rsidR="00B63D8F" w:rsidRPr="00EC1AB2" w:rsidRDefault="00B63D8F" w:rsidP="007A02A8">
      <w:pPr>
        <w:numPr>
          <w:ilvl w:val="0"/>
          <w:numId w:val="6"/>
        </w:numPr>
        <w:spacing w:after="0" w:line="360" w:lineRule="auto"/>
        <w:jc w:val="both"/>
        <w:rPr>
          <w:rFonts w:ascii="Times New Roman" w:hAnsi="Times New Roman" w:cs="Times New Roman"/>
          <w:sz w:val="24"/>
          <w:szCs w:val="24"/>
        </w:rPr>
      </w:pPr>
      <w:r w:rsidRPr="00EC1AB2">
        <w:rPr>
          <w:rFonts w:ascii="Times New Roman" w:hAnsi="Times New Roman" w:cs="Times New Roman"/>
          <w:sz w:val="24"/>
          <w:szCs w:val="24"/>
        </w:rPr>
        <w:t>Dažniausiai RKF veikia kaip komanditinė ūkinė bendrija, kurią sudaro tikrasis narys – valdymo įmonė ir ribotos atsakomybės nariai, kurie valdyme nedalyvauja. Paprastai fiksuojamas tiek fondo terminas, tiek dydis. Investicija į RKF pakankamai nelikvidi, nes ribojamas jos išpirkimas ar perleidimas investavimo laikotarpiu ar iki visos investicijos realizuojamos.</w:t>
      </w:r>
    </w:p>
    <w:p w:rsidR="00B63D8F" w:rsidRPr="00EC1AB2" w:rsidRDefault="00B63D8F" w:rsidP="007A02A8">
      <w:pPr>
        <w:pStyle w:val="ListParagraph"/>
        <w:numPr>
          <w:ilvl w:val="0"/>
          <w:numId w:val="6"/>
        </w:numPr>
        <w:spacing w:after="0" w:line="360" w:lineRule="auto"/>
        <w:jc w:val="both"/>
        <w:rPr>
          <w:rFonts w:ascii="Times New Roman" w:hAnsi="Times New Roman" w:cs="Times New Roman"/>
          <w:sz w:val="24"/>
          <w:szCs w:val="24"/>
        </w:rPr>
      </w:pPr>
      <w:r w:rsidRPr="00EC1AB2">
        <w:rPr>
          <w:rFonts w:ascii="Times New Roman" w:hAnsi="Times New Roman" w:cs="Times New Roman"/>
          <w:sz w:val="24"/>
          <w:szCs w:val="24"/>
        </w:rPr>
        <w:t xml:space="preserve">2011 m. viduryje įsigaliojo </w:t>
      </w:r>
      <w:r w:rsidRPr="00EC1AB2">
        <w:rPr>
          <w:rFonts w:ascii="Times New Roman" w:hAnsi="Times New Roman" w:cs="Times New Roman"/>
          <w:bCs/>
          <w:sz w:val="24"/>
          <w:szCs w:val="24"/>
        </w:rPr>
        <w:t>Alternatyvaus investavimo fondų valdytojų</w:t>
      </w:r>
      <w:r w:rsidR="00EE3D6B" w:rsidRPr="00EC1AB2">
        <w:rPr>
          <w:rFonts w:ascii="Times New Roman" w:hAnsi="Times New Roman" w:cs="Times New Roman"/>
          <w:sz w:val="24"/>
          <w:szCs w:val="24"/>
        </w:rPr>
        <w:t xml:space="preserve"> (AIFV)</w:t>
      </w:r>
      <w:r w:rsidRPr="00EC1AB2">
        <w:rPr>
          <w:rFonts w:ascii="Times New Roman" w:hAnsi="Times New Roman" w:cs="Times New Roman"/>
          <w:sz w:val="24"/>
          <w:szCs w:val="24"/>
        </w:rPr>
        <w:t xml:space="preserve"> direktyva, kuria siekiama kontroliuoti </w:t>
      </w:r>
      <w:r w:rsidR="009D0BF1" w:rsidRPr="00EC1AB2">
        <w:rPr>
          <w:rFonts w:ascii="Times New Roman" w:hAnsi="Times New Roman" w:cs="Times New Roman"/>
          <w:sz w:val="24"/>
          <w:szCs w:val="24"/>
        </w:rPr>
        <w:t xml:space="preserve">alternatyvaus investavimo </w:t>
      </w:r>
      <w:r w:rsidRPr="00EC1AB2">
        <w:rPr>
          <w:rFonts w:ascii="Times New Roman" w:hAnsi="Times New Roman" w:cs="Times New Roman"/>
          <w:sz w:val="24"/>
          <w:szCs w:val="24"/>
        </w:rPr>
        <w:t xml:space="preserve">fondų veiklą dėl jų </w:t>
      </w:r>
      <w:r w:rsidRPr="00EC1AB2">
        <w:rPr>
          <w:rFonts w:ascii="Times New Roman" w:eastAsia="+mn-ea" w:hAnsi="Times New Roman" w:cs="Times New Roman"/>
          <w:bCs/>
          <w:sz w:val="24"/>
          <w:szCs w:val="24"/>
        </w:rPr>
        <w:t>tarptautinio pobūdžio ir keliamos</w:t>
      </w:r>
      <w:r w:rsidRPr="00EC1AB2">
        <w:rPr>
          <w:rFonts w:ascii="Times New Roman" w:eastAsia="+mn-ea" w:hAnsi="Times New Roman" w:cs="Times New Roman"/>
          <w:b/>
          <w:bCs/>
          <w:sz w:val="24"/>
          <w:szCs w:val="24"/>
        </w:rPr>
        <w:t xml:space="preserve"> </w:t>
      </w:r>
      <w:r w:rsidRPr="00EC1AB2">
        <w:rPr>
          <w:rFonts w:ascii="Times New Roman" w:eastAsia="+mn-ea" w:hAnsi="Times New Roman" w:cs="Times New Roman"/>
          <w:bCs/>
          <w:sz w:val="24"/>
          <w:szCs w:val="24"/>
        </w:rPr>
        <w:t xml:space="preserve">tarptautinės </w:t>
      </w:r>
      <w:r w:rsidRPr="00EC1AB2">
        <w:rPr>
          <w:rFonts w:ascii="Times New Roman" w:eastAsia="+mn-ea" w:hAnsi="Times New Roman" w:cs="Times New Roman"/>
          <w:sz w:val="24"/>
          <w:szCs w:val="24"/>
        </w:rPr>
        <w:t>rizikos, t.y. nesusijusios tik su viena rinka ar turto rūšim</w:t>
      </w:r>
      <w:r w:rsidR="00CC1E52" w:rsidRPr="00EC1AB2">
        <w:rPr>
          <w:rFonts w:ascii="Times New Roman" w:eastAsia="+mn-ea" w:hAnsi="Times New Roman" w:cs="Times New Roman"/>
          <w:sz w:val="24"/>
          <w:szCs w:val="24"/>
        </w:rPr>
        <w:t>i, tačiau ekspertų nuomone, ši d</w:t>
      </w:r>
      <w:r w:rsidRPr="00EC1AB2">
        <w:rPr>
          <w:rFonts w:ascii="Times New Roman" w:eastAsia="+mn-ea" w:hAnsi="Times New Roman" w:cs="Times New Roman"/>
          <w:sz w:val="24"/>
          <w:szCs w:val="24"/>
        </w:rPr>
        <w:t xml:space="preserve">irektyva </w:t>
      </w:r>
      <w:r w:rsidR="009D0BF1" w:rsidRPr="00EC1AB2">
        <w:rPr>
          <w:rFonts w:ascii="Times New Roman" w:eastAsia="+mn-ea" w:hAnsi="Times New Roman" w:cs="Times New Roman"/>
          <w:kern w:val="24"/>
          <w:sz w:val="24"/>
          <w:szCs w:val="24"/>
        </w:rPr>
        <w:t>ne skatins, o apsunkins</w:t>
      </w:r>
      <w:r w:rsidRPr="00EC1AB2">
        <w:rPr>
          <w:rFonts w:ascii="Times New Roman" w:eastAsia="+mn-ea" w:hAnsi="Times New Roman" w:cs="Times New Roman"/>
          <w:kern w:val="24"/>
          <w:sz w:val="24"/>
          <w:szCs w:val="24"/>
        </w:rPr>
        <w:t xml:space="preserve"> fondų veiklą,</w:t>
      </w:r>
    </w:p>
    <w:p w:rsidR="00B63D8F" w:rsidRPr="00EC1AB2" w:rsidRDefault="00B63D8F" w:rsidP="007A02A8">
      <w:pPr>
        <w:pStyle w:val="ListParagraph"/>
        <w:numPr>
          <w:ilvl w:val="0"/>
          <w:numId w:val="6"/>
        </w:numPr>
        <w:spacing w:after="0" w:line="360" w:lineRule="auto"/>
        <w:jc w:val="both"/>
        <w:rPr>
          <w:rFonts w:ascii="Times New Roman" w:hAnsi="Times New Roman" w:cs="Times New Roman"/>
          <w:sz w:val="24"/>
          <w:szCs w:val="24"/>
        </w:rPr>
      </w:pPr>
      <w:r w:rsidRPr="00EC1AB2">
        <w:rPr>
          <w:rFonts w:ascii="Times New Roman" w:eastAsia="+mn-ea" w:hAnsi="Times New Roman" w:cs="Times New Roman"/>
          <w:kern w:val="24"/>
          <w:sz w:val="24"/>
          <w:szCs w:val="24"/>
        </w:rPr>
        <w:t>Lietuvoje nėra AIF, kurių dydis siektų 100 mln. EUR ir kurie potencialiai galėtų kelti sisteminę riziką tarptautinėms fi</w:t>
      </w:r>
      <w:r w:rsidR="00CC1E52" w:rsidRPr="00EC1AB2">
        <w:rPr>
          <w:rFonts w:ascii="Times New Roman" w:eastAsia="+mn-ea" w:hAnsi="Times New Roman" w:cs="Times New Roman"/>
          <w:kern w:val="24"/>
          <w:sz w:val="24"/>
          <w:szCs w:val="24"/>
        </w:rPr>
        <w:t>nansų rinkoms, taigi, perkėlus d</w:t>
      </w:r>
      <w:r w:rsidRPr="00EC1AB2">
        <w:rPr>
          <w:rFonts w:ascii="Times New Roman" w:eastAsia="+mn-ea" w:hAnsi="Times New Roman" w:cs="Times New Roman"/>
          <w:kern w:val="24"/>
          <w:sz w:val="24"/>
          <w:szCs w:val="24"/>
        </w:rPr>
        <w:t>irektyvą į nacionalinę teisę 2</w:t>
      </w:r>
      <w:r w:rsidR="009D0BF1" w:rsidRPr="00EC1AB2">
        <w:rPr>
          <w:rFonts w:ascii="Times New Roman" w:eastAsia="+mn-ea" w:hAnsi="Times New Roman" w:cs="Times New Roman"/>
          <w:kern w:val="24"/>
          <w:sz w:val="24"/>
          <w:szCs w:val="24"/>
        </w:rPr>
        <w:t xml:space="preserve">012 metais, Lietuvos AIF liktų </w:t>
      </w:r>
      <w:r w:rsidRPr="00EC1AB2">
        <w:rPr>
          <w:rFonts w:ascii="Times New Roman" w:eastAsia="+mn-ea" w:hAnsi="Times New Roman" w:cs="Times New Roman"/>
          <w:kern w:val="24"/>
          <w:sz w:val="24"/>
          <w:szCs w:val="24"/>
        </w:rPr>
        <w:t>reguliuojami.</w:t>
      </w:r>
    </w:p>
    <w:p w:rsidR="00B63D8F" w:rsidRPr="00EC1AB2" w:rsidRDefault="00B63D8F" w:rsidP="007A02A8">
      <w:pPr>
        <w:pStyle w:val="ListParagraph"/>
        <w:numPr>
          <w:ilvl w:val="0"/>
          <w:numId w:val="6"/>
        </w:numPr>
        <w:spacing w:after="0" w:line="360" w:lineRule="auto"/>
        <w:jc w:val="both"/>
        <w:rPr>
          <w:rFonts w:ascii="Times New Roman" w:hAnsi="Times New Roman" w:cs="Times New Roman"/>
          <w:sz w:val="24"/>
          <w:szCs w:val="24"/>
        </w:rPr>
      </w:pPr>
      <w:r w:rsidRPr="00EC1AB2">
        <w:rPr>
          <w:rFonts w:ascii="Times New Roman" w:hAnsi="Times New Roman" w:cs="Times New Roman"/>
          <w:sz w:val="24"/>
          <w:szCs w:val="24"/>
        </w:rPr>
        <w:t xml:space="preserve">Investicinių fondų ir jų valdytojų veiklą Lietuvos Respublikoje nuo 2003 m. reglamentuoja KISĮ (Žin., 2003, Nr. 74-3424 ). SKIS (privataus kapitalo, alternatyviuosius, nekilnojamojo turto ir kitus specialiuosius KIS) Lietuvoje imta reglamentuoti nuo 2007 m., atlikus KISĮ pakeitimus. </w:t>
      </w:r>
      <w:r w:rsidRPr="00EC1AB2">
        <w:rPr>
          <w:rFonts w:ascii="Times New Roman" w:eastAsia="+mn-ea" w:hAnsi="Times New Roman" w:cs="Times New Roman"/>
          <w:kern w:val="24"/>
          <w:sz w:val="24"/>
          <w:szCs w:val="24"/>
        </w:rPr>
        <w:t>Įsigaliojus SKIS įstatymo projektui, RKF veiklai taikomos sąlygos turėtų būti priartintos prie Europos vakarų valstybėse egzistuojančių.</w:t>
      </w:r>
    </w:p>
    <w:p w:rsidR="00B63D8F" w:rsidRPr="00EC1AB2" w:rsidRDefault="00B63D8F" w:rsidP="007A02A8">
      <w:pPr>
        <w:numPr>
          <w:ilvl w:val="0"/>
          <w:numId w:val="6"/>
        </w:numPr>
        <w:spacing w:after="0" w:line="360" w:lineRule="auto"/>
        <w:jc w:val="both"/>
        <w:rPr>
          <w:rFonts w:ascii="Times New Roman" w:hAnsi="Times New Roman" w:cs="Times New Roman"/>
          <w:sz w:val="24"/>
          <w:szCs w:val="24"/>
        </w:rPr>
      </w:pPr>
      <w:r w:rsidRPr="00EC1AB2">
        <w:rPr>
          <w:rFonts w:ascii="Times New Roman" w:hAnsi="Times New Roman" w:cs="Times New Roman"/>
          <w:sz w:val="24"/>
          <w:szCs w:val="24"/>
        </w:rPr>
        <w:t>RKF finansuoja ekonomikos pagrindą, t.y. MVĮ, kurioms finansavimą gauti, ypač ankstyvoje vystymosi stadijoje, iš kredito įstaigų yra beveik neįmanoma. RKF finansuoja inovatyvias įmones, todėl skatinimas didelės pridėtinės vertės kūrimas, kuriamos darbo vietos, mokami pastovūs mokesčiai valstybei,  tokiu būdu didinama visos šalies ekonominė gerovė ir kuriama pažangi valstybė.</w:t>
      </w:r>
    </w:p>
    <w:p w:rsidR="00B63D8F" w:rsidRPr="00EC1AB2" w:rsidRDefault="00B63D8F" w:rsidP="007A02A8">
      <w:pPr>
        <w:pStyle w:val="ListParagraph"/>
        <w:numPr>
          <w:ilvl w:val="0"/>
          <w:numId w:val="6"/>
        </w:numPr>
        <w:tabs>
          <w:tab w:val="left" w:pos="0"/>
        </w:tabs>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sz w:val="24"/>
          <w:szCs w:val="24"/>
        </w:rPr>
        <w:t>RKF investicijų apimčiai šalyje daro įtaką tiek ekonominė, teisinė, socialinė, antrepreneriška aplinka, t.y RKF pasiūlą lemiantys veiksniai, tiek paklausos elementai, kaip pavyzdžiui, šalies verslininkų požiūris į įmonės finansavimą rizikos kapitalu bei nau</w:t>
      </w:r>
      <w:r w:rsidR="00495A4D" w:rsidRPr="00EC1AB2">
        <w:rPr>
          <w:rFonts w:ascii="Times New Roman" w:hAnsi="Times New Roman" w:cs="Times New Roman"/>
          <w:sz w:val="24"/>
          <w:szCs w:val="24"/>
        </w:rPr>
        <w:t xml:space="preserve">jų įmonių steigimosi apimtys. </w:t>
      </w:r>
    </w:p>
    <w:p w:rsidR="00B63D8F" w:rsidRPr="00EC1AB2" w:rsidRDefault="00B63D8F" w:rsidP="007A02A8">
      <w:pPr>
        <w:pStyle w:val="ListParagraph"/>
        <w:numPr>
          <w:ilvl w:val="0"/>
          <w:numId w:val="6"/>
        </w:numPr>
        <w:spacing w:after="0" w:line="360" w:lineRule="auto"/>
        <w:jc w:val="both"/>
        <w:rPr>
          <w:rFonts w:ascii="Times New Roman" w:hAnsi="Times New Roman" w:cs="Times New Roman"/>
          <w:sz w:val="24"/>
          <w:szCs w:val="24"/>
        </w:rPr>
      </w:pPr>
      <w:r w:rsidRPr="00EC1AB2">
        <w:rPr>
          <w:rFonts w:ascii="Times New Roman" w:hAnsi="Times New Roman" w:cs="Times New Roman"/>
          <w:sz w:val="24"/>
          <w:szCs w:val="24"/>
        </w:rPr>
        <w:lastRenderedPageBreak/>
        <w:t>Lietuva pagal RKF investicijas ES 2010 m. buvo paskutinėje vietoje, t</w:t>
      </w:r>
      <w:r w:rsidR="00157D87" w:rsidRPr="00EC1AB2">
        <w:rPr>
          <w:rFonts w:ascii="Times New Roman" w:hAnsi="Times New Roman" w:cs="Times New Roman"/>
          <w:sz w:val="24"/>
          <w:szCs w:val="24"/>
        </w:rPr>
        <w:t>aip pat stipriai atsiliko nuo C</w:t>
      </w:r>
      <w:r w:rsidR="00932640" w:rsidRPr="00EC1AB2">
        <w:rPr>
          <w:rFonts w:ascii="Times New Roman" w:hAnsi="Times New Roman" w:cs="Times New Roman"/>
          <w:sz w:val="24"/>
          <w:szCs w:val="24"/>
        </w:rPr>
        <w:t>E</w:t>
      </w:r>
      <w:r w:rsidRPr="00EC1AB2">
        <w:rPr>
          <w:rFonts w:ascii="Times New Roman" w:hAnsi="Times New Roman" w:cs="Times New Roman"/>
          <w:sz w:val="24"/>
          <w:szCs w:val="24"/>
        </w:rPr>
        <w:t>E vidurkio. Be to, Lietuvoje esančios RKF investicijos didžia dalimi finansuotos iš ES struktūrinės paramos, o ne privačių lėšų šaltinų, todėl galima teigti, kad jeigu nebūtų tiesioginio valstybės įsikišimo, siekiant skatinti rizikos kapitalo sektorių, jis Lietuvoje praktiškai neegzistuotų.</w:t>
      </w:r>
    </w:p>
    <w:p w:rsidR="00B63D8F" w:rsidRPr="00EC1AB2" w:rsidRDefault="00B63D8F" w:rsidP="007A02A8">
      <w:pPr>
        <w:pStyle w:val="ListParagraph"/>
        <w:numPr>
          <w:ilvl w:val="0"/>
          <w:numId w:val="6"/>
        </w:numPr>
        <w:autoSpaceDE w:val="0"/>
        <w:autoSpaceDN w:val="0"/>
        <w:adjustRightInd w:val="0"/>
        <w:spacing w:after="0" w:line="360" w:lineRule="auto"/>
        <w:jc w:val="both"/>
        <w:rPr>
          <w:rFonts w:ascii="Times New Roman" w:hAnsi="Times New Roman" w:cs="Times New Roman"/>
          <w:bCs/>
          <w:sz w:val="24"/>
          <w:szCs w:val="24"/>
        </w:rPr>
      </w:pPr>
      <w:r w:rsidRPr="00EC1AB2">
        <w:rPr>
          <w:rFonts w:ascii="Times New Roman" w:hAnsi="Times New Roman" w:cs="Times New Roman"/>
          <w:bCs/>
          <w:sz w:val="24"/>
          <w:szCs w:val="24"/>
        </w:rPr>
        <w:t xml:space="preserve">Vertinant Lietuvos rezultatus pasiektus diegiant inovacijas, prie stipriųjų pusių šiuo metu galima priskirti tik žmogiškuosius išteklius, o kitose srityse yra pastebimas didelis atsilikimas nuo ES vidurkio. </w:t>
      </w:r>
    </w:p>
    <w:p w:rsidR="00B63D8F" w:rsidRPr="00EC1AB2" w:rsidRDefault="00B63D8F" w:rsidP="007A02A8">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sz w:val="24"/>
          <w:szCs w:val="24"/>
        </w:rPr>
        <w:t xml:space="preserve">Atlikus koreliacinę analizę, pastebėta, kad RKF investicijos teigiamai įtakoja tiek nuolatinės veiklos, tiek rezultatų kategorijos rodiklius, o ypač teigiamai įtakoja ekonominio poveikio grupės rodiklius, pagal kuriuos Lietuva yra paskutinėje vietoje lyginant su kitomis ES šalimis, todėl galiama teigti, kad didelis Lietuvos atsilikimas diegiant inovacijas šalyje iš dalies yra susijęs su RKF nepaplitimu šalyje. </w:t>
      </w:r>
    </w:p>
    <w:p w:rsidR="00B63D8F" w:rsidRPr="00EC1AB2" w:rsidRDefault="00B63D8F" w:rsidP="007A02A8">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sz w:val="24"/>
          <w:szCs w:val="24"/>
        </w:rPr>
        <w:t xml:space="preserve">Atlikus ekspertinį tyrimą, apžvelgus EVCA ataskaitą, kurioje analizuojama teisinės ir mokestinės sąlygos rizikos kapitalui plėtotis Europos šalyse bei išanalizavus A.Groh, H. Liechtenstein, </w:t>
      </w:r>
      <w:r w:rsidRPr="00EC1AB2">
        <w:rPr>
          <w:rFonts w:ascii="Times New Roman" w:hAnsi="Times New Roman" w:cs="Times New Roman"/>
          <w:iCs/>
          <w:sz w:val="24"/>
          <w:szCs w:val="24"/>
        </w:rPr>
        <w:t>Karsten Lieser</w:t>
      </w:r>
      <w:r w:rsidRPr="00EC1AB2">
        <w:rPr>
          <w:rFonts w:ascii="Times New Roman" w:hAnsi="Times New Roman" w:cs="Times New Roman"/>
          <w:sz w:val="24"/>
          <w:szCs w:val="24"/>
        </w:rPr>
        <w:t xml:space="preserve"> kartu su audito įmone „Ernst&amp;Young” 2011 m. atliktą tyrimą dėl sąlygų palankumo plėtotis RKF</w:t>
      </w:r>
      <w:r w:rsidR="00157FF6" w:rsidRPr="00EC1AB2">
        <w:rPr>
          <w:rFonts w:ascii="Times New Roman" w:hAnsi="Times New Roman" w:cs="Times New Roman"/>
          <w:sz w:val="24"/>
          <w:szCs w:val="24"/>
        </w:rPr>
        <w:t>,</w:t>
      </w:r>
      <w:r w:rsidRPr="00EC1AB2">
        <w:rPr>
          <w:rFonts w:ascii="Times New Roman" w:hAnsi="Times New Roman" w:cs="Times New Roman"/>
          <w:sz w:val="24"/>
          <w:szCs w:val="24"/>
        </w:rPr>
        <w:t xml:space="preserve"> išskirti šie pagrindiniai veiksniai, trukdantys RKF plėtotis Lietuvoje: specifinių mokestinių lengvatų, skatinančių jaunų ir inovatyvių įmonių plėtrą ankstyvoje veiklos stadijoje, nubuvimas, maža inovacijų sklaida (mokslo tyrimų sistema fragmentuota, dalis jos neatitinka šiandienos reikalavimų), mažas pensijų fondų ir draudimo įmonių dalyvavimas formuojant rizikos kapitalo investic</w:t>
      </w:r>
      <w:r w:rsidR="00B05BC8" w:rsidRPr="00EC1AB2">
        <w:rPr>
          <w:rFonts w:ascii="Times New Roman" w:hAnsi="Times New Roman" w:cs="Times New Roman"/>
          <w:sz w:val="24"/>
          <w:szCs w:val="24"/>
        </w:rPr>
        <w:t xml:space="preserve">ijas, dėl VP rinkos mažo likvidumo </w:t>
      </w:r>
      <w:r w:rsidR="00157FF6" w:rsidRPr="00EC1AB2">
        <w:rPr>
          <w:rFonts w:ascii="Times New Roman" w:hAnsi="Times New Roman" w:cs="Times New Roman"/>
          <w:bCs/>
          <w:sz w:val="24"/>
          <w:szCs w:val="24"/>
          <w:lang w:eastAsia="lt-LT"/>
        </w:rPr>
        <w:t>ribota</w:t>
      </w:r>
      <w:r w:rsidRPr="00EC1AB2">
        <w:rPr>
          <w:rFonts w:ascii="Times New Roman" w:hAnsi="Times New Roman" w:cs="Times New Roman"/>
          <w:bCs/>
          <w:sz w:val="24"/>
          <w:szCs w:val="24"/>
          <w:lang w:eastAsia="lt-LT"/>
        </w:rPr>
        <w:t>s RKF investicijų realizavimo galimybių pasirinkimas</w:t>
      </w:r>
      <w:r w:rsidRPr="00EC1AB2">
        <w:rPr>
          <w:rFonts w:ascii="Times New Roman" w:hAnsi="Times New Roman" w:cs="Times New Roman"/>
          <w:bCs/>
          <w:lang w:eastAsia="lt-LT"/>
        </w:rPr>
        <w:t>.</w:t>
      </w:r>
    </w:p>
    <w:p w:rsidR="00C4082E" w:rsidRPr="00EC1AB2" w:rsidRDefault="00C4082E" w:rsidP="007A02A8">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eastAsia="Times New Roman" w:hAnsi="Times New Roman" w:cs="Times New Roman"/>
          <w:sz w:val="24"/>
          <w:szCs w:val="24"/>
          <w:lang w:eastAsia="lt-LT"/>
        </w:rPr>
        <w:t>Reikalinga skatinti pensijų ir draudimo įmones dalyvauti formuojant RKF investicijas, taikant mokesčių lengvatas. 2010 m. duomenimis pensijų įmonės pagal įsta</w:t>
      </w:r>
      <w:r w:rsidR="00786A6D" w:rsidRPr="00EC1AB2">
        <w:rPr>
          <w:rFonts w:ascii="Times New Roman" w:eastAsia="Times New Roman" w:hAnsi="Times New Roman" w:cs="Times New Roman"/>
          <w:sz w:val="24"/>
          <w:szCs w:val="24"/>
          <w:lang w:eastAsia="lt-LT"/>
        </w:rPr>
        <w:t>tymo nuostatas galėjo investuoti</w:t>
      </w:r>
      <w:r w:rsidRPr="00EC1AB2">
        <w:rPr>
          <w:rFonts w:ascii="Times New Roman" w:eastAsia="Times New Roman" w:hAnsi="Times New Roman" w:cs="Times New Roman"/>
          <w:sz w:val="24"/>
          <w:szCs w:val="24"/>
          <w:lang w:eastAsia="lt-LT"/>
        </w:rPr>
        <w:t xml:space="preserve"> iki 667,67 mln. litų (20 proc. grynųjų aktyvų vertės) , tačiau buvo investuota tik 0,4 mln. Lt, tuo tarpu draudimo įmonės apskirtai nedalyvavo formuojant RKF investicijas, nors įstatymai netaiko jokių apribojimų. Daugelyje šalių šie instituciniai investuotojai yra pagrindiniai RKF investicijų formuotojai, todėl tai tik pagrindžia lengvatų taikymo būtinybę.</w:t>
      </w:r>
    </w:p>
    <w:p w:rsidR="00C72AAB" w:rsidRPr="00EC1AB2" w:rsidRDefault="00C72AAB" w:rsidP="007A02A8">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eastAsia="Times New Roman" w:hAnsi="Times New Roman" w:cs="Times New Roman"/>
          <w:sz w:val="24"/>
          <w:szCs w:val="24"/>
          <w:lang w:eastAsia="lt-LT"/>
        </w:rPr>
        <w:t xml:space="preserve">Reikalinga imtis priemonių, skatinančių auštos pridėtinės vertės verslų kūrimą, didinančių naujų inovatyvių įmonių steigimosi apimtis. </w:t>
      </w:r>
    </w:p>
    <w:p w:rsidR="00C4082E" w:rsidRPr="00EC1AB2" w:rsidRDefault="00C72AAB" w:rsidP="007A02A8">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eastAsia="Times New Roman" w:hAnsi="Times New Roman" w:cs="Times New Roman"/>
          <w:sz w:val="24"/>
          <w:szCs w:val="24"/>
          <w:lang w:eastAsia="lt-LT"/>
        </w:rPr>
        <w:t>Būtina skatinti verslo ir mokslo bendradarbiavimą. Siekiant, kad kuo daugiau inovacijų būtų komercializuojama, t.y. pritaikoma ūkinėje veikloje, reikalinga nedelsiant sudaryti mokslinės produkcijos gamybos ir Lietuvos ūkio reikmių duomenų bazes</w:t>
      </w:r>
    </w:p>
    <w:p w:rsidR="000E0086" w:rsidRPr="00EC1AB2" w:rsidRDefault="000E0086" w:rsidP="000E0086">
      <w:pPr>
        <w:autoSpaceDE w:val="0"/>
        <w:autoSpaceDN w:val="0"/>
        <w:adjustRightInd w:val="0"/>
        <w:spacing w:after="0" w:line="360" w:lineRule="auto"/>
        <w:jc w:val="both"/>
        <w:rPr>
          <w:rFonts w:ascii="Times New Roman" w:hAnsi="Times New Roman" w:cs="Times New Roman"/>
          <w:sz w:val="24"/>
          <w:szCs w:val="24"/>
        </w:rPr>
      </w:pPr>
    </w:p>
    <w:p w:rsidR="00B63D8F" w:rsidRPr="00EC1AB2" w:rsidRDefault="00B63D8F" w:rsidP="007A02A8">
      <w:pPr>
        <w:pStyle w:val="ListParagraph"/>
        <w:autoSpaceDE w:val="0"/>
        <w:autoSpaceDN w:val="0"/>
        <w:adjustRightInd w:val="0"/>
        <w:spacing w:after="0" w:line="360" w:lineRule="auto"/>
        <w:jc w:val="both"/>
        <w:rPr>
          <w:rFonts w:ascii="Times New Roman" w:hAnsi="Times New Roman" w:cs="Times New Roman"/>
          <w:sz w:val="24"/>
          <w:szCs w:val="24"/>
        </w:rPr>
      </w:pPr>
    </w:p>
    <w:p w:rsidR="0020052E" w:rsidRPr="00EC1AB2" w:rsidRDefault="0020052E" w:rsidP="007A02A8">
      <w:pPr>
        <w:autoSpaceDE w:val="0"/>
        <w:autoSpaceDN w:val="0"/>
        <w:adjustRightInd w:val="0"/>
        <w:spacing w:after="0" w:line="360" w:lineRule="auto"/>
        <w:jc w:val="both"/>
        <w:rPr>
          <w:rFonts w:ascii="Times New Roman" w:hAnsi="Times New Roman" w:cs="Times New Roman"/>
          <w:sz w:val="24"/>
          <w:szCs w:val="24"/>
        </w:rPr>
        <w:sectPr w:rsidR="0020052E" w:rsidRPr="00EC1AB2" w:rsidSect="007F1325">
          <w:pgSz w:w="11906" w:h="16838"/>
          <w:pgMar w:top="1134" w:right="567" w:bottom="1134" w:left="1418" w:header="567" w:footer="567" w:gutter="0"/>
          <w:cols w:space="1296"/>
          <w:docGrid w:linePitch="360"/>
        </w:sectPr>
      </w:pPr>
    </w:p>
    <w:p w:rsidR="00F25E1F" w:rsidRPr="00EC1AB2" w:rsidRDefault="00413D88" w:rsidP="007A02A8">
      <w:pPr>
        <w:pStyle w:val="Heading1"/>
        <w:spacing w:before="0" w:after="0" w:line="360" w:lineRule="auto"/>
        <w:rPr>
          <w:sz w:val="28"/>
          <w:szCs w:val="28"/>
        </w:rPr>
      </w:pPr>
      <w:bookmarkStart w:id="204" w:name="_Toc320567004"/>
      <w:bookmarkStart w:id="205" w:name="_Toc320567044"/>
      <w:bookmarkStart w:id="206" w:name="_Toc320567191"/>
      <w:bookmarkStart w:id="207" w:name="_Toc320761774"/>
      <w:bookmarkStart w:id="208" w:name="_Toc320761943"/>
      <w:bookmarkStart w:id="209" w:name="_Toc320762178"/>
      <w:bookmarkStart w:id="210" w:name="_Toc320762581"/>
      <w:bookmarkStart w:id="211" w:name="_Toc321092707"/>
      <w:r w:rsidRPr="00EC1AB2">
        <w:rPr>
          <w:sz w:val="28"/>
          <w:szCs w:val="28"/>
        </w:rPr>
        <w:lastRenderedPageBreak/>
        <w:t>LITERATŪRA</w:t>
      </w:r>
      <w:bookmarkEnd w:id="204"/>
      <w:bookmarkEnd w:id="205"/>
      <w:bookmarkEnd w:id="206"/>
      <w:bookmarkEnd w:id="207"/>
      <w:bookmarkEnd w:id="208"/>
      <w:bookmarkEnd w:id="209"/>
      <w:bookmarkEnd w:id="210"/>
      <w:bookmarkEnd w:id="211"/>
    </w:p>
    <w:p w:rsidR="0015364D" w:rsidRPr="00EC1AB2" w:rsidRDefault="0015364D" w:rsidP="007A02A8">
      <w:pPr>
        <w:pStyle w:val="ListParagraph"/>
        <w:spacing w:after="0" w:line="360" w:lineRule="auto"/>
        <w:jc w:val="both"/>
        <w:rPr>
          <w:rFonts w:ascii="Times New Roman" w:hAnsi="Times New Roman" w:cs="Times New Roman"/>
          <w:sz w:val="24"/>
          <w:szCs w:val="24"/>
        </w:rPr>
      </w:pPr>
    </w:p>
    <w:p w:rsidR="00E26097" w:rsidRPr="00EC1AB2" w:rsidRDefault="00E26097" w:rsidP="00E26097">
      <w:pPr>
        <w:pStyle w:val="ListParagraph"/>
        <w:numPr>
          <w:ilvl w:val="0"/>
          <w:numId w:val="15"/>
        </w:numPr>
        <w:spacing w:after="0" w:line="360" w:lineRule="auto"/>
        <w:rPr>
          <w:rFonts w:ascii="Times New Roman" w:hAnsi="Times New Roman" w:cs="Times New Roman"/>
          <w:sz w:val="24"/>
          <w:szCs w:val="24"/>
        </w:rPr>
      </w:pPr>
      <w:bookmarkStart w:id="212" w:name="_Toc320567005"/>
      <w:bookmarkStart w:id="213" w:name="_Toc320567045"/>
      <w:bookmarkStart w:id="214" w:name="_Toc320567192"/>
      <w:r w:rsidRPr="00EC1AB2">
        <w:rPr>
          <w:rFonts w:ascii="Times New Roman" w:hAnsi="Times New Roman" w:cs="Times New Roman"/>
          <w:b/>
          <w:sz w:val="24"/>
          <w:szCs w:val="24"/>
        </w:rPr>
        <w:t>Audretsch D.B., Keilbach M</w:t>
      </w:r>
      <w:r w:rsidRPr="00EC1AB2">
        <w:rPr>
          <w:rFonts w:ascii="Times New Roman" w:hAnsi="Times New Roman" w:cs="Times New Roman"/>
          <w:sz w:val="24"/>
          <w:szCs w:val="24"/>
        </w:rPr>
        <w:t>., Entrepreneurship capital and econimic performance, 2002</w:t>
      </w:r>
    </w:p>
    <w:p w:rsidR="00E26097" w:rsidRPr="00EC1AB2" w:rsidRDefault="00E26097" w:rsidP="00E26097">
      <w:pPr>
        <w:pStyle w:val="ListParagraph"/>
        <w:spacing w:after="0" w:line="360" w:lineRule="auto"/>
        <w:rPr>
          <w:rFonts w:ascii="Times New Roman" w:hAnsi="Times New Roman" w:cs="Times New Roman"/>
        </w:rPr>
      </w:pPr>
      <w:r w:rsidRPr="00EC1AB2">
        <w:rPr>
          <w:rFonts w:ascii="Times New Roman" w:hAnsi="Times New Roman" w:cs="Times New Roman"/>
          <w:sz w:val="24"/>
          <w:szCs w:val="24"/>
        </w:rPr>
        <w:t>http://www.leadershipreview.org/2008winter/article4-synopsis.pdf [žiūrėta 2011 05 14]</w:t>
      </w:r>
    </w:p>
    <w:p w:rsidR="00E26097" w:rsidRPr="00EC1AB2" w:rsidRDefault="00E26097" w:rsidP="00E26097">
      <w:pPr>
        <w:pStyle w:val="ListParagraph"/>
        <w:numPr>
          <w:ilvl w:val="0"/>
          <w:numId w:val="15"/>
        </w:numPr>
        <w:spacing w:after="0" w:line="360" w:lineRule="auto"/>
        <w:jc w:val="both"/>
        <w:rPr>
          <w:rFonts w:ascii="Times New Roman" w:hAnsi="Times New Roman" w:cs="Times New Roman"/>
          <w:sz w:val="24"/>
          <w:szCs w:val="24"/>
        </w:rPr>
      </w:pPr>
      <w:r w:rsidRPr="00EC1AB2">
        <w:rPr>
          <w:rFonts w:ascii="Times New Roman" w:hAnsi="Times New Roman" w:cs="Times New Roman"/>
          <w:b/>
          <w:sz w:val="24"/>
          <w:szCs w:val="24"/>
        </w:rPr>
        <w:t xml:space="preserve">Alternatyvių investicijų ekspertų grupė, </w:t>
      </w:r>
      <w:r w:rsidRPr="00EC1AB2">
        <w:rPr>
          <w:rFonts w:ascii="Times New Roman" w:hAnsi="Times New Roman" w:cs="Times New Roman"/>
          <w:sz w:val="24"/>
          <w:szCs w:val="24"/>
        </w:rPr>
        <w:t xml:space="preserve">Developong European Private Equity, 2006. </w:t>
      </w:r>
      <w:hyperlink r:id="rId36" w:history="1">
        <w:r w:rsidRPr="00EC1AB2">
          <w:rPr>
            <w:rStyle w:val="Hyperlink"/>
            <w:rFonts w:ascii="Times New Roman" w:hAnsi="Times New Roman" w:cs="Times New Roman"/>
            <w:color w:val="auto"/>
            <w:sz w:val="24"/>
            <w:szCs w:val="24"/>
          </w:rPr>
          <w:t>http://ec.europa.eu/internal_market/investment/docs/other_docs/reports/equity_en.pdf</w:t>
        </w:r>
      </w:hyperlink>
      <w:r w:rsidRPr="00EC1AB2">
        <w:rPr>
          <w:rFonts w:ascii="Times New Roman" w:hAnsi="Times New Roman" w:cs="Times New Roman"/>
          <w:sz w:val="24"/>
          <w:szCs w:val="24"/>
        </w:rPr>
        <w:t xml:space="preserve"> [žiūrėta 2010 12 16]</w:t>
      </w:r>
    </w:p>
    <w:p w:rsidR="00E26097" w:rsidRPr="00EC1AB2" w:rsidRDefault="00E26097" w:rsidP="00E26097">
      <w:pPr>
        <w:numPr>
          <w:ilvl w:val="0"/>
          <w:numId w:val="15"/>
        </w:numPr>
        <w:spacing w:after="0" w:line="360" w:lineRule="auto"/>
        <w:jc w:val="both"/>
        <w:rPr>
          <w:rFonts w:ascii="Times New Roman" w:hAnsi="Times New Roman" w:cs="Times New Roman"/>
          <w:sz w:val="24"/>
          <w:szCs w:val="24"/>
        </w:rPr>
      </w:pPr>
      <w:r w:rsidRPr="00EC1AB2">
        <w:rPr>
          <w:rFonts w:ascii="Times New Roman" w:hAnsi="Times New Roman" w:cs="Times New Roman"/>
          <w:b/>
          <w:bCs/>
          <w:sz w:val="24"/>
          <w:szCs w:val="24"/>
        </w:rPr>
        <w:t>Bance A.,</w:t>
      </w:r>
      <w:r w:rsidRPr="00EC1AB2">
        <w:rPr>
          <w:rFonts w:ascii="Times New Roman" w:hAnsi="Times New Roman" w:cs="Times New Roman"/>
          <w:bCs/>
          <w:sz w:val="24"/>
          <w:szCs w:val="24"/>
        </w:rPr>
        <w:t xml:space="preserve"> Why and how to invest in private equity, 2004. </w:t>
      </w:r>
      <w:hyperlink r:id="rId37" w:history="1">
        <w:r w:rsidRPr="00EC1AB2">
          <w:rPr>
            <w:rStyle w:val="Hyperlink"/>
            <w:rFonts w:ascii="Times New Roman" w:hAnsi="Times New Roman" w:cs="Times New Roman"/>
            <w:color w:val="auto"/>
            <w:sz w:val="24"/>
            <w:szCs w:val="24"/>
          </w:rPr>
          <w:t>http://www.evca.eu/404.aspx</w:t>
        </w:r>
      </w:hyperlink>
      <w:r w:rsidRPr="00EC1AB2">
        <w:rPr>
          <w:rFonts w:ascii="Times New Roman" w:hAnsi="Times New Roman" w:cs="Times New Roman"/>
          <w:sz w:val="24"/>
          <w:szCs w:val="24"/>
        </w:rPr>
        <w:t xml:space="preserve"> [žiūrėta 2010 09 05].</w:t>
      </w:r>
    </w:p>
    <w:p w:rsidR="00E26097" w:rsidRPr="00EC1AB2" w:rsidRDefault="00E26097" w:rsidP="00E26097">
      <w:pPr>
        <w:pStyle w:val="ListParagraph"/>
        <w:numPr>
          <w:ilvl w:val="0"/>
          <w:numId w:val="15"/>
        </w:num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b/>
          <w:sz w:val="24"/>
          <w:szCs w:val="24"/>
        </w:rPr>
        <w:t>Benchmarking European Tax and Legal Environment</w:t>
      </w:r>
      <w:r w:rsidRPr="00EC1AB2">
        <w:rPr>
          <w:rFonts w:ascii="Times New Roman" w:hAnsi="Times New Roman" w:cs="Times New Roman"/>
          <w:sz w:val="24"/>
          <w:szCs w:val="24"/>
        </w:rPr>
        <w:t>. http://www.evca.eu/uploaded</w:t>
      </w:r>
    </w:p>
    <w:p w:rsidR="00E26097" w:rsidRPr="00EC1AB2" w:rsidRDefault="00E26097" w:rsidP="00E26097">
      <w:pPr>
        <w:pStyle w:val="ListParagraph"/>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sz w:val="24"/>
          <w:szCs w:val="24"/>
        </w:rPr>
        <w:t>Files/Benchmark.pdf [žiūrėta 2012 03 01]</w:t>
      </w:r>
    </w:p>
    <w:p w:rsidR="00E26097" w:rsidRPr="00EC1AB2" w:rsidRDefault="00E26097" w:rsidP="00E26097">
      <w:pPr>
        <w:pStyle w:val="ListParagraph"/>
        <w:numPr>
          <w:ilvl w:val="0"/>
          <w:numId w:val="15"/>
        </w:numPr>
        <w:shd w:val="clear" w:color="auto" w:fill="FFFFFF"/>
        <w:spacing w:after="0" w:line="360" w:lineRule="auto"/>
        <w:jc w:val="both"/>
        <w:rPr>
          <w:rFonts w:ascii="Times New Roman" w:eastAsia="Times New Roman" w:hAnsi="Times New Roman" w:cs="Times New Roman"/>
          <w:color w:val="000000"/>
          <w:sz w:val="24"/>
          <w:szCs w:val="24"/>
          <w:lang w:eastAsia="lt-LT"/>
        </w:rPr>
      </w:pPr>
      <w:r w:rsidRPr="00EC1AB2">
        <w:rPr>
          <w:rFonts w:ascii="Times New Roman" w:hAnsi="Times New Roman" w:cs="Times New Roman"/>
          <w:b/>
          <w:sz w:val="24"/>
          <w:szCs w:val="24"/>
        </w:rPr>
        <w:t>Black S., Gilson J</w:t>
      </w:r>
      <w:r w:rsidRPr="00EC1AB2">
        <w:rPr>
          <w:rFonts w:ascii="Times New Roman" w:hAnsi="Times New Roman" w:cs="Times New Roman"/>
          <w:sz w:val="24"/>
          <w:szCs w:val="24"/>
        </w:rPr>
        <w:t xml:space="preserve">.,  </w:t>
      </w:r>
      <w:r w:rsidRPr="00EC1AB2">
        <w:rPr>
          <w:rFonts w:ascii="Times New Roman" w:hAnsi="Times New Roman" w:cs="Times New Roman"/>
          <w:color w:val="000000"/>
          <w:sz w:val="24"/>
          <w:szCs w:val="24"/>
        </w:rPr>
        <w:t xml:space="preserve">Venture Capital and the Structure of Capital Markets: Banks Versus Stock, </w:t>
      </w:r>
      <w:r w:rsidRPr="00EC1AB2">
        <w:rPr>
          <w:rFonts w:ascii="Times New Roman" w:eastAsia="Times New Roman" w:hAnsi="Times New Roman" w:cs="Times New Roman"/>
          <w:color w:val="000000"/>
          <w:sz w:val="24"/>
          <w:szCs w:val="24"/>
          <w:lang w:eastAsia="lt-LT"/>
        </w:rPr>
        <w:t>1998. http://papers.ssrn.com/sol3/papers.cfm?abstract_id=46909 [žiūrėta 2012 01 20]</w:t>
      </w:r>
    </w:p>
    <w:p w:rsidR="00E26097" w:rsidRPr="00EC1AB2" w:rsidRDefault="00E26097" w:rsidP="00E26097">
      <w:pPr>
        <w:pStyle w:val="ListParagraph"/>
        <w:numPr>
          <w:ilvl w:val="0"/>
          <w:numId w:val="15"/>
        </w:numPr>
        <w:autoSpaceDE w:val="0"/>
        <w:autoSpaceDN w:val="0"/>
        <w:adjustRightInd w:val="0"/>
        <w:spacing w:after="0" w:line="360" w:lineRule="auto"/>
        <w:jc w:val="both"/>
        <w:rPr>
          <w:rStyle w:val="Strong"/>
          <w:rFonts w:ascii="Times New Roman" w:hAnsi="Times New Roman" w:cs="Times New Roman"/>
          <w:b w:val="0"/>
          <w:bCs w:val="0"/>
          <w:sz w:val="24"/>
          <w:szCs w:val="24"/>
        </w:rPr>
      </w:pPr>
      <w:r w:rsidRPr="00EC1AB2">
        <w:rPr>
          <w:rStyle w:val="Strong"/>
          <w:rFonts w:ascii="Times New Roman" w:hAnsi="Times New Roman" w:cs="Times New Roman"/>
          <w:bCs w:val="0"/>
          <w:sz w:val="24"/>
          <w:szCs w:val="24"/>
        </w:rPr>
        <w:t xml:space="preserve">Central and Eastern Europe statistics 2006 </w:t>
      </w:r>
      <w:r w:rsidRPr="00EC1AB2">
        <w:rPr>
          <w:rStyle w:val="Strong"/>
          <w:rFonts w:ascii="Times New Roman" w:hAnsi="Times New Roman" w:cs="Times New Roman"/>
          <w:b w:val="0"/>
          <w:bCs w:val="0"/>
          <w:sz w:val="24"/>
          <w:szCs w:val="24"/>
        </w:rPr>
        <w:t>http://ec.europa.eu/enterprise/policies/finance/</w:t>
      </w:r>
    </w:p>
    <w:p w:rsidR="00E26097" w:rsidRPr="00EC1AB2" w:rsidRDefault="00E26097" w:rsidP="00E26097">
      <w:pPr>
        <w:pStyle w:val="ListParagraph"/>
        <w:autoSpaceDE w:val="0"/>
        <w:autoSpaceDN w:val="0"/>
        <w:adjustRightInd w:val="0"/>
        <w:spacing w:after="0" w:line="360" w:lineRule="auto"/>
        <w:jc w:val="both"/>
        <w:rPr>
          <w:rStyle w:val="Strong"/>
          <w:rFonts w:ascii="Times New Roman" w:hAnsi="Times New Roman" w:cs="Times New Roman"/>
          <w:b w:val="0"/>
          <w:bCs w:val="0"/>
          <w:sz w:val="24"/>
          <w:szCs w:val="24"/>
        </w:rPr>
      </w:pPr>
      <w:r w:rsidRPr="00EC1AB2">
        <w:rPr>
          <w:rStyle w:val="Strong"/>
          <w:rFonts w:ascii="Times New Roman" w:hAnsi="Times New Roman" w:cs="Times New Roman"/>
          <w:b w:val="0"/>
          <w:bCs w:val="0"/>
          <w:sz w:val="24"/>
          <w:szCs w:val="24"/>
        </w:rPr>
        <w:t>files/finance_index/cees_statistics_2006_evca_en.pdf [žiūrėta 2012 02 14]</w:t>
      </w:r>
    </w:p>
    <w:p w:rsidR="00E26097" w:rsidRPr="00EC1AB2" w:rsidRDefault="00E26097" w:rsidP="00E26097">
      <w:pPr>
        <w:pStyle w:val="ListParagraph"/>
        <w:numPr>
          <w:ilvl w:val="0"/>
          <w:numId w:val="15"/>
        </w:numPr>
        <w:autoSpaceDE w:val="0"/>
        <w:autoSpaceDN w:val="0"/>
        <w:adjustRightInd w:val="0"/>
        <w:spacing w:after="0" w:line="360" w:lineRule="auto"/>
        <w:rPr>
          <w:rStyle w:val="Strong"/>
          <w:rFonts w:ascii="Times New Roman" w:hAnsi="Times New Roman" w:cs="Times New Roman"/>
          <w:b w:val="0"/>
          <w:bCs w:val="0"/>
          <w:sz w:val="24"/>
          <w:szCs w:val="24"/>
        </w:rPr>
      </w:pPr>
      <w:r w:rsidRPr="00EC1AB2">
        <w:rPr>
          <w:rStyle w:val="Strong"/>
          <w:rFonts w:ascii="Times New Roman" w:hAnsi="Times New Roman" w:cs="Times New Roman"/>
          <w:bCs w:val="0"/>
          <w:sz w:val="24"/>
          <w:szCs w:val="24"/>
        </w:rPr>
        <w:t>Central and Eastern Europe statistics 2008.</w:t>
      </w:r>
      <w:r w:rsidRPr="00EC1AB2">
        <w:rPr>
          <w:rStyle w:val="Strong"/>
          <w:rFonts w:ascii="Times New Roman" w:hAnsi="Times New Roman" w:cs="Times New Roman"/>
          <w:b w:val="0"/>
          <w:bCs w:val="0"/>
          <w:sz w:val="24"/>
          <w:szCs w:val="24"/>
        </w:rPr>
        <w:t>http://www.cvca.cz/files/CEE_Stats_2008.pdf [žiūrėta 2012 02 14]</w:t>
      </w:r>
    </w:p>
    <w:p w:rsidR="00E26097" w:rsidRPr="00EC1AB2" w:rsidRDefault="00E26097" w:rsidP="00E26097">
      <w:pPr>
        <w:pStyle w:val="ListParagraph"/>
        <w:numPr>
          <w:ilvl w:val="0"/>
          <w:numId w:val="15"/>
        </w:numPr>
        <w:autoSpaceDE w:val="0"/>
        <w:autoSpaceDN w:val="0"/>
        <w:adjustRightInd w:val="0"/>
        <w:spacing w:after="0" w:line="360" w:lineRule="auto"/>
        <w:rPr>
          <w:rStyle w:val="Strong"/>
          <w:rFonts w:ascii="Times New Roman" w:hAnsi="Times New Roman" w:cs="Times New Roman"/>
          <w:b w:val="0"/>
          <w:bCs w:val="0"/>
          <w:sz w:val="24"/>
          <w:szCs w:val="24"/>
        </w:rPr>
      </w:pPr>
      <w:r w:rsidRPr="00EC1AB2">
        <w:rPr>
          <w:rStyle w:val="Strong"/>
          <w:rFonts w:ascii="Times New Roman" w:hAnsi="Times New Roman" w:cs="Times New Roman"/>
          <w:bCs w:val="0"/>
          <w:sz w:val="24"/>
          <w:szCs w:val="24"/>
        </w:rPr>
        <w:t xml:space="preserve">Central and Eastern Europe statistics 2009.  </w:t>
      </w:r>
      <w:r w:rsidRPr="00EC1AB2">
        <w:rPr>
          <w:rStyle w:val="Strong"/>
          <w:rFonts w:ascii="Times New Roman" w:hAnsi="Times New Roman" w:cs="Times New Roman"/>
          <w:b w:val="0"/>
          <w:bCs w:val="0"/>
          <w:sz w:val="24"/>
          <w:szCs w:val="24"/>
        </w:rPr>
        <w:t>http://www.cvca.cz/files/EVCA%20CEE%</w:t>
      </w:r>
    </w:p>
    <w:p w:rsidR="00E26097" w:rsidRPr="00EC1AB2" w:rsidRDefault="00E26097" w:rsidP="00E26097">
      <w:pPr>
        <w:pStyle w:val="ListParagraph"/>
        <w:autoSpaceDE w:val="0"/>
        <w:autoSpaceDN w:val="0"/>
        <w:adjustRightInd w:val="0"/>
        <w:spacing w:after="0" w:line="360" w:lineRule="auto"/>
        <w:rPr>
          <w:rStyle w:val="Strong"/>
          <w:rFonts w:ascii="Times New Roman" w:hAnsi="Times New Roman" w:cs="Times New Roman"/>
          <w:b w:val="0"/>
          <w:bCs w:val="0"/>
          <w:sz w:val="24"/>
          <w:szCs w:val="24"/>
        </w:rPr>
      </w:pPr>
      <w:r w:rsidRPr="00EC1AB2">
        <w:rPr>
          <w:rStyle w:val="Strong"/>
          <w:rFonts w:ascii="Times New Roman" w:hAnsi="Times New Roman" w:cs="Times New Roman"/>
          <w:b w:val="0"/>
          <w:bCs w:val="0"/>
          <w:sz w:val="24"/>
          <w:szCs w:val="24"/>
        </w:rPr>
        <w:t>20Statistics%202009%20-%20July%202010.pdf [žiūrėta 2012 02 14]</w:t>
      </w:r>
    </w:p>
    <w:p w:rsidR="00E26097" w:rsidRPr="00EC1AB2" w:rsidRDefault="00E26097" w:rsidP="00E26097">
      <w:pPr>
        <w:pStyle w:val="ListParagraph"/>
        <w:numPr>
          <w:ilvl w:val="0"/>
          <w:numId w:val="15"/>
        </w:numPr>
        <w:autoSpaceDE w:val="0"/>
        <w:autoSpaceDN w:val="0"/>
        <w:adjustRightInd w:val="0"/>
        <w:spacing w:after="0" w:line="360" w:lineRule="auto"/>
        <w:rPr>
          <w:rStyle w:val="Strong"/>
          <w:rFonts w:ascii="Times New Roman" w:hAnsi="Times New Roman" w:cs="Times New Roman"/>
          <w:b w:val="0"/>
          <w:bCs w:val="0"/>
          <w:sz w:val="24"/>
          <w:szCs w:val="24"/>
        </w:rPr>
      </w:pPr>
      <w:r w:rsidRPr="00EC1AB2">
        <w:rPr>
          <w:rStyle w:val="Strong"/>
          <w:rFonts w:ascii="Times New Roman" w:hAnsi="Times New Roman" w:cs="Times New Roman"/>
          <w:bCs w:val="0"/>
          <w:sz w:val="24"/>
          <w:szCs w:val="24"/>
        </w:rPr>
        <w:t xml:space="preserve">Central and Eastern Europe statistics 2010. </w:t>
      </w:r>
      <w:r w:rsidRPr="00EC1AB2">
        <w:rPr>
          <w:rStyle w:val="Strong"/>
          <w:rFonts w:ascii="Times New Roman" w:hAnsi="Times New Roman" w:cs="Times New Roman"/>
          <w:b w:val="0"/>
          <w:bCs w:val="0"/>
          <w:sz w:val="24"/>
          <w:szCs w:val="24"/>
        </w:rPr>
        <w:t>http://www.evca.eu/uploadedfiles/PBCEE10.</w:t>
      </w:r>
    </w:p>
    <w:p w:rsidR="00E26097" w:rsidRPr="00EC1AB2" w:rsidRDefault="00E26097" w:rsidP="00E26097">
      <w:pPr>
        <w:pStyle w:val="ListParagraph"/>
        <w:autoSpaceDE w:val="0"/>
        <w:autoSpaceDN w:val="0"/>
        <w:adjustRightInd w:val="0"/>
        <w:spacing w:after="0" w:line="360" w:lineRule="auto"/>
        <w:jc w:val="both"/>
        <w:rPr>
          <w:rFonts w:ascii="Times New Roman" w:hAnsi="Times New Roman" w:cs="Times New Roman"/>
          <w:sz w:val="24"/>
          <w:szCs w:val="24"/>
        </w:rPr>
      </w:pPr>
      <w:r w:rsidRPr="00EC1AB2">
        <w:rPr>
          <w:rStyle w:val="Strong"/>
          <w:rFonts w:ascii="Times New Roman" w:hAnsi="Times New Roman" w:cs="Times New Roman"/>
          <w:b w:val="0"/>
          <w:bCs w:val="0"/>
          <w:sz w:val="24"/>
          <w:szCs w:val="24"/>
        </w:rPr>
        <w:t>pdf  [žiūrėta 2012 02 15]</w:t>
      </w:r>
    </w:p>
    <w:p w:rsidR="00E26097" w:rsidRPr="00EC1AB2" w:rsidRDefault="00E26097" w:rsidP="00E26097">
      <w:pPr>
        <w:pStyle w:val="ListParagraph"/>
        <w:numPr>
          <w:ilvl w:val="0"/>
          <w:numId w:val="15"/>
        </w:numPr>
        <w:autoSpaceDE w:val="0"/>
        <w:autoSpaceDN w:val="0"/>
        <w:adjustRightInd w:val="0"/>
        <w:spacing w:after="0" w:line="360" w:lineRule="auto"/>
        <w:jc w:val="both"/>
        <w:rPr>
          <w:rFonts w:ascii="Times New Roman" w:hAnsi="Times New Roman" w:cs="Times New Roman"/>
          <w:bCs/>
          <w:sz w:val="24"/>
          <w:szCs w:val="24"/>
        </w:rPr>
      </w:pPr>
      <w:r w:rsidRPr="00EC1AB2">
        <w:rPr>
          <w:rFonts w:ascii="Times New Roman" w:hAnsi="Times New Roman" w:cs="Times New Roman"/>
          <w:b/>
          <w:bCs/>
          <w:sz w:val="24"/>
          <w:szCs w:val="24"/>
        </w:rPr>
        <w:t>Charles River Associates</w:t>
      </w:r>
      <w:r w:rsidRPr="00EC1AB2">
        <w:rPr>
          <w:rFonts w:ascii="Times New Roman" w:hAnsi="Times New Roman" w:cs="Times New Roman"/>
          <w:bCs/>
          <w:sz w:val="24"/>
          <w:szCs w:val="24"/>
        </w:rPr>
        <w:t>,  Impact of the proposed AIFM Directive across Europe, 2009.</w:t>
      </w:r>
    </w:p>
    <w:p w:rsidR="00E26097" w:rsidRPr="00EC1AB2" w:rsidRDefault="00EC1AB2" w:rsidP="00E26097">
      <w:pPr>
        <w:autoSpaceDE w:val="0"/>
        <w:autoSpaceDN w:val="0"/>
        <w:adjustRightInd w:val="0"/>
        <w:spacing w:after="0" w:line="360" w:lineRule="auto"/>
        <w:ind w:firstLine="720"/>
        <w:jc w:val="both"/>
        <w:rPr>
          <w:rFonts w:ascii="Times New Roman" w:hAnsi="Times New Roman" w:cs="Times New Roman"/>
          <w:bCs/>
          <w:sz w:val="24"/>
          <w:szCs w:val="24"/>
        </w:rPr>
      </w:pPr>
      <w:hyperlink r:id="rId38" w:history="1">
        <w:r w:rsidR="00E26097" w:rsidRPr="00EC1AB2">
          <w:rPr>
            <w:rStyle w:val="Hyperlink"/>
            <w:rFonts w:ascii="Times New Roman" w:hAnsi="Times New Roman" w:cs="Times New Roman"/>
            <w:bCs/>
            <w:color w:val="auto"/>
            <w:sz w:val="24"/>
            <w:szCs w:val="24"/>
          </w:rPr>
          <w:t>http://www.fsa.gov.uk/pubs/other/Impact_of_AIFM_Directive.pdf</w:t>
        </w:r>
      </w:hyperlink>
      <w:r w:rsidR="00E26097" w:rsidRPr="00EC1AB2">
        <w:rPr>
          <w:rFonts w:ascii="Times New Roman" w:hAnsi="Times New Roman" w:cs="Times New Roman"/>
          <w:bCs/>
          <w:sz w:val="24"/>
          <w:szCs w:val="24"/>
        </w:rPr>
        <w:t xml:space="preserve"> [žiūrėta 2011 01 12]</w:t>
      </w:r>
    </w:p>
    <w:p w:rsidR="00E26097" w:rsidRPr="00EC1AB2" w:rsidRDefault="00E26097" w:rsidP="00E26097">
      <w:pPr>
        <w:pStyle w:val="ListParagraph"/>
        <w:numPr>
          <w:ilvl w:val="0"/>
          <w:numId w:val="15"/>
        </w:numPr>
        <w:autoSpaceDE w:val="0"/>
        <w:autoSpaceDN w:val="0"/>
        <w:adjustRightInd w:val="0"/>
        <w:spacing w:after="0" w:line="360" w:lineRule="auto"/>
        <w:jc w:val="both"/>
        <w:rPr>
          <w:rFonts w:ascii="Times New Roman" w:hAnsi="Times New Roman" w:cs="Times New Roman"/>
          <w:bCs/>
          <w:sz w:val="24"/>
          <w:szCs w:val="24"/>
        </w:rPr>
      </w:pPr>
      <w:r w:rsidRPr="00EC1AB2">
        <w:rPr>
          <w:rFonts w:ascii="Times New Roman" w:hAnsi="Times New Roman" w:cs="Times New Roman"/>
          <w:b/>
          <w:sz w:val="24"/>
          <w:szCs w:val="24"/>
        </w:rPr>
        <w:t>Da Rin M., Nicodano G., Sembenelli A.</w:t>
      </w:r>
      <w:r w:rsidRPr="00EC1AB2">
        <w:rPr>
          <w:rFonts w:ascii="Times New Roman" w:hAnsi="Times New Roman" w:cs="Times New Roman"/>
          <w:sz w:val="24"/>
          <w:szCs w:val="24"/>
        </w:rPr>
        <w:t>, The public policy and the creation of active venture capital markets, 2005. http://www.sciencedirect.com/science/article/pii/S004727270</w:t>
      </w:r>
    </w:p>
    <w:p w:rsidR="00E26097" w:rsidRPr="00EC1AB2" w:rsidRDefault="00E26097" w:rsidP="00E26097">
      <w:pPr>
        <w:pStyle w:val="ListParagraph"/>
        <w:autoSpaceDE w:val="0"/>
        <w:autoSpaceDN w:val="0"/>
        <w:adjustRightInd w:val="0"/>
        <w:spacing w:after="0" w:line="360" w:lineRule="auto"/>
        <w:jc w:val="both"/>
        <w:rPr>
          <w:rFonts w:ascii="Times New Roman" w:hAnsi="Times New Roman" w:cs="Times New Roman"/>
          <w:bCs/>
          <w:sz w:val="24"/>
          <w:szCs w:val="24"/>
        </w:rPr>
      </w:pPr>
      <w:r w:rsidRPr="00EC1AB2">
        <w:rPr>
          <w:rFonts w:ascii="Times New Roman" w:hAnsi="Times New Roman" w:cs="Times New Roman"/>
          <w:sz w:val="24"/>
          <w:szCs w:val="24"/>
        </w:rPr>
        <w:t>5001702 [žiūrėta 2011 04 29]</w:t>
      </w:r>
    </w:p>
    <w:p w:rsidR="00E26097" w:rsidRPr="00EC1AB2" w:rsidRDefault="00E26097" w:rsidP="00E26097">
      <w:pPr>
        <w:numPr>
          <w:ilvl w:val="0"/>
          <w:numId w:val="15"/>
        </w:numPr>
        <w:spacing w:after="0" w:line="360" w:lineRule="auto"/>
        <w:jc w:val="both"/>
        <w:rPr>
          <w:rFonts w:ascii="Times New Roman" w:hAnsi="Times New Roman" w:cs="Times New Roman"/>
          <w:sz w:val="24"/>
          <w:szCs w:val="24"/>
        </w:rPr>
      </w:pPr>
      <w:r w:rsidRPr="00EC1AB2">
        <w:rPr>
          <w:rFonts w:ascii="Times New Roman" w:hAnsi="Times New Roman" w:cs="Times New Roman"/>
          <w:b/>
          <w:sz w:val="24"/>
          <w:szCs w:val="24"/>
        </w:rPr>
        <w:t xml:space="preserve">Engel D. </w:t>
      </w:r>
      <w:r w:rsidRPr="00EC1AB2">
        <w:rPr>
          <w:rFonts w:ascii="Times New Roman" w:hAnsi="Times New Roman" w:cs="Times New Roman"/>
          <w:sz w:val="24"/>
          <w:szCs w:val="24"/>
        </w:rPr>
        <w:t>The impact of venture capital in firm growth: an empirical investigation, 2002 http://papers.ssrn.com/sol3/papers.cfm?abstract_id=319322 [žiūrėta 2011 04 19].</w:t>
      </w:r>
    </w:p>
    <w:p w:rsidR="00E26097" w:rsidRPr="00EC1AB2" w:rsidRDefault="00E26097" w:rsidP="00E26097">
      <w:pPr>
        <w:numPr>
          <w:ilvl w:val="0"/>
          <w:numId w:val="15"/>
        </w:numPr>
        <w:spacing w:after="0" w:line="360" w:lineRule="auto"/>
        <w:rPr>
          <w:rFonts w:ascii="Times New Roman" w:hAnsi="Times New Roman" w:cs="Times New Roman"/>
          <w:sz w:val="24"/>
          <w:szCs w:val="24"/>
        </w:rPr>
      </w:pPr>
      <w:r w:rsidRPr="00EC1AB2">
        <w:rPr>
          <w:rFonts w:ascii="Times New Roman" w:hAnsi="Times New Roman" w:cs="Times New Roman"/>
          <w:b/>
          <w:sz w:val="24"/>
          <w:szCs w:val="24"/>
        </w:rPr>
        <w:t>European Business Angels Network</w:t>
      </w:r>
      <w:r w:rsidRPr="00EC1AB2">
        <w:rPr>
          <w:rFonts w:ascii="Times New Roman" w:hAnsi="Times New Roman" w:cs="Times New Roman"/>
          <w:sz w:val="24"/>
          <w:szCs w:val="24"/>
        </w:rPr>
        <w:t>. http://www.eban.org/component/content/</w:t>
      </w:r>
    </w:p>
    <w:p w:rsidR="00E26097" w:rsidRPr="00EC1AB2" w:rsidRDefault="00E26097" w:rsidP="00E26097">
      <w:pPr>
        <w:spacing w:after="0" w:line="360" w:lineRule="auto"/>
        <w:ind w:left="720"/>
        <w:rPr>
          <w:rFonts w:ascii="Times New Roman" w:hAnsi="Times New Roman" w:cs="Times New Roman"/>
          <w:sz w:val="24"/>
          <w:szCs w:val="24"/>
        </w:rPr>
      </w:pPr>
      <w:r w:rsidRPr="00EC1AB2">
        <w:rPr>
          <w:rFonts w:ascii="Times New Roman" w:hAnsi="Times New Roman" w:cs="Times New Roman"/>
          <w:sz w:val="24"/>
          <w:szCs w:val="24"/>
        </w:rPr>
        <w:t>article/43/112-Business-angels.html [žiūrėta 2010 09 12].</w:t>
      </w:r>
    </w:p>
    <w:p w:rsidR="00E26097" w:rsidRPr="00EC1AB2" w:rsidRDefault="00E26097" w:rsidP="00E26097">
      <w:pPr>
        <w:pStyle w:val="ListParagraph"/>
        <w:numPr>
          <w:ilvl w:val="0"/>
          <w:numId w:val="15"/>
        </w:numPr>
        <w:spacing w:after="0" w:line="360" w:lineRule="auto"/>
        <w:rPr>
          <w:rFonts w:ascii="Times New Roman" w:hAnsi="Times New Roman" w:cs="Times New Roman"/>
          <w:bCs/>
          <w:sz w:val="24"/>
          <w:szCs w:val="24"/>
        </w:rPr>
      </w:pPr>
      <w:r w:rsidRPr="00EC1AB2">
        <w:rPr>
          <w:rFonts w:ascii="Times New Roman" w:hAnsi="Times New Roman" w:cs="Times New Roman"/>
          <w:b/>
          <w:bCs/>
          <w:sz w:val="24"/>
          <w:szCs w:val="24"/>
        </w:rPr>
        <w:t>EVCA</w:t>
      </w:r>
      <w:r w:rsidRPr="00EC1AB2">
        <w:rPr>
          <w:rFonts w:ascii="Times New Roman" w:hAnsi="Times New Roman" w:cs="Times New Roman"/>
          <w:bCs/>
          <w:sz w:val="24"/>
          <w:szCs w:val="24"/>
        </w:rPr>
        <w:t>, Insights into the AIFM Directive, 2010 http://www.evca.eu/uploadedFiles/Home/</w:t>
      </w:r>
    </w:p>
    <w:p w:rsidR="00E26097" w:rsidRPr="00EC1AB2" w:rsidRDefault="00E26097" w:rsidP="00E26097">
      <w:pPr>
        <w:pStyle w:val="ListParagraph"/>
        <w:spacing w:after="0" w:line="360" w:lineRule="auto"/>
        <w:rPr>
          <w:rFonts w:ascii="Times New Roman" w:hAnsi="Times New Roman" w:cs="Times New Roman"/>
          <w:bCs/>
          <w:sz w:val="24"/>
          <w:szCs w:val="24"/>
        </w:rPr>
      </w:pPr>
      <w:r w:rsidRPr="00EC1AB2">
        <w:rPr>
          <w:rFonts w:ascii="Times New Roman" w:hAnsi="Times New Roman" w:cs="Times New Roman"/>
          <w:bCs/>
          <w:sz w:val="24"/>
          <w:szCs w:val="24"/>
        </w:rPr>
        <w:t>Public_And_Regulatory_Affairs/AIFM_Directive/GENERAL_AIFMD_Presentation_%20261110.pdf [žiūrėta 2011 03 11]</w:t>
      </w:r>
    </w:p>
    <w:p w:rsidR="00E26097" w:rsidRPr="00EC1AB2" w:rsidRDefault="00E26097" w:rsidP="00E26097">
      <w:pPr>
        <w:pStyle w:val="ListParagraph"/>
        <w:numPr>
          <w:ilvl w:val="0"/>
          <w:numId w:val="15"/>
        </w:numPr>
        <w:spacing w:after="0" w:line="360" w:lineRule="auto"/>
        <w:rPr>
          <w:rFonts w:ascii="Times New Roman" w:hAnsi="Times New Roman" w:cs="Times New Roman"/>
          <w:bCs/>
          <w:sz w:val="24"/>
          <w:szCs w:val="24"/>
        </w:rPr>
      </w:pPr>
      <w:r w:rsidRPr="00EC1AB2">
        <w:rPr>
          <w:rFonts w:ascii="Times New Roman" w:hAnsi="Times New Roman" w:cs="Times New Roman"/>
          <w:b/>
          <w:bCs/>
          <w:sz w:val="24"/>
          <w:szCs w:val="24"/>
        </w:rPr>
        <w:lastRenderedPageBreak/>
        <w:t>EVCA</w:t>
      </w:r>
      <w:r w:rsidRPr="00EC1AB2">
        <w:rPr>
          <w:rFonts w:ascii="Times New Roman" w:hAnsi="Times New Roman" w:cs="Times New Roman"/>
          <w:bCs/>
          <w:sz w:val="24"/>
          <w:szCs w:val="24"/>
        </w:rPr>
        <w:t xml:space="preserve">, Survey of the Economic and Social Impact of Venture Capital in Europe, 2002. </w:t>
      </w:r>
      <w:r w:rsidRPr="00EC1AB2">
        <w:rPr>
          <w:rFonts w:ascii="Times New Roman" w:hAnsi="Times New Roman" w:cs="Times New Roman"/>
          <w:sz w:val="24"/>
          <w:szCs w:val="24"/>
        </w:rPr>
        <w:t>http://www.evca.eu/uploadedFiles/Home/Knowledge_Center/EVCA_Research/Economical_Impact/EconomicImpactofVentureCapital.pdf [žiūrėta 2011 02 27]</w:t>
      </w:r>
    </w:p>
    <w:p w:rsidR="00E26097" w:rsidRPr="00EC1AB2" w:rsidRDefault="00E26097" w:rsidP="00E26097">
      <w:pPr>
        <w:numPr>
          <w:ilvl w:val="0"/>
          <w:numId w:val="15"/>
        </w:numPr>
        <w:spacing w:after="0" w:line="360" w:lineRule="auto"/>
        <w:ind w:left="714" w:hanging="357"/>
        <w:rPr>
          <w:rFonts w:ascii="Times New Roman" w:hAnsi="Times New Roman" w:cs="Times New Roman"/>
          <w:sz w:val="24"/>
          <w:szCs w:val="24"/>
        </w:rPr>
      </w:pPr>
      <w:r w:rsidRPr="00EC1AB2">
        <w:rPr>
          <w:rFonts w:ascii="Times New Roman" w:hAnsi="Times New Roman" w:cs="Times New Roman"/>
          <w:b/>
          <w:sz w:val="24"/>
          <w:szCs w:val="24"/>
        </w:rPr>
        <w:t>Felix E.G.S., Gulamhussen M. A., Pires C. P.</w:t>
      </w:r>
      <w:r w:rsidRPr="00EC1AB2">
        <w:rPr>
          <w:rFonts w:ascii="Times New Roman" w:hAnsi="Times New Roman" w:cs="Times New Roman"/>
          <w:sz w:val="24"/>
          <w:szCs w:val="24"/>
        </w:rPr>
        <w:t xml:space="preserve">  The Determinants of Venture Capital in Europe - Evidence Across Countries, 2007. http://www.cefage.uevora.pt/en/content/downlo</w:t>
      </w:r>
    </w:p>
    <w:p w:rsidR="00E26097" w:rsidRPr="00EC1AB2" w:rsidRDefault="00E26097" w:rsidP="00E26097">
      <w:pPr>
        <w:spacing w:after="0" w:line="360" w:lineRule="auto"/>
        <w:ind w:left="714"/>
        <w:rPr>
          <w:rFonts w:ascii="Times New Roman" w:hAnsi="Times New Roman" w:cs="Times New Roman"/>
          <w:sz w:val="24"/>
          <w:szCs w:val="24"/>
        </w:rPr>
      </w:pPr>
      <w:r w:rsidRPr="00EC1AB2">
        <w:rPr>
          <w:rFonts w:ascii="Times New Roman" w:hAnsi="Times New Roman" w:cs="Times New Roman"/>
          <w:sz w:val="24"/>
          <w:szCs w:val="24"/>
        </w:rPr>
        <w:t>ad/950/12221/version/1/file/2007_01.pdf  [žiūrėta 2011 05 10].</w:t>
      </w:r>
    </w:p>
    <w:p w:rsidR="00E26097" w:rsidRPr="00EC1AB2" w:rsidRDefault="00E26097" w:rsidP="00E26097">
      <w:pPr>
        <w:numPr>
          <w:ilvl w:val="0"/>
          <w:numId w:val="15"/>
        </w:numPr>
        <w:spacing w:after="0" w:line="360" w:lineRule="auto"/>
        <w:jc w:val="both"/>
        <w:rPr>
          <w:rFonts w:ascii="Times New Roman" w:hAnsi="Times New Roman" w:cs="Times New Roman"/>
          <w:b/>
          <w:sz w:val="24"/>
          <w:szCs w:val="24"/>
        </w:rPr>
      </w:pPr>
      <w:r w:rsidRPr="00EC1AB2">
        <w:rPr>
          <w:rFonts w:ascii="Times New Roman" w:hAnsi="Times New Roman" w:cs="Times New Roman"/>
          <w:b/>
          <w:sz w:val="24"/>
          <w:szCs w:val="24"/>
        </w:rPr>
        <w:t xml:space="preserve">Gompres P., Lener J. </w:t>
      </w:r>
      <w:r w:rsidRPr="00EC1AB2">
        <w:rPr>
          <w:rFonts w:ascii="Times New Roman" w:hAnsi="Times New Roman" w:cs="Times New Roman"/>
          <w:sz w:val="24"/>
          <w:szCs w:val="24"/>
        </w:rPr>
        <w:t>The money of invention: how venture capital creates new wealth, 2001.</w:t>
      </w:r>
    </w:p>
    <w:p w:rsidR="00E26097" w:rsidRPr="00EC1AB2" w:rsidRDefault="00EC1AB2" w:rsidP="00E26097">
      <w:pPr>
        <w:spacing w:after="0" w:line="360" w:lineRule="auto"/>
        <w:ind w:left="720"/>
        <w:jc w:val="both"/>
        <w:rPr>
          <w:rFonts w:ascii="Times New Roman" w:hAnsi="Times New Roman" w:cs="Times New Roman"/>
          <w:sz w:val="24"/>
          <w:szCs w:val="24"/>
        </w:rPr>
      </w:pPr>
      <w:hyperlink r:id="rId39" w:anchor="v=onepage&amp;q&amp;f=false" w:history="1">
        <w:r w:rsidR="00E26097" w:rsidRPr="00EC1AB2">
          <w:rPr>
            <w:rStyle w:val="Hyperlink"/>
            <w:rFonts w:ascii="Times New Roman" w:hAnsi="Times New Roman" w:cs="Times New Roman"/>
            <w:color w:val="auto"/>
            <w:sz w:val="24"/>
            <w:szCs w:val="24"/>
          </w:rPr>
          <w:t>http://www.google.com/books?hl=lt&amp;lr=&amp;id=e0bdjUgzLG0C&amp;oi=fnd&amp;pg=PP15&amp;dq=The+impact+of+venture+capital+investments+on+the+Hungarian+economy&amp;ots=gv1h0XQq1V&amp;sig=o6fR2vzvtoyTYeZdk0n0qSc3Q7I#v=onepage&amp;q&amp;f=false</w:t>
        </w:r>
      </w:hyperlink>
      <w:r w:rsidR="00E26097" w:rsidRPr="00EC1AB2">
        <w:rPr>
          <w:rFonts w:ascii="Times New Roman" w:hAnsi="Times New Roman" w:cs="Times New Roman"/>
          <w:sz w:val="24"/>
          <w:szCs w:val="24"/>
        </w:rPr>
        <w:t xml:space="preserve"> [žiūrėta 2010 09 15].</w:t>
      </w:r>
    </w:p>
    <w:p w:rsidR="00E26097" w:rsidRPr="00EC1AB2" w:rsidRDefault="00E26097" w:rsidP="00E26097">
      <w:pPr>
        <w:numPr>
          <w:ilvl w:val="0"/>
          <w:numId w:val="15"/>
        </w:numPr>
        <w:spacing w:after="0" w:line="360" w:lineRule="auto"/>
        <w:jc w:val="both"/>
        <w:rPr>
          <w:rFonts w:ascii="Times New Roman" w:hAnsi="Times New Roman" w:cs="Times New Roman"/>
          <w:b/>
          <w:sz w:val="24"/>
          <w:szCs w:val="24"/>
        </w:rPr>
      </w:pPr>
      <w:r w:rsidRPr="00EC1AB2">
        <w:rPr>
          <w:rFonts w:ascii="Times New Roman" w:hAnsi="Times New Roman" w:cs="Times New Roman"/>
          <w:b/>
          <w:sz w:val="24"/>
          <w:szCs w:val="24"/>
        </w:rPr>
        <w:t>Groth A.P. ir kt.</w:t>
      </w:r>
      <w:r w:rsidRPr="00EC1AB2">
        <w:rPr>
          <w:rFonts w:ascii="Times New Roman" w:hAnsi="Times New Roman" w:cs="Times New Roman"/>
          <w:sz w:val="24"/>
          <w:szCs w:val="24"/>
        </w:rPr>
        <w:t xml:space="preserve"> The Attractiveness of Central Eastern</w:t>
      </w:r>
      <w:r w:rsidRPr="00EC1AB2">
        <w:rPr>
          <w:rFonts w:ascii="Times New Roman" w:hAnsi="Times New Roman" w:cs="Times New Roman"/>
          <w:b/>
          <w:sz w:val="24"/>
          <w:szCs w:val="24"/>
        </w:rPr>
        <w:t xml:space="preserve"> </w:t>
      </w:r>
      <w:r w:rsidRPr="00EC1AB2">
        <w:rPr>
          <w:rFonts w:ascii="Times New Roman" w:hAnsi="Times New Roman" w:cs="Times New Roman"/>
          <w:sz w:val="24"/>
          <w:szCs w:val="24"/>
        </w:rPr>
        <w:t xml:space="preserve">European Countries for Venture Capital and Private Equity Investors // IESE Business School Working Paper, 2006, Nr. D/677. </w:t>
      </w:r>
      <w:hyperlink r:id="rId40" w:history="1">
        <w:r w:rsidRPr="00EC1AB2">
          <w:rPr>
            <w:rStyle w:val="Hyperlink"/>
            <w:rFonts w:ascii="Times New Roman" w:hAnsi="Times New Roman" w:cs="Times New Roman"/>
            <w:color w:val="auto"/>
            <w:sz w:val="24"/>
            <w:szCs w:val="24"/>
          </w:rPr>
          <w:t>http://papers.ssrn.com/sol3/papers.cfm?abstract_id=960505</w:t>
        </w:r>
      </w:hyperlink>
      <w:r w:rsidRPr="00EC1AB2">
        <w:rPr>
          <w:rFonts w:ascii="Times New Roman" w:hAnsi="Times New Roman" w:cs="Times New Roman"/>
          <w:sz w:val="24"/>
          <w:szCs w:val="24"/>
        </w:rPr>
        <w:t xml:space="preserve"> [žiūrėta 2010 09 07].</w:t>
      </w:r>
    </w:p>
    <w:p w:rsidR="00E26097" w:rsidRPr="00EC1AB2" w:rsidRDefault="00E26097" w:rsidP="00E26097">
      <w:pPr>
        <w:numPr>
          <w:ilvl w:val="0"/>
          <w:numId w:val="15"/>
        </w:numPr>
        <w:spacing w:after="0" w:line="360" w:lineRule="auto"/>
        <w:jc w:val="both"/>
        <w:rPr>
          <w:rFonts w:ascii="Times New Roman" w:hAnsi="Times New Roman" w:cs="Times New Roman"/>
          <w:sz w:val="24"/>
          <w:szCs w:val="24"/>
        </w:rPr>
      </w:pPr>
      <w:r w:rsidRPr="00EC1AB2">
        <w:rPr>
          <w:rFonts w:ascii="Times New Roman" w:hAnsi="Times New Roman" w:cs="Times New Roman"/>
          <w:b/>
          <w:sz w:val="24"/>
          <w:szCs w:val="24"/>
        </w:rPr>
        <w:t>Hellman T, Puri M.</w:t>
      </w:r>
      <w:r w:rsidRPr="00EC1AB2">
        <w:rPr>
          <w:rFonts w:ascii="Times New Roman" w:hAnsi="Times New Roman" w:cs="Times New Roman"/>
          <w:sz w:val="24"/>
          <w:szCs w:val="24"/>
        </w:rPr>
        <w:t xml:space="preserve"> The interaction between product market and financing strategy: the role of venture capital,2000http://www.eufinancialsystem.org/fileadmin/content/Dokumente</w:t>
      </w:r>
    </w:p>
    <w:p w:rsidR="00E26097" w:rsidRPr="00EC1AB2" w:rsidRDefault="00E26097" w:rsidP="00E26097">
      <w:pPr>
        <w:spacing w:after="0" w:line="360" w:lineRule="auto"/>
        <w:ind w:left="720"/>
        <w:jc w:val="both"/>
        <w:rPr>
          <w:rFonts w:ascii="Times New Roman" w:hAnsi="Times New Roman" w:cs="Times New Roman"/>
          <w:sz w:val="24"/>
          <w:szCs w:val="24"/>
        </w:rPr>
      </w:pPr>
      <w:r w:rsidRPr="00EC1AB2">
        <w:rPr>
          <w:rFonts w:ascii="Times New Roman" w:hAnsi="Times New Roman" w:cs="Times New Roman"/>
          <w:sz w:val="24"/>
          <w:szCs w:val="24"/>
        </w:rPr>
        <w:t xml:space="preserve">_Events-/Prague_2008_11th_conference/Schaeck.pdf [žiūrėta 2011 05 10]. </w:t>
      </w:r>
    </w:p>
    <w:p w:rsidR="00E26097" w:rsidRPr="00EC1AB2" w:rsidRDefault="00E26097" w:rsidP="00E26097">
      <w:pPr>
        <w:numPr>
          <w:ilvl w:val="0"/>
          <w:numId w:val="15"/>
        </w:numPr>
        <w:spacing w:after="0" w:line="360" w:lineRule="auto"/>
        <w:jc w:val="both"/>
        <w:rPr>
          <w:rFonts w:ascii="Times New Roman" w:hAnsi="Times New Roman" w:cs="Times New Roman"/>
          <w:sz w:val="24"/>
          <w:szCs w:val="24"/>
        </w:rPr>
      </w:pPr>
      <w:r w:rsidRPr="00EC1AB2">
        <w:rPr>
          <w:rFonts w:ascii="Times New Roman" w:hAnsi="Times New Roman" w:cs="Times New Roman"/>
          <w:b/>
          <w:sz w:val="24"/>
          <w:szCs w:val="24"/>
        </w:rPr>
        <w:t>Hogan, Hartson</w:t>
      </w:r>
      <w:r w:rsidRPr="00EC1AB2">
        <w:rPr>
          <w:rFonts w:ascii="Times New Roman" w:hAnsi="Times New Roman" w:cs="Times New Roman"/>
          <w:sz w:val="24"/>
          <w:szCs w:val="24"/>
        </w:rPr>
        <w:t xml:space="preserve">. </w:t>
      </w:r>
      <w:r w:rsidRPr="00EC1AB2">
        <w:rPr>
          <w:rFonts w:ascii="Times New Roman" w:hAnsi="Times New Roman" w:cs="Times New Roman"/>
          <w:bCs/>
          <w:sz w:val="24"/>
          <w:szCs w:val="24"/>
        </w:rPr>
        <w:t xml:space="preserve">Certain Characteristics of Private Equity and Venture Capital in the Republic of Hungary.  </w:t>
      </w:r>
      <w:hyperlink r:id="rId41" w:history="1">
        <w:r w:rsidRPr="00EC1AB2">
          <w:rPr>
            <w:rStyle w:val="Hyperlink"/>
            <w:rFonts w:ascii="Times New Roman" w:hAnsi="Times New Roman" w:cs="Times New Roman"/>
            <w:color w:val="auto"/>
            <w:sz w:val="24"/>
            <w:szCs w:val="24"/>
          </w:rPr>
          <w:t>http://www.altassets.com/pdfs/VentureCapitalHungary.pdf</w:t>
        </w:r>
      </w:hyperlink>
      <w:r w:rsidRPr="00EC1AB2">
        <w:rPr>
          <w:rFonts w:ascii="Times New Roman" w:hAnsi="Times New Roman" w:cs="Times New Roman"/>
          <w:sz w:val="24"/>
          <w:szCs w:val="24"/>
        </w:rPr>
        <w:t xml:space="preserve"> [žiūrėta 2010 09 12].</w:t>
      </w:r>
    </w:p>
    <w:p w:rsidR="00E26097" w:rsidRPr="00EC1AB2" w:rsidRDefault="00E26097" w:rsidP="00E26097">
      <w:pPr>
        <w:numPr>
          <w:ilvl w:val="0"/>
          <w:numId w:val="15"/>
        </w:numPr>
        <w:spacing w:after="0" w:line="360" w:lineRule="auto"/>
        <w:jc w:val="both"/>
        <w:rPr>
          <w:rFonts w:ascii="Times New Roman" w:hAnsi="Times New Roman" w:cs="Times New Roman"/>
          <w:sz w:val="24"/>
          <w:szCs w:val="24"/>
        </w:rPr>
      </w:pPr>
      <w:r w:rsidRPr="00EC1AB2">
        <w:rPr>
          <w:rFonts w:ascii="Times New Roman" w:hAnsi="Times New Roman" w:cs="Times New Roman"/>
          <w:b/>
          <w:bCs/>
          <w:sz w:val="24"/>
          <w:szCs w:val="24"/>
        </w:rPr>
        <w:t xml:space="preserve">Hsu D. H., Kenney M.  </w:t>
      </w:r>
      <w:r w:rsidRPr="00EC1AB2">
        <w:rPr>
          <w:rFonts w:ascii="Times New Roman" w:hAnsi="Times New Roman" w:cs="Times New Roman"/>
          <w:sz w:val="24"/>
          <w:szCs w:val="24"/>
        </w:rPr>
        <w:t>Organizing venture capital: the rise and demise of American Research &amp; Development Corporation, 1946–1973, 2000. http://escholarship.org/uc/item/59q5n7rw [žiūrėta 2010 09 11]</w:t>
      </w:r>
    </w:p>
    <w:p w:rsidR="00E26097" w:rsidRPr="00EC1AB2" w:rsidRDefault="00E26097" w:rsidP="00E26097">
      <w:pPr>
        <w:pStyle w:val="ListParagraph"/>
        <w:numPr>
          <w:ilvl w:val="0"/>
          <w:numId w:val="15"/>
        </w:numPr>
        <w:autoSpaceDE w:val="0"/>
        <w:autoSpaceDN w:val="0"/>
        <w:adjustRightInd w:val="0"/>
        <w:spacing w:after="0" w:line="360" w:lineRule="auto"/>
        <w:jc w:val="both"/>
        <w:rPr>
          <w:rFonts w:ascii="Times New Roman" w:hAnsi="Times New Roman" w:cs="Times New Roman"/>
          <w:b/>
          <w:sz w:val="24"/>
          <w:szCs w:val="24"/>
        </w:rPr>
      </w:pPr>
      <w:r w:rsidRPr="00EC1AB2">
        <w:rPr>
          <w:rStyle w:val="Strong"/>
          <w:rFonts w:ascii="Times New Roman" w:hAnsi="Times New Roman" w:cs="Times New Roman"/>
          <w:sz w:val="24"/>
          <w:szCs w:val="24"/>
        </w:rPr>
        <w:t xml:space="preserve">Įmonių inovacinė veikla 2008–2010 m. </w:t>
      </w:r>
      <w:r w:rsidRPr="00EC1AB2">
        <w:rPr>
          <w:rFonts w:ascii="Times New Roman" w:hAnsi="Times New Roman" w:cs="Times New Roman"/>
          <w:sz w:val="24"/>
          <w:szCs w:val="24"/>
        </w:rPr>
        <w:t>http://www.stat.gov.lt/lt/news/view? id=10325&amp;PHPSESSID= [žiūrėta 2012 01 22]</w:t>
      </w:r>
    </w:p>
    <w:p w:rsidR="00E26097" w:rsidRPr="00EC1AB2" w:rsidRDefault="00E26097" w:rsidP="00E26097">
      <w:pPr>
        <w:pStyle w:val="ListParagraph"/>
        <w:numPr>
          <w:ilvl w:val="0"/>
          <w:numId w:val="15"/>
        </w:numPr>
        <w:autoSpaceDE w:val="0"/>
        <w:autoSpaceDN w:val="0"/>
        <w:adjustRightInd w:val="0"/>
        <w:spacing w:after="0" w:line="360" w:lineRule="auto"/>
        <w:rPr>
          <w:rFonts w:ascii="Times New Roman" w:hAnsi="Times New Roman" w:cs="Times New Roman"/>
          <w:b/>
          <w:sz w:val="24"/>
          <w:szCs w:val="24"/>
        </w:rPr>
      </w:pPr>
      <w:r w:rsidRPr="00EC1AB2">
        <w:rPr>
          <w:rFonts w:ascii="Times New Roman" w:hAnsi="Times New Roman" w:cs="Times New Roman"/>
          <w:b/>
          <w:sz w:val="24"/>
          <w:szCs w:val="24"/>
        </w:rPr>
        <w:t xml:space="preserve">Informacija apie įmonių finansavimą. </w:t>
      </w:r>
      <w:r w:rsidRPr="00EC1AB2">
        <w:rPr>
          <w:rFonts w:ascii="Times New Roman" w:hAnsi="Times New Roman" w:cs="Times New Roman"/>
          <w:sz w:val="24"/>
          <w:szCs w:val="24"/>
        </w:rPr>
        <w:t>http://www.stat.gov.lt/lt/catalog/viewfree/?id=1958</w:t>
      </w:r>
    </w:p>
    <w:p w:rsidR="00E26097" w:rsidRPr="00EC1AB2" w:rsidRDefault="00E26097" w:rsidP="00E26097">
      <w:pPr>
        <w:pStyle w:val="ListParagraph"/>
        <w:autoSpaceDE w:val="0"/>
        <w:autoSpaceDN w:val="0"/>
        <w:adjustRightInd w:val="0"/>
        <w:spacing w:after="0" w:line="360" w:lineRule="auto"/>
        <w:rPr>
          <w:rFonts w:ascii="Times New Roman" w:hAnsi="Times New Roman" w:cs="Times New Roman"/>
          <w:b/>
          <w:sz w:val="24"/>
          <w:szCs w:val="24"/>
        </w:rPr>
      </w:pPr>
      <w:r w:rsidRPr="00EC1AB2">
        <w:rPr>
          <w:rFonts w:ascii="Times New Roman" w:hAnsi="Times New Roman" w:cs="Times New Roman"/>
          <w:sz w:val="24"/>
          <w:szCs w:val="24"/>
        </w:rPr>
        <w:t>&amp;PHPSESSID=. [žiūrėta 2012 01 22]</w:t>
      </w:r>
    </w:p>
    <w:p w:rsidR="00E26097" w:rsidRPr="00EC1AB2" w:rsidRDefault="00E26097" w:rsidP="00E26097">
      <w:pPr>
        <w:pStyle w:val="ListParagraph"/>
        <w:numPr>
          <w:ilvl w:val="0"/>
          <w:numId w:val="15"/>
        </w:numPr>
        <w:autoSpaceDE w:val="0"/>
        <w:autoSpaceDN w:val="0"/>
        <w:adjustRightInd w:val="0"/>
        <w:spacing w:after="0" w:line="360" w:lineRule="auto"/>
        <w:jc w:val="both"/>
        <w:rPr>
          <w:rStyle w:val="texthdblue"/>
          <w:rFonts w:ascii="Times New Roman" w:hAnsi="Times New Roman" w:cs="Times New Roman"/>
          <w:b/>
          <w:sz w:val="24"/>
          <w:szCs w:val="24"/>
        </w:rPr>
      </w:pPr>
      <w:r w:rsidRPr="00EC1AB2">
        <w:rPr>
          <w:rStyle w:val="texthdblue"/>
          <w:rFonts w:ascii="Times New Roman" w:hAnsi="Times New Roman" w:cs="Times New Roman"/>
          <w:b/>
          <w:sz w:val="24"/>
          <w:szCs w:val="24"/>
        </w:rPr>
        <w:t xml:space="preserve">Innovation Union's performance scoreboard 2006 for Research and Innovation. </w:t>
      </w:r>
      <w:r w:rsidRPr="00EC1AB2">
        <w:rPr>
          <w:rStyle w:val="texthdblue"/>
          <w:rFonts w:ascii="Times New Roman" w:hAnsi="Times New Roman" w:cs="Times New Roman"/>
          <w:sz w:val="24"/>
          <w:szCs w:val="24"/>
        </w:rPr>
        <w:t xml:space="preserve">http://www.proinno-europe.eu/page/european-innovation-scoreboard-2006 </w:t>
      </w:r>
      <w:r w:rsidRPr="00EC1AB2">
        <w:rPr>
          <w:rFonts w:ascii="Times New Roman" w:hAnsi="Times New Roman" w:cs="Times New Roman"/>
          <w:sz w:val="24"/>
          <w:szCs w:val="24"/>
        </w:rPr>
        <w:t>[žiūrėta 2012 01 22]</w:t>
      </w:r>
    </w:p>
    <w:p w:rsidR="00E26097" w:rsidRPr="00EC1AB2" w:rsidRDefault="00E26097" w:rsidP="00E26097">
      <w:pPr>
        <w:pStyle w:val="ListParagraph"/>
        <w:numPr>
          <w:ilvl w:val="0"/>
          <w:numId w:val="15"/>
        </w:numPr>
        <w:autoSpaceDE w:val="0"/>
        <w:autoSpaceDN w:val="0"/>
        <w:adjustRightInd w:val="0"/>
        <w:spacing w:after="0" w:line="360" w:lineRule="auto"/>
        <w:jc w:val="both"/>
        <w:rPr>
          <w:rStyle w:val="texthdblue"/>
          <w:rFonts w:ascii="Times New Roman" w:hAnsi="Times New Roman" w:cs="Times New Roman"/>
          <w:b/>
          <w:sz w:val="24"/>
          <w:szCs w:val="24"/>
        </w:rPr>
      </w:pPr>
      <w:r w:rsidRPr="00EC1AB2">
        <w:rPr>
          <w:rStyle w:val="texthdblue"/>
          <w:rFonts w:ascii="Times New Roman" w:hAnsi="Times New Roman" w:cs="Times New Roman"/>
          <w:b/>
          <w:sz w:val="24"/>
          <w:szCs w:val="24"/>
        </w:rPr>
        <w:t>Innovation Union's performance scoreboard 2007 for Research and Innovation.</w:t>
      </w:r>
    </w:p>
    <w:p w:rsidR="00E26097" w:rsidRPr="00EC1AB2" w:rsidRDefault="00E26097" w:rsidP="00E26097">
      <w:pPr>
        <w:pStyle w:val="ListParagraph"/>
        <w:autoSpaceDE w:val="0"/>
        <w:autoSpaceDN w:val="0"/>
        <w:adjustRightInd w:val="0"/>
        <w:spacing w:after="0" w:line="360" w:lineRule="auto"/>
        <w:jc w:val="both"/>
        <w:rPr>
          <w:rFonts w:ascii="Times New Roman" w:hAnsi="Times New Roman" w:cs="Times New Roman"/>
          <w:b/>
          <w:sz w:val="24"/>
          <w:szCs w:val="24"/>
        </w:rPr>
      </w:pPr>
      <w:r w:rsidRPr="00EC1AB2">
        <w:rPr>
          <w:rFonts w:ascii="Times New Roman" w:hAnsi="Times New Roman" w:cs="Times New Roman"/>
          <w:sz w:val="24"/>
          <w:szCs w:val="24"/>
        </w:rPr>
        <w:t>http://www.proinno-europe.eu/page/european-innovation-scoreboard-2007 [žiūrėta 2012 01 22]</w:t>
      </w:r>
    </w:p>
    <w:p w:rsidR="00E26097" w:rsidRPr="00EC1AB2" w:rsidRDefault="00E26097" w:rsidP="00E26097">
      <w:pPr>
        <w:pStyle w:val="ListParagraph"/>
        <w:numPr>
          <w:ilvl w:val="0"/>
          <w:numId w:val="15"/>
        </w:numPr>
        <w:autoSpaceDE w:val="0"/>
        <w:autoSpaceDN w:val="0"/>
        <w:adjustRightInd w:val="0"/>
        <w:spacing w:after="0" w:line="360" w:lineRule="auto"/>
        <w:jc w:val="both"/>
        <w:rPr>
          <w:rFonts w:ascii="Times New Roman" w:hAnsi="Times New Roman" w:cs="Times New Roman"/>
          <w:b/>
          <w:sz w:val="24"/>
          <w:szCs w:val="24"/>
        </w:rPr>
      </w:pPr>
      <w:r w:rsidRPr="00EC1AB2">
        <w:rPr>
          <w:rStyle w:val="texthdblue"/>
          <w:rFonts w:ascii="Times New Roman" w:hAnsi="Times New Roman" w:cs="Times New Roman"/>
          <w:b/>
          <w:sz w:val="24"/>
          <w:szCs w:val="24"/>
        </w:rPr>
        <w:t>Innovation Union's performance scoreboard 2008 for Research and Innovation.</w:t>
      </w:r>
    </w:p>
    <w:p w:rsidR="00E26097" w:rsidRPr="00EC1AB2" w:rsidRDefault="00E26097" w:rsidP="00E26097">
      <w:pPr>
        <w:pStyle w:val="ListParagraph"/>
        <w:autoSpaceDE w:val="0"/>
        <w:autoSpaceDN w:val="0"/>
        <w:adjustRightInd w:val="0"/>
        <w:spacing w:after="0" w:line="360" w:lineRule="auto"/>
        <w:jc w:val="both"/>
        <w:rPr>
          <w:rFonts w:ascii="Times New Roman" w:hAnsi="Times New Roman" w:cs="Times New Roman"/>
          <w:b/>
          <w:sz w:val="24"/>
          <w:szCs w:val="24"/>
        </w:rPr>
      </w:pPr>
      <w:r w:rsidRPr="00EC1AB2">
        <w:rPr>
          <w:rFonts w:ascii="Times New Roman" w:hAnsi="Times New Roman" w:cs="Times New Roman"/>
          <w:sz w:val="24"/>
          <w:szCs w:val="24"/>
        </w:rPr>
        <w:lastRenderedPageBreak/>
        <w:t>http://www.proinno-europe.eu/page/european-innovation-scoreboard-2008 [žiūrėta 2012 01 23]</w:t>
      </w:r>
    </w:p>
    <w:p w:rsidR="00E26097" w:rsidRPr="00EC1AB2" w:rsidRDefault="00E26097" w:rsidP="00E26097">
      <w:pPr>
        <w:pStyle w:val="ListParagraph"/>
        <w:numPr>
          <w:ilvl w:val="0"/>
          <w:numId w:val="15"/>
        </w:numPr>
        <w:autoSpaceDE w:val="0"/>
        <w:autoSpaceDN w:val="0"/>
        <w:adjustRightInd w:val="0"/>
        <w:spacing w:after="0" w:line="360" w:lineRule="auto"/>
        <w:jc w:val="both"/>
        <w:rPr>
          <w:rFonts w:ascii="Times New Roman" w:hAnsi="Times New Roman" w:cs="Times New Roman"/>
          <w:b/>
          <w:sz w:val="24"/>
          <w:szCs w:val="24"/>
        </w:rPr>
      </w:pPr>
      <w:r w:rsidRPr="00EC1AB2">
        <w:rPr>
          <w:rStyle w:val="texthdblue"/>
          <w:rFonts w:ascii="Times New Roman" w:hAnsi="Times New Roman" w:cs="Times New Roman"/>
          <w:b/>
          <w:sz w:val="24"/>
          <w:szCs w:val="24"/>
        </w:rPr>
        <w:t>Innovation Union's performance scoreboard 2009 for Research and Innovation.</w:t>
      </w:r>
    </w:p>
    <w:p w:rsidR="00E26097" w:rsidRPr="00EC1AB2" w:rsidRDefault="00E26097" w:rsidP="00E26097">
      <w:pPr>
        <w:pStyle w:val="ListParagraph"/>
        <w:autoSpaceDE w:val="0"/>
        <w:autoSpaceDN w:val="0"/>
        <w:adjustRightInd w:val="0"/>
        <w:spacing w:after="0" w:line="360" w:lineRule="auto"/>
        <w:jc w:val="both"/>
        <w:rPr>
          <w:rFonts w:ascii="Times New Roman" w:hAnsi="Times New Roman" w:cs="Times New Roman"/>
          <w:b/>
          <w:sz w:val="24"/>
          <w:szCs w:val="24"/>
        </w:rPr>
      </w:pPr>
      <w:r w:rsidRPr="00EC1AB2">
        <w:rPr>
          <w:rFonts w:ascii="Times New Roman" w:hAnsi="Times New Roman" w:cs="Times New Roman"/>
          <w:sz w:val="24"/>
          <w:szCs w:val="24"/>
        </w:rPr>
        <w:t>http://www.proinno-europe.eu/page/european-innovation-scoreboard-2009 [žiūrėta 2012 01 23]</w:t>
      </w:r>
    </w:p>
    <w:p w:rsidR="00E26097" w:rsidRPr="00EC1AB2" w:rsidRDefault="00E26097" w:rsidP="00E26097">
      <w:pPr>
        <w:pStyle w:val="ListParagraph"/>
        <w:numPr>
          <w:ilvl w:val="0"/>
          <w:numId w:val="15"/>
        </w:numPr>
        <w:autoSpaceDE w:val="0"/>
        <w:autoSpaceDN w:val="0"/>
        <w:adjustRightInd w:val="0"/>
        <w:spacing w:after="0" w:line="360" w:lineRule="auto"/>
        <w:jc w:val="both"/>
        <w:rPr>
          <w:rStyle w:val="texthdblue"/>
          <w:rFonts w:ascii="Times New Roman" w:hAnsi="Times New Roman" w:cs="Times New Roman"/>
          <w:b/>
          <w:sz w:val="24"/>
          <w:szCs w:val="24"/>
        </w:rPr>
      </w:pPr>
      <w:r w:rsidRPr="00EC1AB2">
        <w:rPr>
          <w:rStyle w:val="texthdblue"/>
          <w:rFonts w:ascii="Times New Roman" w:hAnsi="Times New Roman" w:cs="Times New Roman"/>
          <w:b/>
          <w:sz w:val="24"/>
          <w:szCs w:val="24"/>
        </w:rPr>
        <w:t>Innovation Union's performance scoreboard 2010 for Research and Innovation.</w:t>
      </w:r>
    </w:p>
    <w:p w:rsidR="00E26097" w:rsidRPr="00EC1AB2" w:rsidRDefault="00E26097" w:rsidP="00E26097">
      <w:pPr>
        <w:pStyle w:val="ListParagraph"/>
        <w:autoSpaceDE w:val="0"/>
        <w:autoSpaceDN w:val="0"/>
        <w:adjustRightInd w:val="0"/>
        <w:spacing w:after="0" w:line="360" w:lineRule="auto"/>
        <w:jc w:val="both"/>
        <w:rPr>
          <w:rFonts w:ascii="Times New Roman" w:hAnsi="Times New Roman" w:cs="Times New Roman"/>
          <w:b/>
          <w:sz w:val="24"/>
          <w:szCs w:val="24"/>
        </w:rPr>
      </w:pPr>
      <w:r w:rsidRPr="00EC1AB2">
        <w:rPr>
          <w:rFonts w:ascii="Times New Roman" w:hAnsi="Times New Roman" w:cs="Times New Roman"/>
          <w:sz w:val="24"/>
          <w:szCs w:val="24"/>
        </w:rPr>
        <w:t>http://www.proinno-europe.eu/page/european-innovation-scoreboard-2010 [žiūrėta 2012 01 24]</w:t>
      </w:r>
    </w:p>
    <w:p w:rsidR="00E26097" w:rsidRPr="00EC1AB2" w:rsidRDefault="00E26097" w:rsidP="00E26097">
      <w:pPr>
        <w:pStyle w:val="ListParagraph"/>
        <w:numPr>
          <w:ilvl w:val="0"/>
          <w:numId w:val="15"/>
        </w:numPr>
        <w:autoSpaceDE w:val="0"/>
        <w:autoSpaceDN w:val="0"/>
        <w:adjustRightInd w:val="0"/>
        <w:spacing w:after="0" w:line="360" w:lineRule="auto"/>
        <w:jc w:val="both"/>
        <w:rPr>
          <w:rFonts w:ascii="Times New Roman" w:hAnsi="Times New Roman" w:cs="Times New Roman"/>
          <w:b/>
          <w:sz w:val="24"/>
          <w:szCs w:val="24"/>
        </w:rPr>
      </w:pPr>
      <w:r w:rsidRPr="00EC1AB2">
        <w:rPr>
          <w:rStyle w:val="texthdblue"/>
          <w:rFonts w:ascii="Times New Roman" w:hAnsi="Times New Roman" w:cs="Times New Roman"/>
          <w:b/>
          <w:sz w:val="24"/>
          <w:szCs w:val="24"/>
        </w:rPr>
        <w:t>Innovation Union's performance scoreboard 2011 for Research and Innovation.</w:t>
      </w:r>
    </w:p>
    <w:p w:rsidR="00E26097" w:rsidRPr="00EC1AB2" w:rsidRDefault="00E26097" w:rsidP="00E26097">
      <w:pPr>
        <w:pStyle w:val="ListParagraph"/>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sz w:val="24"/>
          <w:szCs w:val="24"/>
        </w:rPr>
        <w:t>http://www.proinno-europe.eu/page/european-innovation-scoreboard-2011 [žiūrėta 2012 01 24]</w:t>
      </w:r>
    </w:p>
    <w:p w:rsidR="00E26097" w:rsidRPr="00EC1AB2" w:rsidRDefault="00E26097" w:rsidP="00E26097">
      <w:pPr>
        <w:numPr>
          <w:ilvl w:val="0"/>
          <w:numId w:val="15"/>
        </w:numPr>
        <w:spacing w:after="0" w:line="360" w:lineRule="auto"/>
        <w:jc w:val="both"/>
        <w:rPr>
          <w:rFonts w:ascii="Times New Roman" w:hAnsi="Times New Roman" w:cs="Times New Roman"/>
          <w:sz w:val="24"/>
          <w:szCs w:val="24"/>
        </w:rPr>
      </w:pPr>
      <w:r w:rsidRPr="00EC1AB2">
        <w:rPr>
          <w:rFonts w:ascii="Times New Roman" w:hAnsi="Times New Roman" w:cs="Times New Roman"/>
          <w:b/>
          <w:bCs/>
          <w:sz w:val="24"/>
          <w:szCs w:val="24"/>
        </w:rPr>
        <w:t>Jankauskienė V.</w:t>
      </w:r>
      <w:r w:rsidRPr="00EC1AB2">
        <w:rPr>
          <w:rFonts w:ascii="Times New Roman" w:hAnsi="Times New Roman" w:cs="Times New Roman"/>
          <w:sz w:val="24"/>
          <w:szCs w:val="24"/>
        </w:rPr>
        <w:t xml:space="preserve"> , Rizikos kapitalo sektoriaus plėtros veiksnių vertinimo modelis, 2009. – Kaunas: Vytauto Didžiojo universitetas</w:t>
      </w:r>
    </w:p>
    <w:p w:rsidR="00E26097" w:rsidRPr="00EC1AB2" w:rsidRDefault="00E26097" w:rsidP="00E26097">
      <w:pPr>
        <w:pStyle w:val="ListParagraph"/>
        <w:numPr>
          <w:ilvl w:val="0"/>
          <w:numId w:val="15"/>
        </w:numPr>
        <w:spacing w:after="0" w:line="360" w:lineRule="auto"/>
        <w:jc w:val="both"/>
        <w:rPr>
          <w:rFonts w:ascii="Times New Roman" w:hAnsi="Times New Roman" w:cs="Times New Roman"/>
          <w:b/>
          <w:sz w:val="24"/>
          <w:szCs w:val="24"/>
        </w:rPr>
      </w:pPr>
      <w:r w:rsidRPr="00EC1AB2">
        <w:rPr>
          <w:rFonts w:ascii="Times New Roman" w:hAnsi="Times New Roman" w:cs="Times New Roman"/>
          <w:b/>
          <w:sz w:val="24"/>
          <w:szCs w:val="24"/>
        </w:rPr>
        <w:t xml:space="preserve">Kaupelytė D., Jankauskienė  V. </w:t>
      </w:r>
      <w:r w:rsidRPr="00EC1AB2">
        <w:rPr>
          <w:rFonts w:ascii="Times New Roman" w:hAnsi="Times New Roman" w:cs="Times New Roman"/>
          <w:sz w:val="24"/>
          <w:szCs w:val="24"/>
        </w:rPr>
        <w:t>Pensijų fondų investicijų į rizikos kapitalo skatinimas: galimybės Europos Sąjungos šalyse, 2009. Nr. 49, Organizacijų vadyba: sisteminiai tyrimai.</w:t>
      </w:r>
    </w:p>
    <w:p w:rsidR="00E26097" w:rsidRPr="00EC1AB2" w:rsidRDefault="00E26097" w:rsidP="00E26097">
      <w:pPr>
        <w:pStyle w:val="ListParagraph"/>
        <w:numPr>
          <w:ilvl w:val="0"/>
          <w:numId w:val="15"/>
        </w:numPr>
        <w:spacing w:after="0" w:line="360" w:lineRule="auto"/>
        <w:jc w:val="both"/>
        <w:rPr>
          <w:rFonts w:ascii="Times New Roman" w:hAnsi="Times New Roman" w:cs="Times New Roman"/>
          <w:sz w:val="24"/>
          <w:szCs w:val="24"/>
        </w:rPr>
      </w:pPr>
      <w:r w:rsidRPr="00EC1AB2">
        <w:rPr>
          <w:rFonts w:ascii="Times New Roman" w:hAnsi="Times New Roman" w:cs="Times New Roman"/>
          <w:b/>
          <w:sz w:val="24"/>
          <w:szCs w:val="24"/>
        </w:rPr>
        <w:t>Kinney M., Hsu D.</w:t>
      </w:r>
      <w:r w:rsidRPr="00EC1AB2">
        <w:rPr>
          <w:rFonts w:ascii="Times New Roman" w:hAnsi="Times New Roman" w:cs="Times New Roman"/>
          <w:sz w:val="24"/>
          <w:szCs w:val="24"/>
        </w:rPr>
        <w:t xml:space="preserve"> </w:t>
      </w:r>
      <w:hyperlink r:id="rId42" w:history="1">
        <w:r w:rsidRPr="00EC1AB2">
          <w:rPr>
            <w:rStyle w:val="Hyperlink"/>
            <w:rFonts w:ascii="Times New Roman" w:hAnsi="Times New Roman" w:cs="Times New Roman"/>
            <w:color w:val="auto"/>
            <w:sz w:val="24"/>
            <w:szCs w:val="24"/>
          </w:rPr>
          <w:t>Organizing venture capital: the rise and demise of American Research and Development Corporation</w:t>
        </w:r>
      </w:hyperlink>
      <w:r w:rsidRPr="00EC1AB2">
        <w:rPr>
          <w:rFonts w:ascii="Times New Roman" w:hAnsi="Times New Roman" w:cs="Times New Roman"/>
          <w:sz w:val="24"/>
          <w:szCs w:val="24"/>
        </w:rPr>
        <w:t xml:space="preserve">, 1946–1973// Oxford University Press on behalf of Associazione,2004. </w:t>
      </w:r>
      <w:hyperlink r:id="rId43" w:history="1">
        <w:r w:rsidRPr="00EC1AB2">
          <w:rPr>
            <w:rStyle w:val="Hyperlink"/>
            <w:rFonts w:ascii="Times New Roman" w:hAnsi="Times New Roman" w:cs="Times New Roman"/>
            <w:color w:val="auto"/>
            <w:sz w:val="24"/>
            <w:szCs w:val="24"/>
          </w:rPr>
          <w:t>http://hcd.ucdavis.edu/faculty/webpages/kenney/articles_files/Organizing%20Venture%20Capital:%20The%20Rise%20and%20Demise%20of%20American%20Research%20and%20Development%20Corporation.pdf</w:t>
        </w:r>
      </w:hyperlink>
      <w:r w:rsidRPr="00EC1AB2">
        <w:rPr>
          <w:rFonts w:ascii="Times New Roman" w:hAnsi="Times New Roman" w:cs="Times New Roman"/>
          <w:sz w:val="24"/>
          <w:szCs w:val="24"/>
        </w:rPr>
        <w:t xml:space="preserve"> [žiūrėta 2010 09 12].</w:t>
      </w:r>
    </w:p>
    <w:p w:rsidR="00E26097" w:rsidRPr="00EC1AB2" w:rsidRDefault="00E26097" w:rsidP="00E26097">
      <w:pPr>
        <w:numPr>
          <w:ilvl w:val="0"/>
          <w:numId w:val="15"/>
        </w:numPr>
        <w:spacing w:after="0" w:line="360" w:lineRule="auto"/>
        <w:jc w:val="both"/>
        <w:rPr>
          <w:rFonts w:ascii="Times New Roman" w:hAnsi="Times New Roman" w:cs="Times New Roman"/>
          <w:sz w:val="24"/>
          <w:szCs w:val="24"/>
        </w:rPr>
      </w:pPr>
      <w:r w:rsidRPr="00EC1AB2">
        <w:rPr>
          <w:rFonts w:ascii="Times New Roman" w:hAnsi="Times New Roman" w:cs="Times New Roman"/>
          <w:b/>
          <w:sz w:val="24"/>
          <w:szCs w:val="24"/>
        </w:rPr>
        <w:t xml:space="preserve">Kortum S., Lerner J. </w:t>
      </w:r>
      <w:r w:rsidRPr="00EC1AB2">
        <w:rPr>
          <w:rFonts w:ascii="Times New Roman" w:hAnsi="Times New Roman" w:cs="Times New Roman"/>
          <w:sz w:val="24"/>
          <w:szCs w:val="24"/>
        </w:rPr>
        <w:t>Assessing the contribution e capital of ventuto innovation, 2002. http://www.confindustria.it/indcong.nsf/73dbd238f0385f5ac1256fc1004d81e5/1f7902e29f492478c1256d4a002b7bfe/$FILE/capitolo%203.pdf [žiūrėta 2010 12 15].</w:t>
      </w:r>
    </w:p>
    <w:p w:rsidR="00E26097" w:rsidRPr="00EC1AB2" w:rsidRDefault="00E26097" w:rsidP="00E26097">
      <w:pPr>
        <w:numPr>
          <w:ilvl w:val="0"/>
          <w:numId w:val="15"/>
        </w:numPr>
        <w:spacing w:after="0" w:line="360" w:lineRule="auto"/>
        <w:jc w:val="both"/>
        <w:rPr>
          <w:rFonts w:ascii="Times New Roman" w:hAnsi="Times New Roman" w:cs="Times New Roman"/>
          <w:sz w:val="24"/>
          <w:szCs w:val="24"/>
        </w:rPr>
      </w:pPr>
      <w:r w:rsidRPr="00EC1AB2">
        <w:rPr>
          <w:rFonts w:ascii="Times New Roman" w:hAnsi="Times New Roman" w:cs="Times New Roman"/>
          <w:b/>
          <w:sz w:val="24"/>
          <w:szCs w:val="24"/>
        </w:rPr>
        <w:t>Laurinavičius A.</w:t>
      </w:r>
      <w:r w:rsidRPr="00EC1AB2">
        <w:rPr>
          <w:rFonts w:ascii="Times New Roman" w:hAnsi="Times New Roman" w:cs="Times New Roman"/>
          <w:sz w:val="24"/>
          <w:szCs w:val="24"/>
        </w:rPr>
        <w:t xml:space="preserve"> Rizikos kapitalas Lietuvoje – sisteminis ar atsitiktinis?, 2011. http://iq.lt/komentarai/rizikos-kapitalo-panaudojimas-sisteminis-ar-atsitiktinis/</w:t>
      </w:r>
    </w:p>
    <w:p w:rsidR="00E26097" w:rsidRPr="00EC1AB2" w:rsidRDefault="00E26097" w:rsidP="00E26097">
      <w:pPr>
        <w:pStyle w:val="ListParagraph"/>
        <w:numPr>
          <w:ilvl w:val="0"/>
          <w:numId w:val="15"/>
        </w:num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b/>
          <w:sz w:val="24"/>
          <w:szCs w:val="24"/>
        </w:rPr>
        <w:t>Lietuvos Respublikos informuotiesiems investuotojams skirtų kolektyvinio investavimo subjektų įstatymo projektas</w:t>
      </w:r>
      <w:r w:rsidRPr="00EC1AB2">
        <w:rPr>
          <w:rFonts w:ascii="Times New Roman" w:hAnsi="Times New Roman" w:cs="Times New Roman"/>
          <w:sz w:val="24"/>
          <w:szCs w:val="24"/>
        </w:rPr>
        <w:t>. [žiūrėta 2012 01 24]</w:t>
      </w:r>
    </w:p>
    <w:p w:rsidR="00E26097" w:rsidRPr="00EC1AB2" w:rsidRDefault="00E26097" w:rsidP="00E26097">
      <w:pPr>
        <w:pStyle w:val="ListParagraph"/>
        <w:numPr>
          <w:ilvl w:val="0"/>
          <w:numId w:val="15"/>
        </w:num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b/>
          <w:sz w:val="24"/>
          <w:szCs w:val="24"/>
        </w:rPr>
        <w:t>Lietuvos Respublikos kolektyvinio investavimo subjektų įstatymas</w:t>
      </w:r>
      <w:r w:rsidRPr="00EC1AB2">
        <w:rPr>
          <w:rFonts w:ascii="Times New Roman" w:hAnsi="Times New Roman" w:cs="Times New Roman"/>
          <w:sz w:val="24"/>
          <w:szCs w:val="24"/>
        </w:rPr>
        <w:t xml:space="preserve"> (Žin., 2003, Nr. 74-3424 ) [žiūrėta 2012 01 24]</w:t>
      </w:r>
    </w:p>
    <w:p w:rsidR="00E26097" w:rsidRPr="00EC1AB2" w:rsidRDefault="00E26097" w:rsidP="00E26097">
      <w:pPr>
        <w:pStyle w:val="ListParagraph"/>
        <w:numPr>
          <w:ilvl w:val="0"/>
          <w:numId w:val="15"/>
        </w:num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b/>
          <w:sz w:val="24"/>
          <w:szCs w:val="24"/>
        </w:rPr>
        <w:t xml:space="preserve">Lietuvos Respublikos kolektyvinio investavimo subjektų įstatymo pakeitimo projektas </w:t>
      </w:r>
      <w:r w:rsidRPr="00EC1AB2">
        <w:rPr>
          <w:rFonts w:ascii="Times New Roman" w:hAnsi="Times New Roman" w:cs="Times New Roman"/>
          <w:sz w:val="24"/>
          <w:szCs w:val="24"/>
        </w:rPr>
        <w:t>[žiūrėta 2012 01 24]</w:t>
      </w:r>
    </w:p>
    <w:p w:rsidR="00E26097" w:rsidRPr="00EC1AB2" w:rsidRDefault="00E26097" w:rsidP="00E26097">
      <w:pPr>
        <w:pStyle w:val="ListParagraph"/>
        <w:numPr>
          <w:ilvl w:val="0"/>
          <w:numId w:val="15"/>
        </w:num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eastAsia="Times New Roman" w:hAnsi="Times New Roman" w:cs="Times New Roman"/>
          <w:b/>
          <w:bCs/>
          <w:kern w:val="36"/>
          <w:sz w:val="24"/>
          <w:szCs w:val="24"/>
          <w:lang w:eastAsia="lt-LT"/>
        </w:rPr>
        <w:lastRenderedPageBreak/>
        <w:t xml:space="preserve">Lietuvos Respublikos kolektyvinio investavimo subjektų įstatymo 1, 2, 4, 7, 21, 23, 31, 34, 67, 69, 72, 78, 80, 81, 85, 93 straipsnių ir vii skyriaus šeštojo skirsnio pakeitimo ir papildymo įstatymo projekto aiškinamasis raštas </w:t>
      </w:r>
      <w:r w:rsidRPr="00EC1AB2">
        <w:rPr>
          <w:rFonts w:ascii="Times New Roman" w:hAnsi="Times New Roman" w:cs="Times New Roman"/>
          <w:sz w:val="24"/>
          <w:szCs w:val="24"/>
        </w:rPr>
        <w:t>[žiūrėta 2012 01 24]</w:t>
      </w:r>
    </w:p>
    <w:p w:rsidR="00E26097" w:rsidRPr="00EC1AB2" w:rsidRDefault="00E26097" w:rsidP="00E26097">
      <w:pPr>
        <w:numPr>
          <w:ilvl w:val="0"/>
          <w:numId w:val="15"/>
        </w:numPr>
        <w:spacing w:after="0" w:line="360" w:lineRule="auto"/>
        <w:jc w:val="both"/>
        <w:rPr>
          <w:rFonts w:ascii="Times New Roman" w:hAnsi="Times New Roman" w:cs="Times New Roman"/>
          <w:sz w:val="24"/>
          <w:szCs w:val="24"/>
        </w:rPr>
      </w:pPr>
      <w:r w:rsidRPr="00EC1AB2">
        <w:rPr>
          <w:rFonts w:ascii="Times New Roman" w:eastAsia="MinionPro-Regular" w:hAnsi="Times New Roman" w:cs="Times New Roman"/>
          <w:b/>
          <w:sz w:val="24"/>
          <w:szCs w:val="24"/>
        </w:rPr>
        <w:t xml:space="preserve">Mayer, С., Schoors, K., Yafeh, Y. </w:t>
      </w:r>
      <w:r w:rsidRPr="00EC1AB2">
        <w:rPr>
          <w:rFonts w:ascii="Times New Roman" w:eastAsia="MinionPro-Regular" w:hAnsi="Times New Roman" w:cs="Times New Roman"/>
          <w:sz w:val="24"/>
          <w:szCs w:val="24"/>
        </w:rPr>
        <w:t xml:space="preserve"> Sources of Funds and Investment Activities of Venture Capital Funds: Evidence from Germany, Israel, Japan and the UK, Working paper 9645, National bureau of economic research, 2003. http://www.nber.org/ papers/w9645.pdf?</w:t>
      </w:r>
    </w:p>
    <w:p w:rsidR="00E26097" w:rsidRPr="00EC1AB2" w:rsidRDefault="00E26097" w:rsidP="00E26097">
      <w:pPr>
        <w:spacing w:after="0" w:line="360" w:lineRule="auto"/>
        <w:ind w:left="720"/>
        <w:jc w:val="both"/>
        <w:rPr>
          <w:rFonts w:ascii="Times New Roman" w:hAnsi="Times New Roman" w:cs="Times New Roman"/>
          <w:sz w:val="24"/>
          <w:szCs w:val="24"/>
        </w:rPr>
      </w:pPr>
      <w:r w:rsidRPr="00EC1AB2">
        <w:rPr>
          <w:rFonts w:ascii="Times New Roman" w:eastAsia="MinionPro-Regular" w:hAnsi="Times New Roman" w:cs="Times New Roman"/>
          <w:sz w:val="24"/>
          <w:szCs w:val="24"/>
        </w:rPr>
        <w:t xml:space="preserve">new_window=1 [žiūrėta 2011 05 10]. </w:t>
      </w:r>
    </w:p>
    <w:p w:rsidR="00E26097" w:rsidRPr="00EC1AB2" w:rsidRDefault="00E26097" w:rsidP="00E26097">
      <w:pPr>
        <w:pStyle w:val="Default"/>
        <w:numPr>
          <w:ilvl w:val="0"/>
          <w:numId w:val="15"/>
        </w:numPr>
        <w:spacing w:line="360" w:lineRule="auto"/>
        <w:jc w:val="both"/>
        <w:rPr>
          <w:color w:val="auto"/>
          <w:lang w:val="lt-LT"/>
        </w:rPr>
      </w:pPr>
      <w:r w:rsidRPr="00EC1AB2">
        <w:rPr>
          <w:b/>
          <w:color w:val="auto"/>
          <w:lang w:val="lt-LT"/>
        </w:rPr>
        <w:t>Metrick, A.,</w:t>
      </w:r>
      <w:r w:rsidRPr="00EC1AB2">
        <w:rPr>
          <w:color w:val="auto"/>
          <w:lang w:val="lt-LT"/>
        </w:rPr>
        <w:t xml:space="preserve"> Venture Capital and the Finance of Innovation. Hoboken: John Wiley&amp;Sons, 2007. </w:t>
      </w:r>
      <w:r w:rsidRPr="00EC1AB2">
        <w:rPr>
          <w:lang w:val="lt-LT"/>
        </w:rPr>
        <w:t>http://onlinelibrary.wiley.com/doi/10.1111/j.1467-629X.2010.00373.x/full [žiūrėta 2011 01 11].</w:t>
      </w:r>
    </w:p>
    <w:p w:rsidR="00E26097" w:rsidRPr="00EC1AB2" w:rsidRDefault="00E26097" w:rsidP="00E26097">
      <w:pPr>
        <w:numPr>
          <w:ilvl w:val="0"/>
          <w:numId w:val="15"/>
        </w:numPr>
        <w:spacing w:after="0" w:line="360" w:lineRule="auto"/>
        <w:jc w:val="both"/>
        <w:rPr>
          <w:rFonts w:ascii="Times New Roman" w:hAnsi="Times New Roman" w:cs="Times New Roman"/>
          <w:sz w:val="24"/>
          <w:szCs w:val="24"/>
        </w:rPr>
      </w:pPr>
      <w:r w:rsidRPr="00EC1AB2">
        <w:rPr>
          <w:rFonts w:ascii="Times New Roman" w:hAnsi="Times New Roman" w:cs="Times New Roman"/>
          <w:b/>
          <w:color w:val="000000"/>
          <w:sz w:val="24"/>
          <w:szCs w:val="24"/>
        </w:rPr>
        <w:t>Michelcci C., Suarez J.</w:t>
      </w:r>
      <w:r w:rsidRPr="00EC1AB2">
        <w:rPr>
          <w:rFonts w:ascii="Times New Roman" w:hAnsi="Times New Roman" w:cs="Times New Roman"/>
          <w:color w:val="000000"/>
          <w:sz w:val="24"/>
          <w:szCs w:val="24"/>
        </w:rPr>
        <w:t xml:space="preserve"> Business Creation and the Stock Market, 2002. http://papers.ssrn.com/sol3/papers.cfm?abstract_id=335925</w:t>
      </w:r>
    </w:p>
    <w:p w:rsidR="00E26097" w:rsidRPr="00EC1AB2" w:rsidRDefault="00E26097" w:rsidP="00E26097">
      <w:pPr>
        <w:pStyle w:val="ListParagraph"/>
        <w:numPr>
          <w:ilvl w:val="0"/>
          <w:numId w:val="15"/>
        </w:numPr>
        <w:spacing w:after="0" w:line="360" w:lineRule="auto"/>
        <w:ind w:left="714" w:hanging="357"/>
        <w:rPr>
          <w:rFonts w:ascii="Times New Roman" w:hAnsi="Times New Roman" w:cs="Times New Roman"/>
          <w:sz w:val="24"/>
          <w:szCs w:val="24"/>
        </w:rPr>
      </w:pPr>
      <w:r w:rsidRPr="00EC1AB2">
        <w:rPr>
          <w:rStyle w:val="Hyperlink"/>
          <w:rFonts w:ascii="Times New Roman" w:hAnsi="Times New Roman" w:cs="Times New Roman"/>
          <w:b/>
          <w:color w:val="auto"/>
          <w:sz w:val="24"/>
          <w:szCs w:val="24"/>
        </w:rPr>
        <w:t>Jakubavičius A.</w:t>
      </w:r>
      <w:r w:rsidRPr="00EC1AB2">
        <w:rPr>
          <w:rStyle w:val="Hyperlink"/>
          <w:rFonts w:ascii="Times New Roman" w:hAnsi="Times New Roman" w:cs="Times New Roman"/>
          <w:color w:val="auto"/>
          <w:sz w:val="24"/>
          <w:szCs w:val="24"/>
        </w:rPr>
        <w:t xml:space="preserve"> </w:t>
      </w:r>
      <w:r w:rsidRPr="00EC1AB2">
        <w:rPr>
          <w:rStyle w:val="Hyperlink"/>
          <w:rFonts w:ascii="Times New Roman" w:hAnsi="Times New Roman" w:cs="Times New Roman"/>
          <w:b/>
          <w:color w:val="auto"/>
          <w:sz w:val="24"/>
          <w:szCs w:val="24"/>
        </w:rPr>
        <w:t>ir kt</w:t>
      </w:r>
      <w:r w:rsidRPr="00EC1AB2">
        <w:rPr>
          <w:rStyle w:val="Hyperlink"/>
          <w:rFonts w:ascii="Times New Roman" w:hAnsi="Times New Roman" w:cs="Times New Roman"/>
          <w:color w:val="auto"/>
          <w:sz w:val="24"/>
          <w:szCs w:val="24"/>
        </w:rPr>
        <w:t xml:space="preserve">., Inovacijos versle: procesai, parama, tinklaveika, 2008. </w:t>
      </w:r>
      <w:r w:rsidRPr="00EC1AB2">
        <w:rPr>
          <w:rFonts w:ascii="Times New Roman" w:hAnsi="Times New Roman" w:cs="Times New Roman"/>
          <w:sz w:val="24"/>
          <w:szCs w:val="24"/>
        </w:rPr>
        <w:t>http://www.lic.lt/index.php?-38245907 [žiūrėta 2011 03 12]</w:t>
      </w:r>
    </w:p>
    <w:p w:rsidR="00E26097" w:rsidRPr="00EC1AB2" w:rsidRDefault="00E26097" w:rsidP="00E26097">
      <w:pPr>
        <w:numPr>
          <w:ilvl w:val="0"/>
          <w:numId w:val="15"/>
        </w:numPr>
        <w:spacing w:after="0" w:line="360" w:lineRule="auto"/>
        <w:jc w:val="both"/>
        <w:rPr>
          <w:rFonts w:ascii="Times New Roman" w:hAnsi="Times New Roman" w:cs="Times New Roman"/>
          <w:sz w:val="24"/>
          <w:szCs w:val="24"/>
        </w:rPr>
      </w:pPr>
      <w:r w:rsidRPr="00EC1AB2">
        <w:rPr>
          <w:rFonts w:ascii="Times New Roman" w:hAnsi="Times New Roman" w:cs="Times New Roman"/>
          <w:b/>
          <w:sz w:val="24"/>
          <w:szCs w:val="24"/>
        </w:rPr>
        <w:t>Pransky J.</w:t>
      </w:r>
      <w:r w:rsidRPr="00EC1AB2">
        <w:rPr>
          <w:rFonts w:ascii="Times New Roman" w:hAnsi="Times New Roman" w:cs="Times New Roman"/>
          <w:sz w:val="24"/>
          <w:szCs w:val="24"/>
        </w:rPr>
        <w:t xml:space="preserve"> US venture capital in robotics//Industrial Robot: An International Journal, 2008. </w:t>
      </w:r>
      <w:hyperlink r:id="rId44" w:history="1">
        <w:r w:rsidRPr="00EC1AB2">
          <w:rPr>
            <w:rStyle w:val="Hyperlink"/>
            <w:rFonts w:ascii="Times New Roman" w:hAnsi="Times New Roman" w:cs="Times New Roman"/>
            <w:color w:val="auto"/>
            <w:sz w:val="24"/>
            <w:szCs w:val="24"/>
          </w:rPr>
          <w:t>http://www.emeraldinsight.com/journals.htm?issn=0143-991X&amp;volume=35&amp;issue=3&amp;articlei-d=1722848&amp;</w:t>
        </w:r>
      </w:hyperlink>
      <w:r w:rsidRPr="00EC1AB2">
        <w:rPr>
          <w:rFonts w:ascii="Times New Roman" w:hAnsi="Times New Roman" w:cs="Times New Roman"/>
          <w:sz w:val="24"/>
          <w:szCs w:val="24"/>
        </w:rPr>
        <w:t xml:space="preserve"> [žiūrėta 2010 09 09].</w:t>
      </w:r>
    </w:p>
    <w:p w:rsidR="00E26097" w:rsidRPr="00EC1AB2" w:rsidRDefault="00E26097" w:rsidP="00E26097">
      <w:pPr>
        <w:numPr>
          <w:ilvl w:val="0"/>
          <w:numId w:val="15"/>
        </w:numPr>
        <w:spacing w:after="0" w:line="360" w:lineRule="auto"/>
        <w:jc w:val="both"/>
        <w:rPr>
          <w:rFonts w:ascii="Times New Roman" w:hAnsi="Times New Roman" w:cs="Times New Roman"/>
          <w:sz w:val="24"/>
          <w:szCs w:val="24"/>
        </w:rPr>
      </w:pPr>
      <w:r w:rsidRPr="00EC1AB2">
        <w:rPr>
          <w:rFonts w:ascii="Times New Roman" w:hAnsi="Times New Roman" w:cs="Times New Roman"/>
          <w:b/>
          <w:sz w:val="24"/>
          <w:szCs w:val="24"/>
        </w:rPr>
        <w:t>Pricewaterhousecoopers</w:t>
      </w:r>
      <w:r w:rsidRPr="00EC1AB2">
        <w:rPr>
          <w:rFonts w:ascii="Times New Roman" w:hAnsi="Times New Roman" w:cs="Times New Roman"/>
          <w:sz w:val="24"/>
          <w:szCs w:val="24"/>
        </w:rPr>
        <w:t>. The economy impact of private and venture capital in Italy, 2006.</w:t>
      </w:r>
    </w:p>
    <w:p w:rsidR="00E26097" w:rsidRPr="00EC1AB2" w:rsidRDefault="00E26097" w:rsidP="00E26097">
      <w:pPr>
        <w:spacing w:after="0" w:line="360" w:lineRule="auto"/>
        <w:ind w:left="720"/>
        <w:jc w:val="both"/>
        <w:rPr>
          <w:rFonts w:ascii="Times New Roman" w:eastAsia="+mn-ea" w:hAnsi="Times New Roman" w:cs="Times New Roman"/>
          <w:bCs/>
          <w:sz w:val="24"/>
          <w:szCs w:val="24"/>
        </w:rPr>
      </w:pPr>
      <w:r w:rsidRPr="00EC1AB2">
        <w:rPr>
          <w:rFonts w:ascii="Times New Roman" w:hAnsi="Times New Roman" w:cs="Times New Roman"/>
          <w:sz w:val="24"/>
          <w:szCs w:val="24"/>
        </w:rPr>
        <w:t xml:space="preserve">http://www.pwc.com/it/en/services/transactions/economic-impact-private-equity-venture-capital.jhtml </w:t>
      </w:r>
      <w:r w:rsidRPr="00EC1AB2">
        <w:rPr>
          <w:rFonts w:ascii="Times New Roman" w:eastAsia="+mn-ea" w:hAnsi="Times New Roman" w:cs="Times New Roman"/>
          <w:bCs/>
          <w:sz w:val="24"/>
          <w:szCs w:val="24"/>
        </w:rPr>
        <w:t xml:space="preserve"> [žiūrėta 2011 03 01]</w:t>
      </w:r>
    </w:p>
    <w:p w:rsidR="00E26097" w:rsidRPr="00EC1AB2" w:rsidRDefault="00E26097" w:rsidP="00E26097">
      <w:pPr>
        <w:pStyle w:val="ListParagraph"/>
        <w:numPr>
          <w:ilvl w:val="0"/>
          <w:numId w:val="15"/>
        </w:numPr>
        <w:spacing w:after="0" w:line="360" w:lineRule="auto"/>
        <w:jc w:val="both"/>
        <w:rPr>
          <w:rFonts w:ascii="Times New Roman" w:eastAsia="+mn-ea" w:hAnsi="Times New Roman" w:cs="Times New Roman"/>
          <w:bCs/>
          <w:sz w:val="24"/>
          <w:szCs w:val="24"/>
        </w:rPr>
      </w:pPr>
      <w:r w:rsidRPr="00EC1AB2">
        <w:rPr>
          <w:rFonts w:ascii="Times New Roman" w:eastAsia="+mn-ea" w:hAnsi="Times New Roman" w:cs="Times New Roman"/>
          <w:b/>
          <w:bCs/>
          <w:sz w:val="24"/>
          <w:szCs w:val="24"/>
        </w:rPr>
        <w:t>Raidla Lejins &amp; Norcous</w:t>
      </w:r>
      <w:r w:rsidR="00CC1E52" w:rsidRPr="00EC1AB2">
        <w:rPr>
          <w:rFonts w:ascii="Times New Roman" w:eastAsia="+mn-ea" w:hAnsi="Times New Roman" w:cs="Times New Roman"/>
          <w:bCs/>
          <w:sz w:val="24"/>
          <w:szCs w:val="24"/>
        </w:rPr>
        <w:t>, Pranešimas apie AIFV d</w:t>
      </w:r>
      <w:r w:rsidRPr="00EC1AB2">
        <w:rPr>
          <w:rFonts w:ascii="Times New Roman" w:eastAsia="+mn-ea" w:hAnsi="Times New Roman" w:cs="Times New Roman"/>
          <w:bCs/>
          <w:sz w:val="24"/>
          <w:szCs w:val="24"/>
        </w:rPr>
        <w:t xml:space="preserve">irektyvą, 2010. </w:t>
      </w:r>
      <w:r w:rsidRPr="00EC1AB2">
        <w:rPr>
          <w:rFonts w:ascii="Times New Roman" w:eastAsia="Times New Roman" w:hAnsi="Times New Roman" w:cs="Times New Roman"/>
          <w:iCs/>
          <w:color w:val="222222"/>
          <w:sz w:val="24"/>
          <w:szCs w:val="24"/>
          <w:lang w:eastAsia="lt-LT"/>
        </w:rPr>
        <w:t>www.balticvisiongroup.org/wp-content/.../Irmantas-Norkus-RLN.ppt [žiūrėta 2010 11 25]</w:t>
      </w:r>
    </w:p>
    <w:p w:rsidR="00E26097" w:rsidRPr="00EC1AB2" w:rsidRDefault="00E26097" w:rsidP="00E26097">
      <w:pPr>
        <w:numPr>
          <w:ilvl w:val="0"/>
          <w:numId w:val="15"/>
        </w:num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b/>
          <w:sz w:val="24"/>
          <w:szCs w:val="24"/>
        </w:rPr>
        <w:t>Renneboog L., Simons T.</w:t>
      </w:r>
      <w:r w:rsidRPr="00EC1AB2">
        <w:rPr>
          <w:rFonts w:ascii="Times New Roman" w:hAnsi="Times New Roman" w:cs="Times New Roman"/>
          <w:sz w:val="24"/>
          <w:szCs w:val="24"/>
        </w:rPr>
        <w:t xml:space="preserve">, Public-to-private transactions: LBOs, MBOs, MBIs iand IBOs// No. 2005-98 </w:t>
      </w:r>
      <w:hyperlink r:id="rId45" w:history="1">
        <w:r w:rsidRPr="00EC1AB2">
          <w:rPr>
            <w:rStyle w:val="Hyperlink"/>
            <w:rFonts w:ascii="Times New Roman" w:hAnsi="Times New Roman" w:cs="Times New Roman"/>
            <w:color w:val="auto"/>
            <w:sz w:val="24"/>
            <w:szCs w:val="24"/>
          </w:rPr>
          <w:t>http://arno.uvt.nl/show.cgi?fid=53796</w:t>
        </w:r>
      </w:hyperlink>
      <w:r w:rsidRPr="00EC1AB2">
        <w:rPr>
          <w:rFonts w:ascii="Times New Roman" w:hAnsi="Times New Roman" w:cs="Times New Roman"/>
          <w:sz w:val="24"/>
          <w:szCs w:val="24"/>
        </w:rPr>
        <w:t xml:space="preserve"> [žiūrėta 2010 12 15]</w:t>
      </w:r>
    </w:p>
    <w:p w:rsidR="00E26097" w:rsidRPr="00EC1AB2" w:rsidRDefault="00E26097" w:rsidP="00E26097">
      <w:pPr>
        <w:numPr>
          <w:ilvl w:val="0"/>
          <w:numId w:val="15"/>
        </w:numPr>
        <w:spacing w:after="0" w:line="360" w:lineRule="auto"/>
        <w:jc w:val="both"/>
        <w:rPr>
          <w:rFonts w:ascii="Times New Roman" w:hAnsi="Times New Roman" w:cs="Times New Roman"/>
          <w:sz w:val="24"/>
          <w:szCs w:val="24"/>
        </w:rPr>
      </w:pPr>
      <w:r w:rsidRPr="00EC1AB2">
        <w:rPr>
          <w:rFonts w:ascii="Times New Roman" w:hAnsi="Times New Roman" w:cs="Times New Roman"/>
          <w:b/>
          <w:sz w:val="24"/>
          <w:szCs w:val="24"/>
        </w:rPr>
        <w:t>Rimas J.</w:t>
      </w:r>
      <w:r w:rsidRPr="00EC1AB2">
        <w:rPr>
          <w:rFonts w:ascii="Times New Roman" w:hAnsi="Times New Roman" w:cs="Times New Roman"/>
          <w:sz w:val="24"/>
          <w:szCs w:val="24"/>
        </w:rPr>
        <w:t xml:space="preserve"> Privataus kapitalo sandoriai: bendrovių teisės aspektai, 2010. – Vilnius: Vilniaus universitetas. [žiūrėta 2011 03 04]</w:t>
      </w:r>
    </w:p>
    <w:p w:rsidR="00E26097" w:rsidRPr="00EC1AB2" w:rsidRDefault="00E26097" w:rsidP="00E26097">
      <w:pPr>
        <w:numPr>
          <w:ilvl w:val="0"/>
          <w:numId w:val="15"/>
        </w:numPr>
        <w:spacing w:after="0" w:line="360" w:lineRule="auto"/>
        <w:jc w:val="both"/>
        <w:rPr>
          <w:rFonts w:ascii="Times New Roman" w:hAnsi="Times New Roman" w:cs="Times New Roman"/>
          <w:sz w:val="24"/>
          <w:szCs w:val="24"/>
        </w:rPr>
      </w:pPr>
      <w:r w:rsidRPr="00EC1AB2">
        <w:rPr>
          <w:rFonts w:ascii="Times New Roman" w:hAnsi="Times New Roman" w:cs="Times New Roman"/>
          <w:b/>
          <w:sz w:val="24"/>
          <w:szCs w:val="24"/>
        </w:rPr>
        <w:t>Romain A., Pottelsberghe B.Van.</w:t>
      </w:r>
      <w:r w:rsidRPr="00EC1AB2">
        <w:rPr>
          <w:rFonts w:ascii="Times New Roman" w:hAnsi="Times New Roman" w:cs="Times New Roman"/>
          <w:sz w:val="24"/>
          <w:szCs w:val="24"/>
          <w:lang w:eastAsia="lt-LT"/>
        </w:rPr>
        <w:t xml:space="preserve"> The Determinants of Venture Capital:Additional Evidence, 2004. http://www.bundesbank.de/download/volkswirtschaft/dkp/2004/200419</w:t>
      </w:r>
    </w:p>
    <w:p w:rsidR="00E26097" w:rsidRPr="00EC1AB2" w:rsidRDefault="00E26097" w:rsidP="00E26097">
      <w:pPr>
        <w:spacing w:after="0" w:line="360" w:lineRule="auto"/>
        <w:ind w:left="720"/>
        <w:jc w:val="both"/>
        <w:rPr>
          <w:rFonts w:ascii="Times New Roman" w:hAnsi="Times New Roman" w:cs="Times New Roman"/>
          <w:sz w:val="24"/>
          <w:szCs w:val="24"/>
        </w:rPr>
      </w:pPr>
      <w:r w:rsidRPr="00EC1AB2">
        <w:rPr>
          <w:rFonts w:ascii="Times New Roman" w:hAnsi="Times New Roman" w:cs="Times New Roman"/>
          <w:sz w:val="24"/>
          <w:szCs w:val="24"/>
          <w:lang w:eastAsia="lt-LT"/>
        </w:rPr>
        <w:t>dkp.pdf [žiūrėta 2011 05 16].</w:t>
      </w:r>
    </w:p>
    <w:p w:rsidR="00E26097" w:rsidRPr="00EC1AB2" w:rsidRDefault="00E26097" w:rsidP="00E26097">
      <w:pPr>
        <w:numPr>
          <w:ilvl w:val="0"/>
          <w:numId w:val="15"/>
        </w:numPr>
        <w:spacing w:after="0" w:line="360" w:lineRule="auto"/>
        <w:jc w:val="both"/>
        <w:rPr>
          <w:rFonts w:ascii="Times New Roman" w:hAnsi="Times New Roman" w:cs="Times New Roman"/>
          <w:sz w:val="24"/>
          <w:szCs w:val="24"/>
        </w:rPr>
      </w:pPr>
      <w:r w:rsidRPr="00EC1AB2">
        <w:rPr>
          <w:rFonts w:ascii="Times New Roman" w:hAnsi="Times New Roman" w:cs="Times New Roman"/>
          <w:b/>
          <w:sz w:val="24"/>
          <w:szCs w:val="24"/>
        </w:rPr>
        <w:t xml:space="preserve">Romain A., Pottelsberghe B.Van. </w:t>
      </w:r>
      <w:r w:rsidRPr="00EC1AB2">
        <w:rPr>
          <w:rFonts w:ascii="Times New Roman" w:hAnsi="Times New Roman" w:cs="Times New Roman"/>
          <w:sz w:val="24"/>
          <w:szCs w:val="24"/>
        </w:rPr>
        <w:t>The economic impact of venture capital, 2003</w:t>
      </w:r>
    </w:p>
    <w:p w:rsidR="00E26097" w:rsidRPr="00EC1AB2" w:rsidRDefault="00E26097" w:rsidP="00E26097">
      <w:pPr>
        <w:spacing w:after="0" w:line="360" w:lineRule="auto"/>
        <w:ind w:left="720"/>
        <w:jc w:val="both"/>
        <w:rPr>
          <w:rFonts w:ascii="Times New Roman" w:hAnsi="Times New Roman" w:cs="Times New Roman"/>
          <w:sz w:val="24"/>
          <w:szCs w:val="24"/>
        </w:rPr>
      </w:pPr>
      <w:r w:rsidRPr="00EC1AB2">
        <w:rPr>
          <w:rFonts w:ascii="Times New Roman" w:hAnsi="Times New Roman" w:cs="Times New Roman"/>
          <w:sz w:val="24"/>
          <w:szCs w:val="24"/>
        </w:rPr>
        <w:t>http://ideas.repec.org/p/sol/wpaper/04-014.html [žiūrėta 2011 0510].</w:t>
      </w:r>
    </w:p>
    <w:p w:rsidR="00E26097" w:rsidRPr="00EC1AB2" w:rsidRDefault="00E26097" w:rsidP="00E26097">
      <w:pPr>
        <w:pStyle w:val="ListParagraph"/>
        <w:numPr>
          <w:ilvl w:val="0"/>
          <w:numId w:val="15"/>
        </w:numPr>
        <w:spacing w:after="0" w:line="360" w:lineRule="auto"/>
        <w:jc w:val="both"/>
        <w:rPr>
          <w:rFonts w:ascii="Times New Roman" w:hAnsi="Times New Roman" w:cs="Times New Roman"/>
          <w:sz w:val="24"/>
          <w:szCs w:val="24"/>
        </w:rPr>
      </w:pPr>
      <w:r w:rsidRPr="00EC1AB2">
        <w:rPr>
          <w:rFonts w:ascii="Times New Roman" w:hAnsi="Times New Roman" w:cs="Times New Roman"/>
          <w:b/>
          <w:sz w:val="24"/>
          <w:szCs w:val="24"/>
        </w:rPr>
        <w:t xml:space="preserve">Salary Comparison. </w:t>
      </w:r>
      <w:r w:rsidRPr="00EC1AB2">
        <w:rPr>
          <w:rFonts w:ascii="Times New Roman" w:hAnsi="Times New Roman" w:cs="Times New Roman"/>
          <w:sz w:val="24"/>
          <w:szCs w:val="24"/>
        </w:rPr>
        <w:t>http://www.eui.eu/ProgrammesAndFellowships/ AcademicCareers</w:t>
      </w:r>
    </w:p>
    <w:p w:rsidR="00E26097" w:rsidRPr="00EC1AB2" w:rsidRDefault="00E26097" w:rsidP="00E26097">
      <w:pPr>
        <w:pStyle w:val="ListParagraph"/>
        <w:autoSpaceDE w:val="0"/>
        <w:autoSpaceDN w:val="0"/>
        <w:adjustRightInd w:val="0"/>
        <w:spacing w:after="0" w:line="360" w:lineRule="auto"/>
        <w:jc w:val="both"/>
        <w:rPr>
          <w:rFonts w:ascii="Times New Roman" w:hAnsi="Times New Roman" w:cs="Times New Roman"/>
          <w:b/>
          <w:sz w:val="24"/>
          <w:szCs w:val="24"/>
        </w:rPr>
      </w:pPr>
      <w:r w:rsidRPr="00EC1AB2">
        <w:rPr>
          <w:rFonts w:ascii="Times New Roman" w:hAnsi="Times New Roman" w:cs="Times New Roman"/>
          <w:sz w:val="24"/>
          <w:szCs w:val="24"/>
        </w:rPr>
        <w:t>Observatory/CareerComparisons/SalaryComparisons.aspx#SalariesExperienceGender [žiūrėta 2012 02 28]</w:t>
      </w:r>
    </w:p>
    <w:p w:rsidR="00E26097" w:rsidRPr="00EC1AB2" w:rsidRDefault="00E26097" w:rsidP="00E26097">
      <w:pPr>
        <w:pStyle w:val="ListParagraph"/>
        <w:numPr>
          <w:ilvl w:val="0"/>
          <w:numId w:val="15"/>
        </w:numPr>
        <w:spacing w:after="0" w:line="360" w:lineRule="auto"/>
        <w:jc w:val="both"/>
        <w:rPr>
          <w:rFonts w:ascii="Times New Roman" w:hAnsi="Times New Roman" w:cs="Times New Roman"/>
          <w:sz w:val="24"/>
          <w:szCs w:val="24"/>
        </w:rPr>
      </w:pPr>
      <w:r w:rsidRPr="00EC1AB2">
        <w:rPr>
          <w:rFonts w:ascii="Times New Roman" w:hAnsi="Times New Roman" w:cs="Times New Roman"/>
          <w:b/>
          <w:sz w:val="24"/>
          <w:szCs w:val="24"/>
        </w:rPr>
        <w:lastRenderedPageBreak/>
        <w:t>Schertler, A.</w:t>
      </w:r>
      <w:r w:rsidRPr="00EC1AB2">
        <w:rPr>
          <w:rFonts w:ascii="Times New Roman" w:hAnsi="Times New Roman" w:cs="Times New Roman"/>
          <w:sz w:val="24"/>
          <w:szCs w:val="24"/>
        </w:rPr>
        <w:t xml:space="preserve">  Venture Capital Contracts: A Survey of the Recent Literature // Kiel Institute for the World Economy. – Kiel Working Paper No. 1017 , 2002. </w:t>
      </w:r>
      <w:hyperlink r:id="rId46" w:history="1">
        <w:r w:rsidRPr="00EC1AB2">
          <w:rPr>
            <w:rStyle w:val="Hyperlink"/>
            <w:rFonts w:ascii="Times New Roman" w:hAnsi="Times New Roman" w:cs="Times New Roman"/>
            <w:color w:val="auto"/>
            <w:sz w:val="24"/>
            <w:szCs w:val="24"/>
          </w:rPr>
          <w:t>http://www.ifw-members.ifw-kiel.de/publications/venture-capital-contracts-a-survey-of-the-recent-literature/kap1017.pdf</w:t>
        </w:r>
      </w:hyperlink>
      <w:r w:rsidRPr="00EC1AB2">
        <w:rPr>
          <w:rFonts w:ascii="Times New Roman" w:hAnsi="Times New Roman" w:cs="Times New Roman"/>
          <w:sz w:val="24"/>
          <w:szCs w:val="24"/>
        </w:rPr>
        <w:t xml:space="preserve"> [žiūrėta 2011 01 10]</w:t>
      </w:r>
    </w:p>
    <w:p w:rsidR="00E26097" w:rsidRPr="00EC1AB2" w:rsidRDefault="00E26097" w:rsidP="00E26097">
      <w:pPr>
        <w:numPr>
          <w:ilvl w:val="0"/>
          <w:numId w:val="15"/>
        </w:num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b/>
          <w:sz w:val="24"/>
          <w:szCs w:val="24"/>
        </w:rPr>
        <w:t>Snieška V.</w:t>
      </w:r>
      <w:r w:rsidRPr="00EC1AB2">
        <w:rPr>
          <w:rFonts w:ascii="Times New Roman" w:hAnsi="Times New Roman" w:cs="Times New Roman"/>
          <w:sz w:val="24"/>
          <w:szCs w:val="24"/>
        </w:rPr>
        <w:t xml:space="preserve">, </w:t>
      </w:r>
      <w:r w:rsidRPr="00EC1AB2">
        <w:rPr>
          <w:rFonts w:ascii="Times New Roman" w:hAnsi="Times New Roman" w:cs="Times New Roman"/>
          <w:b/>
          <w:sz w:val="24"/>
          <w:szCs w:val="24"/>
        </w:rPr>
        <w:t>Venckuvienė V.,</w:t>
      </w:r>
      <w:r w:rsidRPr="00EC1AB2">
        <w:rPr>
          <w:rFonts w:ascii="Times New Roman" w:hAnsi="Times New Roman" w:cs="Times New Roman"/>
          <w:sz w:val="24"/>
          <w:szCs w:val="24"/>
        </w:rPr>
        <w:t xml:space="preserve"> Venture capital impact on the region‘s competitiveness, 2009.</w:t>
      </w:r>
    </w:p>
    <w:p w:rsidR="00E26097" w:rsidRPr="00EC1AB2" w:rsidRDefault="00E26097" w:rsidP="00E26097">
      <w:pPr>
        <w:autoSpaceDE w:val="0"/>
        <w:autoSpaceDN w:val="0"/>
        <w:adjustRightInd w:val="0"/>
        <w:spacing w:after="0" w:line="360" w:lineRule="auto"/>
        <w:ind w:left="360" w:firstLine="360"/>
        <w:jc w:val="both"/>
        <w:rPr>
          <w:rFonts w:ascii="Times New Roman" w:hAnsi="Times New Roman" w:cs="Times New Roman"/>
          <w:sz w:val="24"/>
          <w:szCs w:val="24"/>
        </w:rPr>
      </w:pPr>
      <w:r w:rsidRPr="00EC1AB2">
        <w:rPr>
          <w:rFonts w:ascii="Times New Roman" w:hAnsi="Times New Roman" w:cs="Times New Roman"/>
          <w:sz w:val="24"/>
          <w:szCs w:val="24"/>
        </w:rPr>
        <w:t xml:space="preserve">http://internet.ktu.lt/lt/mokslas/zurnalai/ekovad/ekovad14.html [žiūrėta 2011 03 18] </w:t>
      </w:r>
    </w:p>
    <w:p w:rsidR="00E26097" w:rsidRPr="00EC1AB2" w:rsidRDefault="00E26097" w:rsidP="00E26097">
      <w:pPr>
        <w:pStyle w:val="ListParagraph"/>
        <w:numPr>
          <w:ilvl w:val="0"/>
          <w:numId w:val="15"/>
        </w:num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b/>
          <w:sz w:val="24"/>
          <w:szCs w:val="24"/>
        </w:rPr>
        <w:t>Snieška V., Venckuvienė V.</w:t>
      </w:r>
      <w:r w:rsidRPr="00EC1AB2">
        <w:rPr>
          <w:rFonts w:ascii="Times New Roman" w:hAnsi="Times New Roman" w:cs="Times New Roman"/>
          <w:sz w:val="24"/>
          <w:szCs w:val="24"/>
        </w:rPr>
        <w:t>, Hybrid Venture Capital Funds in Lithuania: Motives, Factors and Present State of Development, 2011. http://www.inzeko.ktu.lt/index.php/EE/article</w:t>
      </w:r>
    </w:p>
    <w:p w:rsidR="00E26097" w:rsidRPr="00EC1AB2" w:rsidRDefault="00E26097" w:rsidP="00E26097">
      <w:pPr>
        <w:pStyle w:val="ListParagraph"/>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sz w:val="24"/>
          <w:szCs w:val="24"/>
        </w:rPr>
        <w:t>/view/312 [žiūrėta 2011 03 23].</w:t>
      </w:r>
    </w:p>
    <w:p w:rsidR="00E26097" w:rsidRPr="00EC1AB2" w:rsidRDefault="00E26097" w:rsidP="00E26097">
      <w:pPr>
        <w:pStyle w:val="ListParagraph"/>
        <w:numPr>
          <w:ilvl w:val="0"/>
          <w:numId w:val="15"/>
        </w:num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b/>
          <w:bCs/>
          <w:sz w:val="24"/>
          <w:szCs w:val="24"/>
        </w:rPr>
        <w:t xml:space="preserve">Strategijos „Europa 2020“ pavyzdinė iniciatyva „Inovacijų sąjunga“ </w:t>
      </w:r>
      <w:r w:rsidRPr="00EC1AB2">
        <w:rPr>
          <w:rFonts w:ascii="Times New Roman" w:hAnsi="Times New Roman" w:cs="Times New Roman"/>
          <w:sz w:val="24"/>
          <w:szCs w:val="24"/>
        </w:rPr>
        <w:t>http://www.mita.lt/</w:t>
      </w:r>
    </w:p>
    <w:p w:rsidR="00E26097" w:rsidRPr="00EC1AB2" w:rsidRDefault="00E26097" w:rsidP="00E26097">
      <w:pPr>
        <w:pStyle w:val="ListParagraph"/>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sz w:val="24"/>
          <w:szCs w:val="24"/>
        </w:rPr>
        <w:t>uploads/documents/intelektine_nuosavybe/inovaciju_sajunga.pdf [žiūrėta 2012 01 24]</w:t>
      </w:r>
    </w:p>
    <w:p w:rsidR="00E26097" w:rsidRPr="00EC1AB2" w:rsidRDefault="00E26097" w:rsidP="00E26097">
      <w:pPr>
        <w:numPr>
          <w:ilvl w:val="0"/>
          <w:numId w:val="15"/>
        </w:numPr>
        <w:spacing w:after="0" w:line="360" w:lineRule="auto"/>
        <w:jc w:val="both"/>
        <w:rPr>
          <w:rFonts w:ascii="Times New Roman" w:hAnsi="Times New Roman" w:cs="Times New Roman"/>
          <w:b/>
          <w:sz w:val="24"/>
          <w:szCs w:val="24"/>
        </w:rPr>
      </w:pPr>
      <w:r w:rsidRPr="00EC1AB2">
        <w:rPr>
          <w:rFonts w:ascii="Times New Roman" w:hAnsi="Times New Roman" w:cs="Times New Roman"/>
          <w:b/>
          <w:sz w:val="24"/>
          <w:szCs w:val="24"/>
        </w:rPr>
        <w:t xml:space="preserve">Strazdas A. ir kt. </w:t>
      </w:r>
      <w:r w:rsidRPr="00EC1AB2">
        <w:rPr>
          <w:rFonts w:ascii="Times New Roman" w:hAnsi="Times New Roman" w:cs="Times New Roman"/>
          <w:sz w:val="24"/>
          <w:szCs w:val="24"/>
        </w:rPr>
        <w:t xml:space="preserve">Inovacijos, finansavimas, rizikos kapitalas. – Vilnius: Inovacijų centras, 2003. – 49 p. </w:t>
      </w:r>
      <w:hyperlink r:id="rId47" w:history="1">
        <w:r w:rsidRPr="00EC1AB2">
          <w:rPr>
            <w:rStyle w:val="Hyperlink"/>
            <w:rFonts w:ascii="Times New Roman" w:hAnsi="Times New Roman" w:cs="Times New Roman"/>
            <w:color w:val="auto"/>
            <w:sz w:val="24"/>
            <w:szCs w:val="24"/>
          </w:rPr>
          <w:t>http://www.inovacijos.lt/inopagalba/cms/65lt.pdf</w:t>
        </w:r>
      </w:hyperlink>
      <w:r w:rsidRPr="00EC1AB2">
        <w:rPr>
          <w:rFonts w:ascii="Times New Roman" w:hAnsi="Times New Roman" w:cs="Times New Roman"/>
          <w:sz w:val="24"/>
          <w:szCs w:val="24"/>
        </w:rPr>
        <w:t xml:space="preserve"> [žiūrėta 2010 09 05].</w:t>
      </w:r>
    </w:p>
    <w:p w:rsidR="00E26097" w:rsidRPr="00EC1AB2" w:rsidRDefault="00E26097" w:rsidP="00E26097">
      <w:pPr>
        <w:pStyle w:val="ListParagraph"/>
        <w:numPr>
          <w:ilvl w:val="0"/>
          <w:numId w:val="15"/>
        </w:numPr>
        <w:autoSpaceDE w:val="0"/>
        <w:autoSpaceDN w:val="0"/>
        <w:adjustRightInd w:val="0"/>
        <w:spacing w:after="0" w:line="360" w:lineRule="auto"/>
        <w:jc w:val="both"/>
        <w:rPr>
          <w:rFonts w:ascii="Times New Roman" w:hAnsi="Times New Roman" w:cs="Times New Roman"/>
          <w:b/>
          <w:sz w:val="24"/>
          <w:szCs w:val="24"/>
        </w:rPr>
      </w:pPr>
      <w:r w:rsidRPr="00EC1AB2">
        <w:rPr>
          <w:rFonts w:ascii="Times New Roman" w:hAnsi="Times New Roman" w:cs="Times New Roman"/>
          <w:b/>
          <w:bCs/>
          <w:sz w:val="24"/>
          <w:szCs w:val="24"/>
          <w:lang w:eastAsia="lt-LT"/>
        </w:rPr>
        <w:t xml:space="preserve">The Global Venture Capital and Private Equity Country Attractiveness Index 2011 annual. </w:t>
      </w:r>
      <w:r w:rsidRPr="00EC1AB2">
        <w:rPr>
          <w:rFonts w:ascii="Times New Roman" w:hAnsi="Times New Roman" w:cs="Times New Roman"/>
          <w:bCs/>
          <w:sz w:val="24"/>
          <w:szCs w:val="24"/>
          <w:lang w:eastAsia="lt-LT"/>
        </w:rPr>
        <w:t>http://blog.iese.edu/vcpeindex/the-2011-annual</w:t>
      </w:r>
      <w:r w:rsidRPr="00EC1AB2">
        <w:rPr>
          <w:rFonts w:ascii="Times New Roman" w:hAnsi="Times New Roman" w:cs="Times New Roman"/>
          <w:b/>
          <w:bCs/>
          <w:sz w:val="24"/>
          <w:szCs w:val="24"/>
          <w:lang w:eastAsia="lt-LT"/>
        </w:rPr>
        <w:t xml:space="preserve">/ </w:t>
      </w:r>
      <w:r w:rsidRPr="00EC1AB2">
        <w:rPr>
          <w:rFonts w:ascii="Times New Roman" w:hAnsi="Times New Roman" w:cs="Times New Roman"/>
          <w:bCs/>
          <w:sz w:val="24"/>
          <w:szCs w:val="24"/>
          <w:lang w:eastAsia="lt-LT"/>
        </w:rPr>
        <w:t>[žiūrėta 2012 03 02]</w:t>
      </w:r>
    </w:p>
    <w:p w:rsidR="00E26097" w:rsidRPr="00EC1AB2" w:rsidRDefault="00E26097" w:rsidP="00E26097">
      <w:pPr>
        <w:pStyle w:val="ListParagraph"/>
        <w:numPr>
          <w:ilvl w:val="0"/>
          <w:numId w:val="15"/>
        </w:numPr>
        <w:spacing w:after="0" w:line="360" w:lineRule="auto"/>
        <w:jc w:val="both"/>
        <w:rPr>
          <w:rFonts w:ascii="Times New Roman" w:hAnsi="Times New Roman" w:cs="Times New Roman"/>
          <w:sz w:val="24"/>
          <w:szCs w:val="24"/>
        </w:rPr>
      </w:pPr>
      <w:r w:rsidRPr="00EC1AB2">
        <w:rPr>
          <w:rFonts w:ascii="Times New Roman" w:hAnsi="Times New Roman" w:cs="Times New Roman"/>
          <w:b/>
          <w:bCs/>
          <w:sz w:val="24"/>
          <w:szCs w:val="24"/>
        </w:rPr>
        <w:t>Tolppanen A., Russel C.,</w:t>
      </w:r>
      <w:r w:rsidRPr="00EC1AB2">
        <w:rPr>
          <w:rFonts w:ascii="Times New Roman" w:hAnsi="Times New Roman" w:cs="Times New Roman"/>
          <w:bCs/>
          <w:sz w:val="24"/>
          <w:szCs w:val="24"/>
        </w:rPr>
        <w:t xml:space="preserve"> Survey of the Economic and Social Impact of Management Buyouts &amp; Buyins in Europe, 2002. </w:t>
      </w:r>
    </w:p>
    <w:p w:rsidR="00E26097" w:rsidRPr="00EC1AB2" w:rsidRDefault="00EC1AB2" w:rsidP="00E26097">
      <w:pPr>
        <w:pStyle w:val="ListParagraph"/>
        <w:spacing w:after="0" w:line="360" w:lineRule="auto"/>
        <w:jc w:val="both"/>
        <w:rPr>
          <w:rFonts w:ascii="Times New Roman" w:hAnsi="Times New Roman" w:cs="Times New Roman"/>
          <w:sz w:val="24"/>
          <w:szCs w:val="24"/>
        </w:rPr>
      </w:pPr>
      <w:hyperlink r:id="rId48" w:history="1">
        <w:r w:rsidR="00E26097" w:rsidRPr="00EC1AB2">
          <w:rPr>
            <w:rStyle w:val="Hyperlink"/>
            <w:rFonts w:ascii="Times New Roman" w:hAnsi="Times New Roman" w:cs="Times New Roman"/>
            <w:bCs/>
            <w:color w:val="auto"/>
            <w:sz w:val="24"/>
            <w:szCs w:val="24"/>
          </w:rPr>
          <w:t>http://www.evca.eu/uploadedFiles/Home/Knowledge_Center/EVCA_Research/Economical_Impact/EconomicImpactBuyouts.pdf</w:t>
        </w:r>
      </w:hyperlink>
      <w:r w:rsidR="00E26097" w:rsidRPr="00EC1AB2">
        <w:rPr>
          <w:rFonts w:ascii="Times New Roman" w:hAnsi="Times New Roman" w:cs="Times New Roman"/>
          <w:bCs/>
          <w:sz w:val="24"/>
          <w:szCs w:val="24"/>
        </w:rPr>
        <w:t xml:space="preserve"> </w:t>
      </w:r>
      <w:r w:rsidR="00E26097" w:rsidRPr="00EC1AB2">
        <w:rPr>
          <w:rFonts w:ascii="Times New Roman" w:hAnsi="Times New Roman" w:cs="Times New Roman"/>
          <w:sz w:val="24"/>
          <w:szCs w:val="24"/>
        </w:rPr>
        <w:t>[žiūrėta 2011 01 10]</w:t>
      </w:r>
    </w:p>
    <w:p w:rsidR="00E26097" w:rsidRPr="00EC1AB2" w:rsidRDefault="00E26097" w:rsidP="00E26097">
      <w:pPr>
        <w:pStyle w:val="ListParagraph"/>
        <w:numPr>
          <w:ilvl w:val="0"/>
          <w:numId w:val="15"/>
        </w:numPr>
        <w:spacing w:after="0" w:line="360" w:lineRule="auto"/>
        <w:jc w:val="both"/>
        <w:rPr>
          <w:rFonts w:ascii="Times New Roman" w:hAnsi="Times New Roman" w:cs="Times New Roman"/>
          <w:sz w:val="24"/>
          <w:szCs w:val="24"/>
        </w:rPr>
      </w:pPr>
      <w:r w:rsidRPr="00EC1AB2">
        <w:rPr>
          <w:rFonts w:ascii="Times New Roman" w:hAnsi="Times New Roman" w:cs="Times New Roman"/>
          <w:b/>
          <w:sz w:val="24"/>
          <w:szCs w:val="24"/>
        </w:rPr>
        <w:t>Valentinavičius V.</w:t>
      </w:r>
      <w:r w:rsidRPr="00EC1AB2">
        <w:rPr>
          <w:rFonts w:ascii="Times New Roman" w:hAnsi="Times New Roman" w:cs="Times New Roman"/>
          <w:sz w:val="24"/>
          <w:szCs w:val="24"/>
        </w:rPr>
        <w:t>, Inovacinio verslo plėtra: problemos ir galimybės, 2006. http://www.leidykla.vu.lt/fileadmin/Ekonomika/74/Stasys_Valentinavicius..pdf [žiūrėta 2011 04 28]</w:t>
      </w:r>
    </w:p>
    <w:p w:rsidR="00E26097" w:rsidRPr="00EC1AB2" w:rsidRDefault="00E26097" w:rsidP="00E26097">
      <w:pPr>
        <w:pStyle w:val="Default"/>
        <w:numPr>
          <w:ilvl w:val="0"/>
          <w:numId w:val="15"/>
        </w:numPr>
        <w:spacing w:line="360" w:lineRule="auto"/>
        <w:jc w:val="both"/>
        <w:rPr>
          <w:color w:val="auto"/>
          <w:lang w:val="lt-LT"/>
        </w:rPr>
      </w:pPr>
      <w:r w:rsidRPr="00EC1AB2">
        <w:rPr>
          <w:b/>
          <w:color w:val="auto"/>
          <w:lang w:val="lt-LT"/>
        </w:rPr>
        <w:t>Van Sebroeck, H</w:t>
      </w:r>
      <w:r w:rsidRPr="00EC1AB2">
        <w:rPr>
          <w:color w:val="auto"/>
          <w:lang w:val="lt-LT"/>
        </w:rPr>
        <w:t xml:space="preserve">. The financing of innovation with venture capital. Federal Planning Bureau. – Brussels., 2002 </w:t>
      </w:r>
      <w:hyperlink r:id="rId49" w:history="1">
        <w:r w:rsidRPr="00EC1AB2">
          <w:rPr>
            <w:rStyle w:val="Hyperlink"/>
            <w:color w:val="auto"/>
            <w:lang w:val="lt-LT"/>
          </w:rPr>
          <w:t>http://www.plan.be/admin/uploaded/200605091448024.WP0009en.pdf</w:t>
        </w:r>
      </w:hyperlink>
      <w:r w:rsidRPr="00EC1AB2">
        <w:rPr>
          <w:color w:val="auto"/>
          <w:lang w:val="lt-LT"/>
        </w:rPr>
        <w:t xml:space="preserve"> [žiūrėta 2010 12 14]</w:t>
      </w:r>
    </w:p>
    <w:p w:rsidR="00E26097" w:rsidRPr="00EC1AB2" w:rsidRDefault="00E26097" w:rsidP="00E26097">
      <w:pPr>
        <w:numPr>
          <w:ilvl w:val="0"/>
          <w:numId w:val="15"/>
        </w:num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b/>
          <w:sz w:val="24"/>
          <w:szCs w:val="24"/>
        </w:rPr>
        <w:t>Walker T., Pukthuanthong K</w:t>
      </w:r>
      <w:r w:rsidRPr="00EC1AB2">
        <w:rPr>
          <w:rFonts w:ascii="Times New Roman" w:hAnsi="Times New Roman" w:cs="Times New Roman"/>
          <w:sz w:val="24"/>
          <w:szCs w:val="24"/>
        </w:rPr>
        <w:t xml:space="preserve">. Venture capital in China: a culture shock for Western investors//Management Decision, 2007, Nr. 4. </w:t>
      </w:r>
      <w:hyperlink r:id="rId50" w:history="1">
        <w:r w:rsidRPr="00EC1AB2">
          <w:rPr>
            <w:rStyle w:val="Hyperlink"/>
            <w:rFonts w:ascii="Times New Roman" w:hAnsi="Times New Roman" w:cs="Times New Roman"/>
            <w:color w:val="auto"/>
            <w:sz w:val="24"/>
            <w:szCs w:val="24"/>
          </w:rPr>
          <w:t>http://www.emeraldinsight.com/journals.htm?issn=00251747&amp;volume=45&amp;issue =4&amp;articleid=1602964</w:t>
        </w:r>
      </w:hyperlink>
      <w:r w:rsidRPr="00EC1AB2">
        <w:rPr>
          <w:rFonts w:ascii="Times New Roman" w:hAnsi="Times New Roman" w:cs="Times New Roman"/>
          <w:sz w:val="24"/>
          <w:szCs w:val="24"/>
        </w:rPr>
        <w:t xml:space="preserve"> [žiūrėta 2010 09 11]</w:t>
      </w:r>
    </w:p>
    <w:p w:rsidR="00E26097" w:rsidRPr="00EC1AB2" w:rsidRDefault="00E26097" w:rsidP="00E26097">
      <w:pPr>
        <w:pStyle w:val="ListParagraph"/>
        <w:numPr>
          <w:ilvl w:val="0"/>
          <w:numId w:val="15"/>
        </w:num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b/>
          <w:sz w:val="24"/>
          <w:szCs w:val="24"/>
        </w:rPr>
        <w:t xml:space="preserve">World Competitiveness Report 2010-2011. </w:t>
      </w:r>
      <w:r w:rsidRPr="00EC1AB2">
        <w:rPr>
          <w:rFonts w:ascii="Times New Roman" w:hAnsi="Times New Roman" w:cs="Times New Roman"/>
          <w:sz w:val="24"/>
          <w:szCs w:val="24"/>
        </w:rPr>
        <w:t>http://www3.weforum.org/docs/WEF_GlobalCompetitivenessReport_2010-11.pdf [žiūrėta 2012 03 02]</w:t>
      </w:r>
    </w:p>
    <w:p w:rsidR="00244734" w:rsidRPr="00EC1AB2" w:rsidRDefault="00244734" w:rsidP="008F6FED">
      <w:pPr>
        <w:pStyle w:val="Heading1"/>
        <w:spacing w:before="0" w:after="0" w:line="360" w:lineRule="auto"/>
        <w:jc w:val="left"/>
        <w:rPr>
          <w:sz w:val="28"/>
          <w:szCs w:val="28"/>
        </w:rPr>
      </w:pPr>
    </w:p>
    <w:p w:rsidR="00BC57A1" w:rsidRPr="00EC1AB2" w:rsidRDefault="00244734" w:rsidP="005911F2">
      <w:pPr>
        <w:pStyle w:val="Heading1"/>
        <w:spacing w:before="0" w:after="0" w:line="360" w:lineRule="auto"/>
        <w:rPr>
          <w:sz w:val="28"/>
          <w:szCs w:val="28"/>
        </w:rPr>
      </w:pPr>
      <w:r w:rsidRPr="00EC1AB2">
        <w:rPr>
          <w:sz w:val="28"/>
          <w:szCs w:val="28"/>
        </w:rPr>
        <w:br w:type="page"/>
      </w:r>
      <w:bookmarkEnd w:id="212"/>
      <w:bookmarkEnd w:id="213"/>
      <w:bookmarkEnd w:id="214"/>
    </w:p>
    <w:p w:rsidR="00F027E4" w:rsidRPr="00EC1AB2" w:rsidRDefault="00F027E4" w:rsidP="007A02A8">
      <w:pPr>
        <w:tabs>
          <w:tab w:val="left" w:pos="0"/>
        </w:tabs>
        <w:spacing w:after="0" w:line="360" w:lineRule="auto"/>
        <w:ind w:right="28"/>
        <w:rPr>
          <w:rFonts w:ascii="Times New Roman" w:eastAsia="TimesNewRomanPSMT" w:hAnsi="Times New Roman" w:cs="Times New Roman"/>
          <w:sz w:val="24"/>
          <w:szCs w:val="24"/>
        </w:rPr>
      </w:pPr>
      <w:r w:rsidRPr="00EC1AB2">
        <w:rPr>
          <w:rFonts w:ascii="Times New Roman" w:eastAsia="TimesNewRomanPSMT" w:hAnsi="Times New Roman" w:cs="Times New Roman"/>
          <w:sz w:val="24"/>
          <w:szCs w:val="24"/>
        </w:rPr>
        <w:lastRenderedPageBreak/>
        <w:t>Šerkšnaitė A. Rizikos kapitalo fondų plėtros problemos Lietuvoje/ Finansų valdymo magistro baigiamasis darbas. Vadovė</w:t>
      </w:r>
      <w:r w:rsidRPr="00EC1AB2">
        <w:rPr>
          <w:rFonts w:ascii="Times New Roman" w:hAnsi="Times New Roman" w:cs="Times New Roman"/>
          <w:sz w:val="24"/>
          <w:szCs w:val="24"/>
        </w:rPr>
        <w:t xml:space="preserve">  prof. dr. I. Mačerinskienė – Vilnius: </w:t>
      </w:r>
      <w:r w:rsidRPr="00EC1AB2">
        <w:rPr>
          <w:rFonts w:ascii="Times New Roman" w:eastAsia="TimesNewRomanPSMT" w:hAnsi="Times New Roman" w:cs="Times New Roman"/>
          <w:sz w:val="24"/>
          <w:szCs w:val="24"/>
        </w:rPr>
        <w:t>Mykolo Romerio universitetas, Ekonomikos ir finansų</w:t>
      </w:r>
      <w:r w:rsidRPr="00EC1AB2">
        <w:rPr>
          <w:rFonts w:ascii="Times New Roman" w:hAnsi="Times New Roman" w:cs="Times New Roman"/>
          <w:sz w:val="24"/>
          <w:szCs w:val="24"/>
        </w:rPr>
        <w:t xml:space="preserve"> </w:t>
      </w:r>
      <w:r w:rsidRPr="00EC1AB2">
        <w:rPr>
          <w:rFonts w:ascii="Times New Roman" w:eastAsia="TimesNewRomanPSMT" w:hAnsi="Times New Roman" w:cs="Times New Roman"/>
          <w:sz w:val="24"/>
          <w:szCs w:val="24"/>
        </w:rPr>
        <w:t xml:space="preserve">valdymo fakultetas, 2012. </w:t>
      </w:r>
      <w:r w:rsidR="001734C8" w:rsidRPr="00EC1AB2">
        <w:rPr>
          <w:rFonts w:ascii="Times New Roman" w:eastAsia="TimesNewRomanPSMT" w:hAnsi="Times New Roman" w:cs="Times New Roman"/>
          <w:color w:val="0D0D0D" w:themeColor="text1" w:themeTint="F2"/>
          <w:sz w:val="24"/>
          <w:szCs w:val="24"/>
        </w:rPr>
        <w:t>–</w:t>
      </w:r>
      <w:r w:rsidRPr="00EC1AB2">
        <w:rPr>
          <w:rFonts w:ascii="Times New Roman" w:eastAsia="TimesNewRomanPSMT" w:hAnsi="Times New Roman" w:cs="Times New Roman"/>
          <w:color w:val="0D0D0D" w:themeColor="text1" w:themeTint="F2"/>
          <w:sz w:val="24"/>
          <w:szCs w:val="24"/>
        </w:rPr>
        <w:t xml:space="preserve"> </w:t>
      </w:r>
      <w:r w:rsidR="00D20A94" w:rsidRPr="00EC1AB2">
        <w:rPr>
          <w:rFonts w:ascii="Times New Roman" w:eastAsia="TimesNewRomanPSMT" w:hAnsi="Times New Roman" w:cs="Times New Roman"/>
          <w:color w:val="0D0D0D" w:themeColor="text1" w:themeTint="F2"/>
          <w:sz w:val="24"/>
          <w:szCs w:val="24"/>
        </w:rPr>
        <w:t>75</w:t>
      </w:r>
      <w:r w:rsidRPr="00EC1AB2">
        <w:rPr>
          <w:rFonts w:ascii="Times New Roman" w:eastAsia="TimesNewRomanPSMT" w:hAnsi="Times New Roman" w:cs="Times New Roman"/>
          <w:color w:val="0D0D0D" w:themeColor="text1" w:themeTint="F2"/>
          <w:sz w:val="24"/>
          <w:szCs w:val="24"/>
        </w:rPr>
        <w:t xml:space="preserve"> </w:t>
      </w:r>
      <w:r w:rsidRPr="00EC1AB2">
        <w:rPr>
          <w:rFonts w:ascii="Times New Roman" w:eastAsia="TimesNewRomanPSMT" w:hAnsi="Times New Roman" w:cs="Times New Roman"/>
          <w:sz w:val="24"/>
          <w:szCs w:val="24"/>
        </w:rPr>
        <w:t>p.</w:t>
      </w:r>
    </w:p>
    <w:p w:rsidR="00F027E4" w:rsidRPr="00EC1AB2" w:rsidRDefault="00F027E4" w:rsidP="007A02A8">
      <w:pPr>
        <w:autoSpaceDE w:val="0"/>
        <w:autoSpaceDN w:val="0"/>
        <w:adjustRightInd w:val="0"/>
        <w:spacing w:after="0" w:line="360" w:lineRule="auto"/>
        <w:rPr>
          <w:rFonts w:ascii="Times New Roman" w:eastAsia="TimesNewRomanPSMT" w:hAnsi="Times New Roman" w:cs="Times New Roman"/>
          <w:sz w:val="24"/>
          <w:szCs w:val="24"/>
        </w:rPr>
      </w:pPr>
    </w:p>
    <w:p w:rsidR="00F027E4" w:rsidRPr="00EC1AB2" w:rsidRDefault="00F027E4" w:rsidP="007A02A8">
      <w:pPr>
        <w:autoSpaceDE w:val="0"/>
        <w:autoSpaceDN w:val="0"/>
        <w:adjustRightInd w:val="0"/>
        <w:spacing w:after="0" w:line="360" w:lineRule="auto"/>
        <w:rPr>
          <w:rFonts w:ascii="Times New Roman" w:eastAsia="TimesNewRomanPSMT" w:hAnsi="Times New Roman" w:cs="Times New Roman"/>
          <w:sz w:val="24"/>
          <w:szCs w:val="24"/>
        </w:rPr>
      </w:pPr>
    </w:p>
    <w:p w:rsidR="00F027E4" w:rsidRPr="00EC1AB2" w:rsidRDefault="00F027E4" w:rsidP="00AF08F6">
      <w:pPr>
        <w:pStyle w:val="Heading1"/>
        <w:rPr>
          <w:rFonts w:eastAsia="TimesNewRomanPSMT"/>
          <w:sz w:val="28"/>
          <w:szCs w:val="28"/>
        </w:rPr>
      </w:pPr>
      <w:bookmarkStart w:id="215" w:name="_Toc321092708"/>
      <w:r w:rsidRPr="00EC1AB2">
        <w:rPr>
          <w:rFonts w:eastAsia="TimesNewRomanPSMT"/>
          <w:sz w:val="28"/>
          <w:szCs w:val="28"/>
        </w:rPr>
        <w:t>ANOTACIJA</w:t>
      </w:r>
      <w:bookmarkEnd w:id="215"/>
    </w:p>
    <w:p w:rsidR="00F027E4" w:rsidRPr="00EC1AB2" w:rsidRDefault="00F027E4" w:rsidP="007A02A8">
      <w:pPr>
        <w:autoSpaceDE w:val="0"/>
        <w:autoSpaceDN w:val="0"/>
        <w:adjustRightInd w:val="0"/>
        <w:spacing w:after="0" w:line="360" w:lineRule="auto"/>
        <w:rPr>
          <w:rFonts w:ascii="Times New Roman" w:eastAsia="TimesNewRomanPSMT" w:hAnsi="Times New Roman" w:cs="Times New Roman"/>
          <w:sz w:val="24"/>
          <w:szCs w:val="24"/>
        </w:rPr>
      </w:pPr>
    </w:p>
    <w:p w:rsidR="00F027E4" w:rsidRPr="00EC1AB2" w:rsidRDefault="00F027E4" w:rsidP="007A02A8">
      <w:pPr>
        <w:autoSpaceDE w:val="0"/>
        <w:autoSpaceDN w:val="0"/>
        <w:adjustRightInd w:val="0"/>
        <w:spacing w:after="0" w:line="360" w:lineRule="auto"/>
        <w:ind w:firstLine="1296"/>
        <w:jc w:val="both"/>
        <w:rPr>
          <w:rFonts w:ascii="Times New Roman" w:eastAsia="TimesNewRomanPSMT" w:hAnsi="Times New Roman" w:cs="Times New Roman"/>
          <w:sz w:val="24"/>
          <w:szCs w:val="24"/>
        </w:rPr>
      </w:pPr>
      <w:r w:rsidRPr="00EC1AB2">
        <w:rPr>
          <w:rFonts w:ascii="Times New Roman" w:hAnsi="Times New Roman" w:cs="Times New Roman"/>
          <w:sz w:val="24"/>
          <w:szCs w:val="24"/>
        </w:rPr>
        <w:t>Magistro baigiamajame darbe išanalizuotas Lietuvos suminis inovatyvumo indeksas ir identifikuotos stipriosios bei silpnosios pusės inovacijų d</w:t>
      </w:r>
      <w:r w:rsidR="009435B8" w:rsidRPr="00EC1AB2">
        <w:rPr>
          <w:rFonts w:ascii="Times New Roman" w:hAnsi="Times New Roman" w:cs="Times New Roman"/>
          <w:sz w:val="24"/>
          <w:szCs w:val="24"/>
        </w:rPr>
        <w:t>iegimo srityje bei nustatyta rizikos kapitalo fondų</w:t>
      </w:r>
      <w:r w:rsidRPr="00EC1AB2">
        <w:rPr>
          <w:rFonts w:ascii="Times New Roman" w:hAnsi="Times New Roman" w:cs="Times New Roman"/>
          <w:sz w:val="24"/>
          <w:szCs w:val="24"/>
        </w:rPr>
        <w:t xml:space="preserve"> investicijų įtaką suminio inovatyvumo indekso sudedamosioms dalims; remiantis atlikto ekspertinio tyrimo rezultatais bei kitais indikatoriais, vertinančiais šalies patrauklumą rizikos kapitalo investicijoms, identifikuotos pagri</w:t>
      </w:r>
      <w:r w:rsidR="009435B8" w:rsidRPr="00EC1AB2">
        <w:rPr>
          <w:rFonts w:ascii="Times New Roman" w:hAnsi="Times New Roman" w:cs="Times New Roman"/>
          <w:sz w:val="24"/>
          <w:szCs w:val="24"/>
        </w:rPr>
        <w:t>ndinės problemos trukdančios rizikos kapitalo fondams</w:t>
      </w:r>
      <w:r w:rsidRPr="00EC1AB2">
        <w:rPr>
          <w:rFonts w:ascii="Times New Roman" w:hAnsi="Times New Roman" w:cs="Times New Roman"/>
          <w:sz w:val="24"/>
          <w:szCs w:val="24"/>
        </w:rPr>
        <w:t xml:space="preserve"> plėtotis Lietuvoje bei pateikiamos jų šalinimo gairės.</w:t>
      </w:r>
    </w:p>
    <w:p w:rsidR="00F027E4" w:rsidRPr="00EC1AB2" w:rsidRDefault="00F027E4" w:rsidP="007A02A8">
      <w:pPr>
        <w:autoSpaceDE w:val="0"/>
        <w:autoSpaceDN w:val="0"/>
        <w:adjustRightInd w:val="0"/>
        <w:spacing w:after="0" w:line="360" w:lineRule="auto"/>
        <w:ind w:firstLine="1296"/>
        <w:jc w:val="both"/>
        <w:rPr>
          <w:rFonts w:ascii="Times New Roman" w:hAnsi="Times New Roman" w:cs="Times New Roman"/>
          <w:sz w:val="24"/>
          <w:szCs w:val="24"/>
          <w:lang w:eastAsia="lt-LT"/>
        </w:rPr>
      </w:pPr>
      <w:r w:rsidRPr="00EC1AB2">
        <w:rPr>
          <w:rFonts w:ascii="Times New Roman" w:hAnsi="Times New Roman" w:cs="Times New Roman"/>
          <w:sz w:val="24"/>
          <w:szCs w:val="24"/>
          <w:lang w:eastAsia="lt-LT"/>
        </w:rPr>
        <w:t>P</w:t>
      </w:r>
      <w:r w:rsidR="009435B8" w:rsidRPr="00EC1AB2">
        <w:rPr>
          <w:rFonts w:ascii="Times New Roman" w:hAnsi="Times New Roman" w:cs="Times New Roman"/>
          <w:sz w:val="24"/>
          <w:szCs w:val="24"/>
          <w:lang w:eastAsia="lt-LT"/>
        </w:rPr>
        <w:t>irmame skyriuje analizuojami rizikos kapitalo fondų teoriniai aspektai (rizikos kapitalo fondų</w:t>
      </w:r>
      <w:r w:rsidRPr="00EC1AB2">
        <w:rPr>
          <w:rFonts w:ascii="Times New Roman" w:hAnsi="Times New Roman" w:cs="Times New Roman"/>
          <w:sz w:val="24"/>
          <w:szCs w:val="24"/>
          <w:lang w:eastAsia="lt-LT"/>
        </w:rPr>
        <w:t xml:space="preserve"> koncepcija, veiklos bruožai ir teisinis reglamentavimas, įtaka ekonomikai bei, remiantis įvairių autorių nuomone, </w:t>
      </w:r>
      <w:r w:rsidR="009435B8" w:rsidRPr="00EC1AB2">
        <w:rPr>
          <w:rFonts w:ascii="Times New Roman" w:hAnsi="Times New Roman" w:cs="Times New Roman"/>
          <w:sz w:val="24"/>
          <w:szCs w:val="24"/>
          <w:lang w:eastAsia="lt-LT"/>
        </w:rPr>
        <w:t>išskiriamos sąlygos, būtinos rizikos kapitalo fondų</w:t>
      </w:r>
      <w:r w:rsidRPr="00EC1AB2">
        <w:rPr>
          <w:rFonts w:ascii="Times New Roman" w:hAnsi="Times New Roman" w:cs="Times New Roman"/>
          <w:sz w:val="24"/>
          <w:szCs w:val="24"/>
          <w:lang w:eastAsia="lt-LT"/>
        </w:rPr>
        <w:t xml:space="preserve"> vystymuisi šalyje). Antrame skyriuje pateikiamas tyrimo pagrindimas, aprašoma tyrimo metodika ir nuoseklumas, suformuluojamos tyrimo hipotezės. Trečiame analizuojami Lietuvos rezultatai </w:t>
      </w:r>
      <w:r w:rsidR="009435B8" w:rsidRPr="00EC1AB2">
        <w:rPr>
          <w:rFonts w:ascii="Times New Roman" w:hAnsi="Times New Roman" w:cs="Times New Roman"/>
          <w:sz w:val="24"/>
          <w:szCs w:val="24"/>
          <w:lang w:eastAsia="lt-LT"/>
        </w:rPr>
        <w:t>diegiant inovacijas, atlikta rizikos kapitalo fondų</w:t>
      </w:r>
      <w:r w:rsidRPr="00EC1AB2">
        <w:rPr>
          <w:rFonts w:ascii="Times New Roman" w:hAnsi="Times New Roman" w:cs="Times New Roman"/>
          <w:sz w:val="24"/>
          <w:szCs w:val="24"/>
          <w:lang w:eastAsia="lt-LT"/>
        </w:rPr>
        <w:t xml:space="preserve"> investicijų ir suminio inovatyvumo indekso sudedamųjų dalių koreliacinė analizė, remiantis ekspertinio tyrimo rezultatais bei </w:t>
      </w:r>
      <w:r w:rsidRPr="00EC1AB2">
        <w:rPr>
          <w:rStyle w:val="st"/>
          <w:rFonts w:ascii="Times New Roman" w:hAnsi="Times New Roman" w:cs="Times New Roman"/>
          <w:sz w:val="24"/>
          <w:szCs w:val="24"/>
        </w:rPr>
        <w:t>European Private Equity and Venture Capital Association</w:t>
      </w:r>
      <w:r w:rsidR="00787F96" w:rsidRPr="00EC1AB2">
        <w:rPr>
          <w:rFonts w:ascii="Times New Roman" w:hAnsi="Times New Roman" w:cs="Times New Roman"/>
          <w:sz w:val="24"/>
          <w:szCs w:val="24"/>
          <w:lang w:eastAsia="lt-LT"/>
        </w:rPr>
        <w:t xml:space="preserve"> </w:t>
      </w:r>
      <w:r w:rsidRPr="00EC1AB2">
        <w:rPr>
          <w:rFonts w:ascii="Times New Roman" w:hAnsi="Times New Roman" w:cs="Times New Roman"/>
          <w:sz w:val="24"/>
          <w:szCs w:val="24"/>
          <w:lang w:eastAsia="lt-LT"/>
        </w:rPr>
        <w:t xml:space="preserve"> ataskaitos, kurioje vertinamos šalių teisinės ir mokestinės sąlygos RKF plėtrai bei </w:t>
      </w:r>
      <w:r w:rsidRPr="00EC1AB2">
        <w:rPr>
          <w:rFonts w:ascii="Times New Roman" w:hAnsi="Times New Roman" w:cs="Times New Roman"/>
          <w:bCs/>
          <w:sz w:val="24"/>
          <w:szCs w:val="24"/>
        </w:rPr>
        <w:t>The Global Venture Capital and Private Equity Country Attractiveness Index</w:t>
      </w:r>
      <w:r w:rsidRPr="00EC1AB2">
        <w:rPr>
          <w:rFonts w:ascii="Times New Roman" w:hAnsi="Times New Roman" w:cs="Times New Roman"/>
          <w:sz w:val="24"/>
          <w:szCs w:val="24"/>
        </w:rPr>
        <w:t xml:space="preserve"> analize, pa</w:t>
      </w:r>
      <w:r w:rsidR="0088581F" w:rsidRPr="00EC1AB2">
        <w:rPr>
          <w:rFonts w:ascii="Times New Roman" w:hAnsi="Times New Roman" w:cs="Times New Roman"/>
          <w:sz w:val="24"/>
          <w:szCs w:val="24"/>
        </w:rPr>
        <w:t xml:space="preserve">teikiama rizikos kapitalo fondų plėtros Lietuvoje SWOT </w:t>
      </w:r>
      <w:r w:rsidRPr="00EC1AB2">
        <w:rPr>
          <w:rFonts w:ascii="Times New Roman" w:hAnsi="Times New Roman" w:cs="Times New Roman"/>
          <w:sz w:val="24"/>
          <w:szCs w:val="24"/>
        </w:rPr>
        <w:t xml:space="preserve">analizė. </w:t>
      </w:r>
      <w:r w:rsidRPr="00EC1AB2">
        <w:rPr>
          <w:rFonts w:ascii="Times New Roman" w:hAnsi="Times New Roman" w:cs="Times New Roman"/>
          <w:sz w:val="24"/>
          <w:szCs w:val="24"/>
          <w:lang w:eastAsia="lt-LT"/>
        </w:rPr>
        <w:t>Pateikiamos išvados bei pasiūlymai.</w:t>
      </w:r>
    </w:p>
    <w:p w:rsidR="00F027E4" w:rsidRPr="00EC1AB2" w:rsidRDefault="00F027E4" w:rsidP="007A02A8">
      <w:pPr>
        <w:autoSpaceDE w:val="0"/>
        <w:autoSpaceDN w:val="0"/>
        <w:adjustRightInd w:val="0"/>
        <w:spacing w:after="0" w:line="360" w:lineRule="auto"/>
        <w:ind w:firstLine="1296"/>
        <w:jc w:val="both"/>
        <w:rPr>
          <w:rFonts w:ascii="Times New Roman" w:hAnsi="Times New Roman" w:cs="Times New Roman"/>
          <w:sz w:val="24"/>
          <w:szCs w:val="24"/>
          <w:lang w:eastAsia="lt-LT"/>
        </w:rPr>
      </w:pPr>
    </w:p>
    <w:p w:rsidR="00F027E4" w:rsidRPr="00EC1AB2" w:rsidRDefault="00F027E4" w:rsidP="007A02A8">
      <w:pPr>
        <w:autoSpaceDE w:val="0"/>
        <w:autoSpaceDN w:val="0"/>
        <w:adjustRightInd w:val="0"/>
        <w:spacing w:after="0" w:line="360" w:lineRule="auto"/>
        <w:ind w:firstLine="1296"/>
        <w:rPr>
          <w:rFonts w:ascii="Times New Roman" w:eastAsia="TimesNewRomanPSMT" w:hAnsi="Times New Roman" w:cs="Times New Roman"/>
          <w:sz w:val="24"/>
          <w:szCs w:val="24"/>
        </w:rPr>
      </w:pPr>
      <w:r w:rsidRPr="00EC1AB2">
        <w:rPr>
          <w:rFonts w:ascii="Times New Roman" w:hAnsi="Times New Roman" w:cs="Times New Roman"/>
          <w:sz w:val="24"/>
          <w:szCs w:val="24"/>
          <w:lang w:eastAsia="lt-LT"/>
        </w:rPr>
        <w:t>Raktiniai žodžiai: rizikos kapitalas, plėtra, suminis inovatyvumo indeksas</w:t>
      </w:r>
      <w:r w:rsidR="00CD4BBC" w:rsidRPr="00EC1AB2">
        <w:rPr>
          <w:rFonts w:ascii="Times New Roman" w:hAnsi="Times New Roman" w:cs="Times New Roman"/>
          <w:sz w:val="24"/>
          <w:szCs w:val="24"/>
          <w:lang w:eastAsia="lt-LT"/>
        </w:rPr>
        <w:t>.</w:t>
      </w:r>
    </w:p>
    <w:p w:rsidR="00157D87" w:rsidRPr="00EC1AB2" w:rsidRDefault="00157D87" w:rsidP="007A02A8">
      <w:p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sz w:val="24"/>
          <w:szCs w:val="24"/>
        </w:rPr>
        <w:br w:type="page"/>
      </w:r>
    </w:p>
    <w:p w:rsidR="00AA65E2" w:rsidRPr="00EC1AB2" w:rsidRDefault="00AA65E2" w:rsidP="000541DE">
      <w:pPr>
        <w:tabs>
          <w:tab w:val="left" w:pos="0"/>
        </w:tabs>
        <w:spacing w:after="0" w:line="360" w:lineRule="auto"/>
        <w:ind w:right="28"/>
        <w:rPr>
          <w:rFonts w:ascii="Times New Roman" w:eastAsia="TimesNewRomanPSMT" w:hAnsi="Times New Roman" w:cs="Times New Roman"/>
          <w:sz w:val="24"/>
          <w:szCs w:val="24"/>
        </w:rPr>
      </w:pPr>
      <w:r w:rsidRPr="00EC1AB2">
        <w:rPr>
          <w:rFonts w:ascii="Times New Roman" w:eastAsia="TimesNewRomanPSMT" w:hAnsi="Times New Roman" w:cs="Times New Roman"/>
          <w:sz w:val="24"/>
          <w:szCs w:val="24"/>
        </w:rPr>
        <w:lastRenderedPageBreak/>
        <w:t xml:space="preserve">Šerkšnaitė A. </w:t>
      </w:r>
      <w:r w:rsidRPr="00EC1AB2">
        <w:rPr>
          <w:rStyle w:val="hps"/>
          <w:rFonts w:ascii="Times New Roman" w:hAnsi="Times New Roman" w:cs="Times New Roman"/>
          <w:sz w:val="24"/>
          <w:szCs w:val="24"/>
        </w:rPr>
        <w:t>The Development</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Problems of Venture</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 xml:space="preserve">Capital Funds in Lithuania </w:t>
      </w:r>
      <w:r w:rsidRPr="00EC1AB2">
        <w:rPr>
          <w:rFonts w:ascii="Times New Roman" w:eastAsia="TimesNewRomanPSMT" w:hAnsi="Times New Roman" w:cs="Times New Roman"/>
          <w:sz w:val="24"/>
          <w:szCs w:val="24"/>
        </w:rPr>
        <w:t xml:space="preserve">/ </w:t>
      </w:r>
      <w:r w:rsidRPr="00EC1AB2">
        <w:rPr>
          <w:rStyle w:val="hps"/>
          <w:rFonts w:ascii="Times New Roman" w:hAnsi="Times New Roman" w:cs="Times New Roman"/>
          <w:sz w:val="24"/>
          <w:szCs w:val="24"/>
        </w:rPr>
        <w:t>Finance Management</w:t>
      </w:r>
      <w:r w:rsidRPr="00EC1AB2">
        <w:rPr>
          <w:rStyle w:val="shorttext"/>
          <w:rFonts w:ascii="Times New Roman" w:hAnsi="Times New Roman" w:cs="Times New Roman"/>
          <w:sz w:val="24"/>
          <w:szCs w:val="24"/>
        </w:rPr>
        <w:t xml:space="preserve"> </w:t>
      </w:r>
      <w:r w:rsidRPr="00EC1AB2">
        <w:rPr>
          <w:rStyle w:val="hps"/>
          <w:rFonts w:ascii="Times New Roman" w:hAnsi="Times New Roman" w:cs="Times New Roman"/>
          <w:sz w:val="24"/>
          <w:szCs w:val="24"/>
        </w:rPr>
        <w:t>Master's</w:t>
      </w:r>
      <w:r w:rsidRPr="00EC1AB2">
        <w:rPr>
          <w:rStyle w:val="shorttext"/>
          <w:rFonts w:ascii="Times New Roman" w:hAnsi="Times New Roman" w:cs="Times New Roman"/>
          <w:sz w:val="24"/>
          <w:szCs w:val="24"/>
        </w:rPr>
        <w:t xml:space="preserve"> </w:t>
      </w:r>
      <w:r w:rsidRPr="00EC1AB2">
        <w:rPr>
          <w:rStyle w:val="hps"/>
          <w:rFonts w:ascii="Times New Roman" w:hAnsi="Times New Roman" w:cs="Times New Roman"/>
          <w:sz w:val="24"/>
          <w:szCs w:val="24"/>
        </w:rPr>
        <w:t>thesis</w:t>
      </w:r>
      <w:r w:rsidRPr="00EC1AB2">
        <w:rPr>
          <w:rFonts w:ascii="Times New Roman" w:eastAsia="TimesNewRomanPSMT" w:hAnsi="Times New Roman" w:cs="Times New Roman"/>
          <w:sz w:val="24"/>
          <w:szCs w:val="24"/>
        </w:rPr>
        <w:t>. Supervisor</w:t>
      </w:r>
      <w:r w:rsidRPr="00EC1AB2">
        <w:rPr>
          <w:rFonts w:ascii="Times New Roman" w:hAnsi="Times New Roman" w:cs="Times New Roman"/>
          <w:sz w:val="24"/>
          <w:szCs w:val="24"/>
        </w:rPr>
        <w:t xml:space="preserve"> Prof. Dr. I. Mačerinskienė – Vilnius: </w:t>
      </w:r>
      <w:r w:rsidRPr="00EC1AB2">
        <w:rPr>
          <w:rFonts w:ascii="Times New Roman" w:eastAsia="TimesNewRomanPSMT" w:hAnsi="Times New Roman" w:cs="Times New Roman"/>
          <w:sz w:val="24"/>
          <w:szCs w:val="24"/>
        </w:rPr>
        <w:t xml:space="preserve">Mykolas Romeris University, </w:t>
      </w:r>
      <w:r w:rsidRPr="00EC1AB2">
        <w:rPr>
          <w:rStyle w:val="Emphasis"/>
          <w:rFonts w:ascii="Times New Roman" w:hAnsi="Times New Roman" w:cs="Times New Roman"/>
          <w:i w:val="0"/>
          <w:sz w:val="24"/>
          <w:szCs w:val="24"/>
        </w:rPr>
        <w:t>Faculty</w:t>
      </w:r>
      <w:r w:rsidRPr="00EC1AB2">
        <w:rPr>
          <w:rStyle w:val="st"/>
          <w:rFonts w:ascii="Times New Roman" w:hAnsi="Times New Roman" w:cs="Times New Roman"/>
          <w:sz w:val="24"/>
          <w:szCs w:val="24"/>
        </w:rPr>
        <w:t xml:space="preserve"> of</w:t>
      </w:r>
      <w:r w:rsidRPr="00EC1AB2">
        <w:rPr>
          <w:rStyle w:val="st"/>
          <w:rFonts w:ascii="Times New Roman" w:hAnsi="Times New Roman" w:cs="Times New Roman"/>
          <w:i/>
          <w:sz w:val="24"/>
          <w:szCs w:val="24"/>
        </w:rPr>
        <w:t xml:space="preserve"> </w:t>
      </w:r>
      <w:r w:rsidRPr="00EC1AB2">
        <w:rPr>
          <w:rStyle w:val="Emphasis"/>
          <w:rFonts w:ascii="Times New Roman" w:hAnsi="Times New Roman" w:cs="Times New Roman"/>
          <w:i w:val="0"/>
          <w:sz w:val="24"/>
          <w:szCs w:val="24"/>
        </w:rPr>
        <w:t>Economics</w:t>
      </w:r>
      <w:r w:rsidRPr="00EC1AB2">
        <w:rPr>
          <w:rStyle w:val="st"/>
          <w:rFonts w:ascii="Times New Roman" w:hAnsi="Times New Roman" w:cs="Times New Roman"/>
          <w:i/>
          <w:sz w:val="24"/>
          <w:szCs w:val="24"/>
        </w:rPr>
        <w:t xml:space="preserve"> </w:t>
      </w:r>
      <w:r w:rsidRPr="00EC1AB2">
        <w:rPr>
          <w:rStyle w:val="st"/>
          <w:rFonts w:ascii="Times New Roman" w:hAnsi="Times New Roman" w:cs="Times New Roman"/>
          <w:sz w:val="24"/>
          <w:szCs w:val="24"/>
        </w:rPr>
        <w:t>and</w:t>
      </w:r>
      <w:r w:rsidRPr="00EC1AB2">
        <w:rPr>
          <w:rStyle w:val="st"/>
          <w:rFonts w:ascii="Times New Roman" w:hAnsi="Times New Roman" w:cs="Times New Roman"/>
          <w:i/>
          <w:sz w:val="24"/>
          <w:szCs w:val="24"/>
        </w:rPr>
        <w:t xml:space="preserve"> </w:t>
      </w:r>
      <w:r w:rsidRPr="00EC1AB2">
        <w:rPr>
          <w:rStyle w:val="Emphasis"/>
          <w:rFonts w:ascii="Times New Roman" w:hAnsi="Times New Roman" w:cs="Times New Roman"/>
          <w:i w:val="0"/>
          <w:sz w:val="24"/>
          <w:szCs w:val="24"/>
        </w:rPr>
        <w:t>Finance Management</w:t>
      </w:r>
      <w:r w:rsidRPr="00EC1AB2">
        <w:rPr>
          <w:rFonts w:ascii="Times New Roman" w:eastAsia="TimesNewRomanPSMT" w:hAnsi="Times New Roman" w:cs="Times New Roman"/>
          <w:sz w:val="24"/>
          <w:szCs w:val="24"/>
        </w:rPr>
        <w:t xml:space="preserve">, 2012. - </w:t>
      </w:r>
      <w:r w:rsidR="00820713" w:rsidRPr="00EC1AB2">
        <w:rPr>
          <w:rFonts w:ascii="Times New Roman" w:eastAsia="TimesNewRomanPSMT" w:hAnsi="Times New Roman" w:cs="Times New Roman"/>
          <w:sz w:val="24"/>
          <w:szCs w:val="24"/>
        </w:rPr>
        <w:t>p</w:t>
      </w:r>
      <w:r w:rsidR="00D20A94" w:rsidRPr="00EC1AB2">
        <w:rPr>
          <w:rFonts w:ascii="Times New Roman" w:eastAsia="TimesNewRomanPSMT" w:hAnsi="Times New Roman" w:cs="Times New Roman"/>
          <w:sz w:val="24"/>
          <w:szCs w:val="24"/>
        </w:rPr>
        <w:t>. 7</w:t>
      </w:r>
      <w:r w:rsidR="00215390" w:rsidRPr="00EC1AB2">
        <w:rPr>
          <w:rFonts w:ascii="Times New Roman" w:eastAsia="TimesNewRomanPSMT" w:hAnsi="Times New Roman" w:cs="Times New Roman"/>
          <w:sz w:val="24"/>
          <w:szCs w:val="24"/>
        </w:rPr>
        <w:t>5</w:t>
      </w:r>
    </w:p>
    <w:p w:rsidR="000541DE" w:rsidRPr="00EC1AB2" w:rsidRDefault="000541DE" w:rsidP="000541DE">
      <w:pPr>
        <w:tabs>
          <w:tab w:val="left" w:pos="0"/>
        </w:tabs>
        <w:spacing w:after="0" w:line="360" w:lineRule="auto"/>
        <w:ind w:right="28"/>
        <w:rPr>
          <w:rFonts w:ascii="Times New Roman" w:eastAsia="TimesNewRomanPSMT" w:hAnsi="Times New Roman" w:cs="Times New Roman"/>
          <w:sz w:val="24"/>
          <w:szCs w:val="24"/>
        </w:rPr>
      </w:pPr>
    </w:p>
    <w:p w:rsidR="00AA65E2" w:rsidRPr="00EC1AB2" w:rsidRDefault="00AA65E2" w:rsidP="00AA65E2">
      <w:pPr>
        <w:autoSpaceDE w:val="0"/>
        <w:autoSpaceDN w:val="0"/>
        <w:adjustRightInd w:val="0"/>
        <w:spacing w:after="0" w:line="240" w:lineRule="auto"/>
        <w:rPr>
          <w:rFonts w:ascii="Times New Roman" w:eastAsia="TimesNewRomanPSMT" w:hAnsi="Times New Roman" w:cs="Times New Roman"/>
          <w:sz w:val="24"/>
          <w:szCs w:val="24"/>
        </w:rPr>
      </w:pPr>
    </w:p>
    <w:p w:rsidR="00AA65E2" w:rsidRPr="00EC1AB2" w:rsidRDefault="00AA65E2" w:rsidP="00AF08F6">
      <w:pPr>
        <w:pStyle w:val="Heading1"/>
        <w:rPr>
          <w:rFonts w:eastAsia="TimesNewRomanPSMT"/>
          <w:sz w:val="28"/>
          <w:szCs w:val="28"/>
        </w:rPr>
      </w:pPr>
      <w:bookmarkStart w:id="216" w:name="_Toc321092709"/>
      <w:r w:rsidRPr="00EC1AB2">
        <w:rPr>
          <w:rFonts w:eastAsia="TimesNewRomanPSMT"/>
          <w:sz w:val="28"/>
          <w:szCs w:val="28"/>
        </w:rPr>
        <w:t>ANNOTATION</w:t>
      </w:r>
      <w:bookmarkEnd w:id="216"/>
      <w:r w:rsidRPr="00EC1AB2">
        <w:rPr>
          <w:rFonts w:eastAsia="TimesNewRomanPSMT"/>
          <w:sz w:val="28"/>
          <w:szCs w:val="28"/>
        </w:rPr>
        <w:t xml:space="preserve"> </w:t>
      </w:r>
    </w:p>
    <w:p w:rsidR="00AA65E2" w:rsidRPr="00EC1AB2" w:rsidRDefault="00AA65E2" w:rsidP="00AA65E2">
      <w:pPr>
        <w:autoSpaceDE w:val="0"/>
        <w:autoSpaceDN w:val="0"/>
        <w:adjustRightInd w:val="0"/>
        <w:spacing w:after="0" w:line="240" w:lineRule="auto"/>
        <w:rPr>
          <w:rFonts w:ascii="Times New Roman" w:eastAsia="TimesNewRomanPSMT" w:hAnsi="Times New Roman" w:cs="Times New Roman"/>
          <w:sz w:val="24"/>
          <w:szCs w:val="24"/>
        </w:rPr>
      </w:pPr>
    </w:p>
    <w:p w:rsidR="00AA65E2" w:rsidRPr="00EC1AB2" w:rsidRDefault="00AA65E2" w:rsidP="00AA65E2">
      <w:pPr>
        <w:autoSpaceDE w:val="0"/>
        <w:autoSpaceDN w:val="0"/>
        <w:adjustRightInd w:val="0"/>
        <w:spacing w:after="0" w:line="240" w:lineRule="auto"/>
        <w:rPr>
          <w:rFonts w:ascii="Times New Roman" w:eastAsia="TimesNewRomanPSMT" w:hAnsi="Times New Roman" w:cs="Times New Roman"/>
          <w:sz w:val="24"/>
          <w:szCs w:val="24"/>
        </w:rPr>
      </w:pPr>
    </w:p>
    <w:p w:rsidR="00AA65E2" w:rsidRPr="00EC1AB2" w:rsidRDefault="00AA65E2" w:rsidP="00AA65E2">
      <w:pPr>
        <w:autoSpaceDE w:val="0"/>
        <w:autoSpaceDN w:val="0"/>
        <w:adjustRightInd w:val="0"/>
        <w:spacing w:after="0" w:line="240" w:lineRule="auto"/>
        <w:rPr>
          <w:rFonts w:ascii="Times New Roman" w:eastAsia="TimesNewRomanPSMT" w:hAnsi="Times New Roman" w:cs="Times New Roman"/>
          <w:sz w:val="24"/>
          <w:szCs w:val="24"/>
        </w:rPr>
      </w:pPr>
    </w:p>
    <w:p w:rsidR="00AA65E2" w:rsidRPr="00EC1AB2" w:rsidRDefault="00AA65E2" w:rsidP="00AA65E2">
      <w:pPr>
        <w:autoSpaceDE w:val="0"/>
        <w:autoSpaceDN w:val="0"/>
        <w:adjustRightInd w:val="0"/>
        <w:spacing w:after="0" w:line="360" w:lineRule="auto"/>
        <w:ind w:firstLine="1296"/>
        <w:jc w:val="both"/>
        <w:rPr>
          <w:rStyle w:val="hps"/>
          <w:rFonts w:ascii="Times New Roman" w:hAnsi="Times New Roman" w:cs="Times New Roman"/>
        </w:rPr>
      </w:pPr>
      <w:r w:rsidRPr="00EC1AB2">
        <w:rPr>
          <w:rStyle w:val="hps"/>
          <w:rFonts w:ascii="Times New Roman" w:hAnsi="Times New Roman" w:cs="Times New Roman"/>
          <w:sz w:val="24"/>
          <w:szCs w:val="24"/>
        </w:rPr>
        <w:t>In Master’s thesis Lithuanian</w:t>
      </w:r>
      <w:r w:rsidRPr="00EC1AB2">
        <w:rPr>
          <w:rFonts w:ascii="Times New Roman" w:hAnsi="Times New Roman" w:cs="Times New Roman"/>
          <w:sz w:val="24"/>
          <w:szCs w:val="24"/>
        </w:rPr>
        <w:t xml:space="preserve"> </w:t>
      </w:r>
      <w:r w:rsidRPr="00EC1AB2">
        <w:rPr>
          <w:rFonts w:ascii="Times New Roman" w:hAnsi="Times New Roman" w:cs="Times New Roman"/>
          <w:sz w:val="24"/>
          <w:szCs w:val="24"/>
          <w:lang w:eastAsia="lt-LT"/>
        </w:rPr>
        <w:t xml:space="preserve">innovation scoreboard </w:t>
      </w:r>
      <w:r w:rsidRPr="00EC1AB2">
        <w:rPr>
          <w:rStyle w:val="hps"/>
          <w:rFonts w:ascii="Times New Roman" w:hAnsi="Times New Roman" w:cs="Times New Roman"/>
          <w:sz w:val="24"/>
          <w:szCs w:val="24"/>
        </w:rPr>
        <w:t>is</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analyzed and</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the strengths</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and weaknesses</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identified</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in the field of</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innovation</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and</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the Venture</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Capital Funds investment impact on</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the</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constituents</w:t>
      </w:r>
      <w:r w:rsidRPr="00EC1AB2">
        <w:rPr>
          <w:rFonts w:ascii="Times New Roman" w:hAnsi="Times New Roman" w:cs="Times New Roman"/>
          <w:sz w:val="24"/>
          <w:szCs w:val="24"/>
        </w:rPr>
        <w:t xml:space="preserve"> of </w:t>
      </w:r>
      <w:r w:rsidRPr="00EC1AB2">
        <w:rPr>
          <w:rFonts w:ascii="Times New Roman" w:hAnsi="Times New Roman" w:cs="Times New Roman"/>
          <w:sz w:val="24"/>
          <w:szCs w:val="24"/>
          <w:lang w:eastAsia="lt-LT"/>
        </w:rPr>
        <w:t xml:space="preserve">innovation scoreboard </w:t>
      </w:r>
      <w:r w:rsidRPr="00EC1AB2">
        <w:rPr>
          <w:rStyle w:val="hps"/>
          <w:rFonts w:ascii="Times New Roman" w:hAnsi="Times New Roman" w:cs="Times New Roman"/>
          <w:sz w:val="24"/>
          <w:szCs w:val="24"/>
        </w:rPr>
        <w:t>is defined; referring to the</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expert</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survey</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results and</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other</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indicators for</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assessing the</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attractiveness of</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the country's</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venture capital investments,</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the main problems</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affecting the</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development of</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Venture</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Capital Funds in Lithuania</w:t>
      </w:r>
      <w:r w:rsidRPr="00EC1AB2">
        <w:rPr>
          <w:rFonts w:ascii="Times New Roman" w:hAnsi="Times New Roman" w:cs="Times New Roman"/>
          <w:sz w:val="24"/>
          <w:szCs w:val="24"/>
        </w:rPr>
        <w:t xml:space="preserve">  are </w:t>
      </w:r>
      <w:r w:rsidRPr="00EC1AB2">
        <w:rPr>
          <w:rStyle w:val="hps"/>
          <w:rFonts w:ascii="Times New Roman" w:hAnsi="Times New Roman" w:cs="Times New Roman"/>
          <w:sz w:val="24"/>
          <w:szCs w:val="24"/>
        </w:rPr>
        <w:t>identified</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and guidelines for</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their elimination  are provided.</w:t>
      </w:r>
      <w:r w:rsidRPr="00EC1AB2">
        <w:rPr>
          <w:rFonts w:ascii="Times New Roman" w:hAnsi="Times New Roman" w:cs="Times New Roman"/>
          <w:sz w:val="24"/>
          <w:szCs w:val="24"/>
        </w:rPr>
        <w:t xml:space="preserve"> </w:t>
      </w:r>
    </w:p>
    <w:p w:rsidR="00AA65E2" w:rsidRPr="00EC1AB2" w:rsidRDefault="00AA65E2" w:rsidP="00AA65E2">
      <w:pPr>
        <w:spacing w:line="360" w:lineRule="auto"/>
        <w:jc w:val="both"/>
        <w:rPr>
          <w:rFonts w:ascii="Times New Roman" w:hAnsi="Times New Roman" w:cs="Times New Roman"/>
        </w:rPr>
      </w:pPr>
      <w:r w:rsidRPr="00EC1AB2">
        <w:rPr>
          <w:rStyle w:val="hps"/>
          <w:rFonts w:ascii="Times New Roman" w:hAnsi="Times New Roman" w:cs="Times New Roman"/>
          <w:sz w:val="24"/>
          <w:szCs w:val="24"/>
        </w:rPr>
        <w:tab/>
        <w:t xml:space="preserve">Theoretical aspects of Venture Capital Funds are analyzes in the first chapter (the concept of Venture Capital Funds, operational features are the legal regulation, impact on the economy and according to different authors, the conditions necessary for the development of Venture Capital Funds in the country are distinguished). Justification of the study is provided, research methodology and consistency are described and the research hypotheses are formulated in the second chapter. In the third chapter the results of Lithuania when implementing innovations are analyzed, correlation analysis of Venture Capital Funds investment and innovation scoreboard constituents was performed, based on the expert survey results and report of European Private Equity and Venture Capital Association where the legal and fiscal conditions of the countries for the development of Venture Capital Funds are evaluated and the analysis of The Global Venture Capital and Private Equity Country Attractiveness Index, the SWOT analysis of venture capital </w:t>
      </w:r>
      <w:r w:rsidR="0088581F" w:rsidRPr="00EC1AB2">
        <w:rPr>
          <w:rStyle w:val="hps"/>
          <w:rFonts w:ascii="Times New Roman" w:hAnsi="Times New Roman" w:cs="Times New Roman"/>
          <w:sz w:val="24"/>
          <w:szCs w:val="24"/>
        </w:rPr>
        <w:t xml:space="preserve">funds </w:t>
      </w:r>
      <w:r w:rsidRPr="00EC1AB2">
        <w:rPr>
          <w:rStyle w:val="hps"/>
          <w:rFonts w:ascii="Times New Roman" w:hAnsi="Times New Roman" w:cs="Times New Roman"/>
          <w:sz w:val="24"/>
          <w:szCs w:val="24"/>
        </w:rPr>
        <w:t xml:space="preserve">in Lithuania is presented. The conclusions and recommendations are provided. </w:t>
      </w:r>
    </w:p>
    <w:p w:rsidR="00AA65E2" w:rsidRPr="00EC1AB2" w:rsidRDefault="00AA65E2" w:rsidP="00AA65E2">
      <w:pPr>
        <w:autoSpaceDE w:val="0"/>
        <w:autoSpaceDN w:val="0"/>
        <w:adjustRightInd w:val="0"/>
        <w:spacing w:after="0" w:line="360" w:lineRule="auto"/>
        <w:ind w:firstLine="1296"/>
        <w:jc w:val="both"/>
        <w:rPr>
          <w:rFonts w:ascii="Times New Roman" w:hAnsi="Times New Roman" w:cs="Times New Roman"/>
          <w:sz w:val="24"/>
          <w:szCs w:val="24"/>
          <w:lang w:eastAsia="lt-LT"/>
        </w:rPr>
      </w:pPr>
    </w:p>
    <w:p w:rsidR="00BC57A1" w:rsidRPr="00EC1AB2" w:rsidRDefault="00AA65E2" w:rsidP="00C73F43">
      <w:pPr>
        <w:autoSpaceDE w:val="0"/>
        <w:autoSpaceDN w:val="0"/>
        <w:adjustRightInd w:val="0"/>
        <w:spacing w:after="0" w:line="360" w:lineRule="auto"/>
        <w:ind w:firstLine="1296"/>
        <w:jc w:val="both"/>
        <w:rPr>
          <w:rFonts w:ascii="Times New Roman" w:hAnsi="Times New Roman" w:cs="Times New Roman"/>
          <w:sz w:val="24"/>
          <w:szCs w:val="24"/>
        </w:rPr>
      </w:pPr>
      <w:r w:rsidRPr="00EC1AB2">
        <w:rPr>
          <w:rFonts w:ascii="Times New Roman" w:hAnsi="Times New Roman" w:cs="Times New Roman"/>
          <w:sz w:val="24"/>
          <w:szCs w:val="24"/>
          <w:lang w:eastAsia="lt-LT"/>
        </w:rPr>
        <w:t>Key words: venture capital, development, innovation scoreboard</w:t>
      </w:r>
    </w:p>
    <w:p w:rsidR="00157D87" w:rsidRPr="00EC1AB2" w:rsidRDefault="00157D87" w:rsidP="007A02A8">
      <w:pPr>
        <w:spacing w:after="0" w:line="360" w:lineRule="auto"/>
        <w:rPr>
          <w:rFonts w:ascii="Times New Roman" w:hAnsi="Times New Roman" w:cs="Times New Roman"/>
          <w:lang w:eastAsia="x-none"/>
        </w:rPr>
      </w:pPr>
      <w:r w:rsidRPr="00EC1AB2">
        <w:rPr>
          <w:rFonts w:ascii="Times New Roman" w:hAnsi="Times New Roman" w:cs="Times New Roman"/>
          <w:lang w:eastAsia="x-none"/>
        </w:rPr>
        <w:br w:type="page"/>
      </w:r>
    </w:p>
    <w:p w:rsidR="00034424" w:rsidRPr="00EC1AB2" w:rsidRDefault="00034424" w:rsidP="007A02A8">
      <w:pPr>
        <w:pStyle w:val="Heading1"/>
        <w:spacing w:before="0" w:after="0" w:line="360" w:lineRule="auto"/>
        <w:jc w:val="both"/>
        <w:rPr>
          <w:rFonts w:eastAsia="TimesNewRomanPSMT"/>
          <w:b w:val="0"/>
          <w:sz w:val="24"/>
          <w:szCs w:val="24"/>
        </w:rPr>
      </w:pPr>
      <w:bookmarkStart w:id="217" w:name="_Toc320759780"/>
      <w:bookmarkStart w:id="218" w:name="_Toc320761777"/>
      <w:bookmarkStart w:id="219" w:name="_Toc320761946"/>
      <w:bookmarkStart w:id="220" w:name="_Toc320762181"/>
      <w:bookmarkStart w:id="221" w:name="_Toc320762584"/>
      <w:bookmarkStart w:id="222" w:name="_Toc321092710"/>
      <w:r w:rsidRPr="00EC1AB2">
        <w:rPr>
          <w:rFonts w:eastAsia="TimesNewRomanPSMT"/>
          <w:b w:val="0"/>
          <w:sz w:val="24"/>
          <w:szCs w:val="24"/>
        </w:rPr>
        <w:lastRenderedPageBreak/>
        <w:t>Šerkšnaitė A. Rizikos kapitalo fondų plėtros problemos Lietuvoje/ Finansų valdymo magistro baigiamasis darbas. Vadovė</w:t>
      </w:r>
      <w:r w:rsidRPr="00EC1AB2">
        <w:rPr>
          <w:b w:val="0"/>
          <w:sz w:val="24"/>
          <w:szCs w:val="24"/>
        </w:rPr>
        <w:t xml:space="preserve">  prof. dr. I. Mačerinskienė – Vilnius: </w:t>
      </w:r>
      <w:r w:rsidRPr="00EC1AB2">
        <w:rPr>
          <w:rFonts w:eastAsia="TimesNewRomanPSMT"/>
          <w:b w:val="0"/>
          <w:sz w:val="24"/>
          <w:szCs w:val="24"/>
        </w:rPr>
        <w:t>Mykolo Romerio universitetas, Ekonomikos ir finansų</w:t>
      </w:r>
      <w:r w:rsidRPr="00EC1AB2">
        <w:rPr>
          <w:b w:val="0"/>
          <w:sz w:val="24"/>
          <w:szCs w:val="24"/>
        </w:rPr>
        <w:t xml:space="preserve"> </w:t>
      </w:r>
      <w:r w:rsidRPr="00EC1AB2">
        <w:rPr>
          <w:rFonts w:eastAsia="TimesNewRomanPSMT"/>
          <w:b w:val="0"/>
          <w:sz w:val="24"/>
          <w:szCs w:val="24"/>
        </w:rPr>
        <w:t xml:space="preserve">valdymo fakultetas, 2012. - </w:t>
      </w:r>
      <w:r w:rsidR="00D20A94" w:rsidRPr="00EC1AB2">
        <w:rPr>
          <w:rFonts w:eastAsia="TimesNewRomanPSMT"/>
          <w:b w:val="0"/>
          <w:sz w:val="24"/>
          <w:szCs w:val="24"/>
        </w:rPr>
        <w:t>7</w:t>
      </w:r>
      <w:r w:rsidR="00215390" w:rsidRPr="00EC1AB2">
        <w:rPr>
          <w:rFonts w:eastAsia="TimesNewRomanPSMT"/>
          <w:b w:val="0"/>
          <w:sz w:val="24"/>
          <w:szCs w:val="24"/>
        </w:rPr>
        <w:t>5</w:t>
      </w:r>
      <w:r w:rsidRPr="00EC1AB2">
        <w:rPr>
          <w:rFonts w:eastAsia="TimesNewRomanPSMT"/>
          <w:b w:val="0"/>
          <w:sz w:val="24"/>
          <w:szCs w:val="24"/>
        </w:rPr>
        <w:t xml:space="preserve"> p.</w:t>
      </w:r>
      <w:bookmarkEnd w:id="217"/>
      <w:bookmarkEnd w:id="218"/>
      <w:bookmarkEnd w:id="219"/>
      <w:bookmarkEnd w:id="220"/>
      <w:bookmarkEnd w:id="221"/>
      <w:bookmarkEnd w:id="222"/>
    </w:p>
    <w:p w:rsidR="00034424" w:rsidRPr="00EC1AB2" w:rsidRDefault="00034424" w:rsidP="007A02A8">
      <w:pPr>
        <w:tabs>
          <w:tab w:val="left" w:pos="0"/>
        </w:tabs>
        <w:spacing w:after="0" w:line="360" w:lineRule="auto"/>
        <w:ind w:right="28"/>
        <w:rPr>
          <w:rFonts w:ascii="Times New Roman" w:eastAsia="TimesNewRomanPSMT" w:hAnsi="Times New Roman" w:cs="Times New Roman"/>
          <w:sz w:val="24"/>
          <w:szCs w:val="24"/>
        </w:rPr>
      </w:pPr>
    </w:p>
    <w:p w:rsidR="00034424" w:rsidRPr="00EC1AB2" w:rsidRDefault="00034424" w:rsidP="007A02A8">
      <w:pPr>
        <w:tabs>
          <w:tab w:val="left" w:pos="0"/>
        </w:tabs>
        <w:spacing w:after="0" w:line="360" w:lineRule="auto"/>
        <w:ind w:right="28"/>
        <w:rPr>
          <w:rFonts w:ascii="Times New Roman" w:eastAsia="TimesNewRomanPSMT" w:hAnsi="Times New Roman" w:cs="Times New Roman"/>
          <w:sz w:val="24"/>
          <w:szCs w:val="24"/>
        </w:rPr>
      </w:pPr>
    </w:p>
    <w:p w:rsidR="00034424" w:rsidRPr="00EC1AB2" w:rsidRDefault="00034424" w:rsidP="00AF08F6">
      <w:pPr>
        <w:pStyle w:val="Heading1"/>
        <w:rPr>
          <w:rFonts w:eastAsia="TimesNewRomanPSMT"/>
          <w:sz w:val="28"/>
          <w:szCs w:val="28"/>
        </w:rPr>
      </w:pPr>
      <w:bookmarkStart w:id="223" w:name="_Toc321092711"/>
      <w:r w:rsidRPr="00EC1AB2">
        <w:rPr>
          <w:rFonts w:eastAsia="TimesNewRomanPSMT"/>
          <w:sz w:val="28"/>
          <w:szCs w:val="28"/>
        </w:rPr>
        <w:t>SANTRAUKA</w:t>
      </w:r>
      <w:bookmarkEnd w:id="223"/>
      <w:r w:rsidRPr="00EC1AB2">
        <w:rPr>
          <w:rFonts w:eastAsia="TimesNewRomanPSMT"/>
          <w:sz w:val="28"/>
          <w:szCs w:val="28"/>
        </w:rPr>
        <w:br/>
      </w:r>
    </w:p>
    <w:p w:rsidR="00034424" w:rsidRPr="00EC1AB2" w:rsidRDefault="00034424" w:rsidP="007A02A8">
      <w:pPr>
        <w:spacing w:after="0" w:line="360" w:lineRule="auto"/>
        <w:ind w:firstLine="720"/>
        <w:jc w:val="both"/>
        <w:rPr>
          <w:rFonts w:ascii="Times New Roman" w:hAnsi="Times New Roman" w:cs="Times New Roman"/>
          <w:sz w:val="24"/>
          <w:szCs w:val="24"/>
        </w:rPr>
      </w:pPr>
      <w:r w:rsidRPr="00EC1AB2">
        <w:rPr>
          <w:rFonts w:ascii="Times New Roman" w:hAnsi="Times New Roman" w:cs="Times New Roman"/>
          <w:sz w:val="24"/>
          <w:szCs w:val="24"/>
        </w:rPr>
        <w:t>Rizikos kapitalas tapo JAV inovacijų sistemos kertiniu akmeniu, todėl šiuo laikotarpiu dauguma pasaulio vyriausybių įvairiais būdais stengiasi, kad jų šaly</w:t>
      </w:r>
      <w:r w:rsidR="00B07FE3" w:rsidRPr="00EC1AB2">
        <w:rPr>
          <w:rFonts w:ascii="Times New Roman" w:hAnsi="Times New Roman" w:cs="Times New Roman"/>
          <w:sz w:val="24"/>
          <w:szCs w:val="24"/>
        </w:rPr>
        <w:t>je rizikos kapitalo fondai</w:t>
      </w:r>
      <w:r w:rsidRPr="00EC1AB2">
        <w:rPr>
          <w:rFonts w:ascii="Times New Roman" w:hAnsi="Times New Roman" w:cs="Times New Roman"/>
          <w:sz w:val="24"/>
          <w:szCs w:val="24"/>
        </w:rPr>
        <w:t xml:space="preserve"> pasiektų tokią pat sėkmę kaip JAV, nes stabilų ekonomikos augimą didžia dalimi lemia šalyje esantis inovacijų ir verslumo lygis. Aktyvios rizikos kapitalo rinkos sukūrimas, kuri teiktų stiprią paramą ankstyvos stadijos ir moderniųjų technologijų įmonėms, tapo ekonominės pol</w:t>
      </w:r>
      <w:r w:rsidR="00B07FE3" w:rsidRPr="00EC1AB2">
        <w:rPr>
          <w:rFonts w:ascii="Times New Roman" w:hAnsi="Times New Roman" w:cs="Times New Roman"/>
          <w:sz w:val="24"/>
          <w:szCs w:val="24"/>
        </w:rPr>
        <w:t>itikos prioritetu. Lietuvoje rizikos kapitalo fondų</w:t>
      </w:r>
      <w:r w:rsidRPr="00EC1AB2">
        <w:rPr>
          <w:rFonts w:ascii="Times New Roman" w:hAnsi="Times New Roman" w:cs="Times New Roman"/>
          <w:sz w:val="24"/>
          <w:szCs w:val="24"/>
        </w:rPr>
        <w:t xml:space="preserve"> investicijų santykis su BVP yra mažiausias ES, be to, Liet</w:t>
      </w:r>
      <w:r w:rsidR="00157D87" w:rsidRPr="00EC1AB2">
        <w:rPr>
          <w:rFonts w:ascii="Times New Roman" w:hAnsi="Times New Roman" w:cs="Times New Roman"/>
          <w:sz w:val="24"/>
          <w:szCs w:val="24"/>
        </w:rPr>
        <w:t>uva stipriai atsilieka ir nuo C</w:t>
      </w:r>
      <w:r w:rsidR="00932640" w:rsidRPr="00EC1AB2">
        <w:rPr>
          <w:rFonts w:ascii="Times New Roman" w:hAnsi="Times New Roman" w:cs="Times New Roman"/>
          <w:sz w:val="24"/>
          <w:szCs w:val="24"/>
        </w:rPr>
        <w:t>E</w:t>
      </w:r>
      <w:r w:rsidRPr="00EC1AB2">
        <w:rPr>
          <w:rFonts w:ascii="Times New Roman" w:hAnsi="Times New Roman" w:cs="Times New Roman"/>
          <w:sz w:val="24"/>
          <w:szCs w:val="24"/>
        </w:rPr>
        <w:t>E šalių vidurkio, todėl verta panagrinėti priežastis, lemiančias šią padėtį.</w:t>
      </w:r>
    </w:p>
    <w:p w:rsidR="00034424" w:rsidRPr="00EC1AB2" w:rsidRDefault="00D20A94" w:rsidP="007A02A8">
      <w:pPr>
        <w:spacing w:after="0" w:line="360" w:lineRule="auto"/>
        <w:ind w:firstLine="720"/>
        <w:jc w:val="both"/>
        <w:rPr>
          <w:rFonts w:ascii="Times New Roman" w:hAnsi="Times New Roman" w:cs="Times New Roman"/>
          <w:sz w:val="24"/>
          <w:szCs w:val="24"/>
        </w:rPr>
      </w:pPr>
      <w:r w:rsidRPr="00EC1AB2">
        <w:rPr>
          <w:rFonts w:ascii="Times New Roman" w:hAnsi="Times New Roman" w:cs="Times New Roman"/>
          <w:sz w:val="24"/>
          <w:szCs w:val="24"/>
        </w:rPr>
        <w:t>Tyrimo</w:t>
      </w:r>
      <w:r w:rsidR="00034424" w:rsidRPr="00EC1AB2">
        <w:rPr>
          <w:rFonts w:ascii="Times New Roman" w:hAnsi="Times New Roman" w:cs="Times New Roman"/>
          <w:sz w:val="24"/>
          <w:szCs w:val="24"/>
        </w:rPr>
        <w:t xml:space="preserve"> problema – kokios priežastys lemia rizikos kapitalo fondų nepakankamą plėtrą Lietuvoje?</w:t>
      </w:r>
    </w:p>
    <w:p w:rsidR="00034424" w:rsidRPr="00EC1AB2" w:rsidRDefault="00D20A94" w:rsidP="000A4E60">
      <w:pPr>
        <w:spacing w:after="0" w:line="360" w:lineRule="auto"/>
        <w:ind w:firstLine="720"/>
        <w:jc w:val="both"/>
        <w:rPr>
          <w:rFonts w:ascii="Times New Roman" w:hAnsi="Times New Roman" w:cs="Times New Roman"/>
          <w:sz w:val="24"/>
          <w:szCs w:val="24"/>
        </w:rPr>
      </w:pPr>
      <w:r w:rsidRPr="00EC1AB2">
        <w:rPr>
          <w:rFonts w:ascii="Times New Roman" w:hAnsi="Times New Roman" w:cs="Times New Roman"/>
          <w:sz w:val="24"/>
          <w:szCs w:val="24"/>
        </w:rPr>
        <w:t>Tyrimo</w:t>
      </w:r>
      <w:r w:rsidR="00034424" w:rsidRPr="00EC1AB2">
        <w:rPr>
          <w:rFonts w:ascii="Times New Roman" w:hAnsi="Times New Roman" w:cs="Times New Roman"/>
          <w:sz w:val="24"/>
          <w:szCs w:val="24"/>
        </w:rPr>
        <w:t xml:space="preserve"> objektas – rizi</w:t>
      </w:r>
      <w:r w:rsidR="004E64CD" w:rsidRPr="00EC1AB2">
        <w:rPr>
          <w:rFonts w:ascii="Times New Roman" w:hAnsi="Times New Roman" w:cs="Times New Roman"/>
          <w:sz w:val="24"/>
          <w:szCs w:val="24"/>
        </w:rPr>
        <w:t>kos kapitalo fondų plėtra. Tyrimo</w:t>
      </w:r>
      <w:r w:rsidR="00034424" w:rsidRPr="00EC1AB2">
        <w:rPr>
          <w:rFonts w:ascii="Times New Roman" w:hAnsi="Times New Roman" w:cs="Times New Roman"/>
          <w:sz w:val="24"/>
          <w:szCs w:val="24"/>
        </w:rPr>
        <w:t xml:space="preserve"> tikslas – identifikuoti ir išanalizuoti veiksnius, neigiamai įtakojan</w:t>
      </w:r>
      <w:r w:rsidR="009435B8" w:rsidRPr="00EC1AB2">
        <w:rPr>
          <w:rFonts w:ascii="Times New Roman" w:hAnsi="Times New Roman" w:cs="Times New Roman"/>
          <w:sz w:val="24"/>
          <w:szCs w:val="24"/>
        </w:rPr>
        <w:t>čius rizikos kapitalo fondų</w:t>
      </w:r>
      <w:r w:rsidR="004E64CD" w:rsidRPr="00EC1AB2">
        <w:rPr>
          <w:rFonts w:ascii="Times New Roman" w:hAnsi="Times New Roman" w:cs="Times New Roman"/>
          <w:sz w:val="24"/>
          <w:szCs w:val="24"/>
        </w:rPr>
        <w:t xml:space="preserve"> plėtrą Lietuvoje. Tyrimo</w:t>
      </w:r>
      <w:r w:rsidR="00034424" w:rsidRPr="00EC1AB2">
        <w:rPr>
          <w:rFonts w:ascii="Times New Roman" w:hAnsi="Times New Roman" w:cs="Times New Roman"/>
          <w:sz w:val="24"/>
          <w:szCs w:val="24"/>
        </w:rPr>
        <w:t xml:space="preserve"> uždaviniai: </w:t>
      </w:r>
      <w:r w:rsidR="000A4E60" w:rsidRPr="00EC1AB2">
        <w:rPr>
          <w:rFonts w:ascii="Times New Roman" w:hAnsi="Times New Roman" w:cs="Times New Roman"/>
          <w:sz w:val="24"/>
          <w:szCs w:val="24"/>
        </w:rPr>
        <w:t>pateikti rizikos kapitalo fondų teorinius aspektus; paren</w:t>
      </w:r>
      <w:r w:rsidR="00AA2E26" w:rsidRPr="00EC1AB2">
        <w:rPr>
          <w:rFonts w:ascii="Times New Roman" w:hAnsi="Times New Roman" w:cs="Times New Roman"/>
          <w:sz w:val="24"/>
          <w:szCs w:val="24"/>
        </w:rPr>
        <w:t>g</w:t>
      </w:r>
      <w:r w:rsidR="000A4E60" w:rsidRPr="00EC1AB2">
        <w:rPr>
          <w:rFonts w:ascii="Times New Roman" w:hAnsi="Times New Roman" w:cs="Times New Roman"/>
          <w:sz w:val="24"/>
          <w:szCs w:val="24"/>
        </w:rPr>
        <w:t>ti rizikos kapitalo fondų plėtros tyrimo metodologiją; įvertinti rizikos kapit</w:t>
      </w:r>
      <w:r w:rsidR="009435B8" w:rsidRPr="00EC1AB2">
        <w:rPr>
          <w:rFonts w:ascii="Times New Roman" w:hAnsi="Times New Roman" w:cs="Times New Roman"/>
          <w:sz w:val="24"/>
          <w:szCs w:val="24"/>
        </w:rPr>
        <w:t>alo fondų įtaką ES</w:t>
      </w:r>
      <w:r w:rsidR="000A4E60" w:rsidRPr="00EC1AB2">
        <w:rPr>
          <w:rFonts w:ascii="Times New Roman" w:hAnsi="Times New Roman" w:cs="Times New Roman"/>
          <w:sz w:val="24"/>
          <w:szCs w:val="24"/>
        </w:rPr>
        <w:t xml:space="preserve"> šalių inovatyvumui; išanalizuoti pagrindines priežastis, trukdančias plėtotis rizikos kapitalo fondams Lietuvoje bei pateikti siūlymus šių kliūčių šalinimui. </w:t>
      </w:r>
    </w:p>
    <w:p w:rsidR="00034424" w:rsidRPr="00EC1AB2" w:rsidRDefault="00D20A94" w:rsidP="007A02A8">
      <w:pPr>
        <w:spacing w:after="0" w:line="360" w:lineRule="auto"/>
        <w:ind w:firstLine="720"/>
        <w:jc w:val="both"/>
        <w:rPr>
          <w:rFonts w:ascii="Times New Roman" w:hAnsi="Times New Roman" w:cs="Times New Roman"/>
          <w:sz w:val="24"/>
          <w:szCs w:val="24"/>
        </w:rPr>
      </w:pPr>
      <w:r w:rsidRPr="00EC1AB2">
        <w:rPr>
          <w:rFonts w:ascii="Times New Roman" w:hAnsi="Times New Roman" w:cs="Times New Roman"/>
          <w:sz w:val="24"/>
          <w:szCs w:val="24"/>
        </w:rPr>
        <w:t>Tyrimo</w:t>
      </w:r>
      <w:r w:rsidR="00034424" w:rsidRPr="00EC1AB2">
        <w:rPr>
          <w:rFonts w:ascii="Times New Roman" w:hAnsi="Times New Roman" w:cs="Times New Roman"/>
          <w:sz w:val="24"/>
          <w:szCs w:val="24"/>
        </w:rPr>
        <w:t xml:space="preserve"> metodai - norminių aktų, mokslinės literatūros bei internetinių šaltinių duomenų </w:t>
      </w:r>
      <w:r w:rsidR="00034424" w:rsidRPr="00EC1AB2">
        <w:rPr>
          <w:rFonts w:ascii="Times New Roman" w:hAnsi="Times New Roman" w:cs="Times New Roman"/>
          <w:sz w:val="24"/>
          <w:szCs w:val="24"/>
          <w:lang w:eastAsia="lt-LT"/>
        </w:rPr>
        <w:t xml:space="preserve">loginė analizė ir sintezė, palyginimo, </w:t>
      </w:r>
      <w:r w:rsidR="00034424" w:rsidRPr="00EC1AB2">
        <w:rPr>
          <w:rFonts w:ascii="Times New Roman" w:hAnsi="Times New Roman" w:cs="Times New Roman"/>
          <w:sz w:val="24"/>
          <w:szCs w:val="24"/>
        </w:rPr>
        <w:t>statistiniai duomenų apdorojimo ir grafinio vaizdavimo metodai</w:t>
      </w:r>
      <w:r w:rsidR="00034424" w:rsidRPr="00EC1AB2">
        <w:rPr>
          <w:rFonts w:ascii="Times New Roman" w:hAnsi="Times New Roman" w:cs="Times New Roman"/>
          <w:sz w:val="24"/>
          <w:szCs w:val="24"/>
          <w:lang w:eastAsia="lt-LT"/>
        </w:rPr>
        <w:t xml:space="preserve">, koreliacinė analizė, ekspertinis tyrimas, SWOT analizė. Darbą sudaro įvadas, trys skyriai, išvados ir siūlymai. </w:t>
      </w:r>
    </w:p>
    <w:p w:rsidR="00034424" w:rsidRPr="00EC1AB2" w:rsidRDefault="000A4E60" w:rsidP="007A02A8">
      <w:pPr>
        <w:spacing w:after="0" w:line="360" w:lineRule="auto"/>
        <w:ind w:firstLine="720"/>
        <w:jc w:val="both"/>
        <w:rPr>
          <w:rFonts w:ascii="Times New Roman" w:hAnsi="Times New Roman" w:cs="Times New Roman"/>
          <w:sz w:val="24"/>
          <w:szCs w:val="24"/>
        </w:rPr>
      </w:pPr>
      <w:r w:rsidRPr="00EC1AB2">
        <w:rPr>
          <w:rFonts w:ascii="Times New Roman" w:hAnsi="Times New Roman" w:cs="Times New Roman"/>
          <w:sz w:val="24"/>
          <w:szCs w:val="24"/>
        </w:rPr>
        <w:t>Nustatyta, kad rizikos kapitalo fondų</w:t>
      </w:r>
      <w:r w:rsidR="00034424" w:rsidRPr="00EC1AB2">
        <w:rPr>
          <w:rFonts w:ascii="Times New Roman" w:hAnsi="Times New Roman" w:cs="Times New Roman"/>
          <w:sz w:val="24"/>
          <w:szCs w:val="24"/>
        </w:rPr>
        <w:t xml:space="preserve"> investicijos teigiamai įtakoja suminio inovatyvumo indekso tiek nuolatinės veiklos, tiek rezultatų kategorijos rodiklius, o ypač teigiamai įtakoja ekonominio poveikio grupės rodiklius, pagal kuriuos Lietuva yra paskutinėje vietoje lyginant su kitomis ES šalimis, todėl galiama teigti, kad didelis Lietuvos atsilikimas diegiant inovaci</w:t>
      </w:r>
      <w:r w:rsidRPr="00EC1AB2">
        <w:rPr>
          <w:rFonts w:ascii="Times New Roman" w:hAnsi="Times New Roman" w:cs="Times New Roman"/>
          <w:sz w:val="24"/>
          <w:szCs w:val="24"/>
        </w:rPr>
        <w:t>jas iš dalies yra susijęs su rizikos kapitalo fondų</w:t>
      </w:r>
      <w:r w:rsidR="00034424" w:rsidRPr="00EC1AB2">
        <w:rPr>
          <w:rFonts w:ascii="Times New Roman" w:hAnsi="Times New Roman" w:cs="Times New Roman"/>
          <w:sz w:val="24"/>
          <w:szCs w:val="24"/>
        </w:rPr>
        <w:t xml:space="preserve"> nepaplitimu šalyje. </w:t>
      </w:r>
    </w:p>
    <w:p w:rsidR="00034424" w:rsidRPr="00EC1AB2" w:rsidRDefault="00034424" w:rsidP="007A02A8">
      <w:pPr>
        <w:spacing w:after="0" w:line="360" w:lineRule="auto"/>
        <w:ind w:firstLine="720"/>
        <w:jc w:val="both"/>
        <w:rPr>
          <w:rFonts w:ascii="Times New Roman" w:hAnsi="Times New Roman" w:cs="Times New Roman"/>
          <w:sz w:val="24"/>
          <w:szCs w:val="24"/>
        </w:rPr>
      </w:pPr>
    </w:p>
    <w:p w:rsidR="00034424" w:rsidRPr="00EC1AB2" w:rsidRDefault="00034424" w:rsidP="007A02A8">
      <w:pPr>
        <w:spacing w:after="0" w:line="360" w:lineRule="auto"/>
        <w:ind w:firstLine="720"/>
        <w:jc w:val="both"/>
        <w:rPr>
          <w:rFonts w:ascii="Times New Roman" w:hAnsi="Times New Roman" w:cs="Times New Roman"/>
          <w:sz w:val="24"/>
          <w:szCs w:val="24"/>
        </w:rPr>
      </w:pPr>
      <w:r w:rsidRPr="00EC1AB2">
        <w:rPr>
          <w:rFonts w:ascii="Times New Roman" w:hAnsi="Times New Roman" w:cs="Times New Roman"/>
          <w:sz w:val="24"/>
          <w:szCs w:val="24"/>
          <w:lang w:eastAsia="lt-LT"/>
        </w:rPr>
        <w:lastRenderedPageBreak/>
        <w:t xml:space="preserve">Remiantis ekspertinio tyrimo rezultatais, EVCA ataskaita ir </w:t>
      </w:r>
      <w:r w:rsidRPr="00EC1AB2">
        <w:rPr>
          <w:rFonts w:ascii="Times New Roman" w:hAnsi="Times New Roman" w:cs="Times New Roman"/>
          <w:bCs/>
          <w:sz w:val="24"/>
          <w:szCs w:val="24"/>
        </w:rPr>
        <w:t>The Global Venture Capital and Private Equity Country Attractiveness Index</w:t>
      </w:r>
      <w:r w:rsidRPr="00EC1AB2">
        <w:rPr>
          <w:rFonts w:ascii="Times New Roman" w:hAnsi="Times New Roman" w:cs="Times New Roman"/>
          <w:sz w:val="24"/>
          <w:szCs w:val="24"/>
        </w:rPr>
        <w:t xml:space="preserve"> analize išskirtos šios pagrindin</w:t>
      </w:r>
      <w:r w:rsidR="00F73AF8" w:rsidRPr="00EC1AB2">
        <w:rPr>
          <w:rFonts w:ascii="Times New Roman" w:hAnsi="Times New Roman" w:cs="Times New Roman"/>
          <w:sz w:val="24"/>
          <w:szCs w:val="24"/>
        </w:rPr>
        <w:t>ės kliūtys trukdančios rizikos kapitalo fondams</w:t>
      </w:r>
      <w:r w:rsidRPr="00EC1AB2">
        <w:rPr>
          <w:rFonts w:ascii="Times New Roman" w:hAnsi="Times New Roman" w:cs="Times New Roman"/>
          <w:sz w:val="24"/>
          <w:szCs w:val="24"/>
        </w:rPr>
        <w:t xml:space="preserve"> plėtotis Lietuvoje: specifinių mokestinių lengvatų, skatinančių jaunų ir inovatyvių įmonių plėtrą ankstyvoje veiklos stadijoje, nubuvimas, maža inovacijų sklaida, mažas pensijų fondų ir draudimo įmonių dalyvavimas formuojant rizikos kapitalo </w:t>
      </w:r>
      <w:r w:rsidR="003C24AB" w:rsidRPr="00EC1AB2">
        <w:rPr>
          <w:rFonts w:ascii="Times New Roman" w:hAnsi="Times New Roman" w:cs="Times New Roman"/>
          <w:sz w:val="24"/>
          <w:szCs w:val="24"/>
        </w:rPr>
        <w:t xml:space="preserve">fondų </w:t>
      </w:r>
      <w:r w:rsidRPr="00EC1AB2">
        <w:rPr>
          <w:rFonts w:ascii="Times New Roman" w:hAnsi="Times New Roman" w:cs="Times New Roman"/>
          <w:sz w:val="24"/>
          <w:szCs w:val="24"/>
        </w:rPr>
        <w:t>investic</w:t>
      </w:r>
      <w:r w:rsidR="00787F96" w:rsidRPr="00EC1AB2">
        <w:rPr>
          <w:rFonts w:ascii="Times New Roman" w:hAnsi="Times New Roman" w:cs="Times New Roman"/>
          <w:sz w:val="24"/>
          <w:szCs w:val="24"/>
        </w:rPr>
        <w:t>ijas, dėl VP rinkos mažo likvidumo</w:t>
      </w:r>
      <w:r w:rsidR="00B22979" w:rsidRPr="00EC1AB2">
        <w:rPr>
          <w:rFonts w:ascii="Times New Roman" w:hAnsi="Times New Roman" w:cs="Times New Roman"/>
          <w:bCs/>
          <w:sz w:val="24"/>
          <w:szCs w:val="24"/>
          <w:lang w:eastAsia="lt-LT"/>
        </w:rPr>
        <w:t xml:space="preserve"> ribota</w:t>
      </w:r>
      <w:r w:rsidR="003C24AB" w:rsidRPr="00EC1AB2">
        <w:rPr>
          <w:rFonts w:ascii="Times New Roman" w:hAnsi="Times New Roman" w:cs="Times New Roman"/>
          <w:bCs/>
          <w:sz w:val="24"/>
          <w:szCs w:val="24"/>
          <w:lang w:eastAsia="lt-LT"/>
        </w:rPr>
        <w:t>s rizikos kapitalo fondų</w:t>
      </w:r>
      <w:r w:rsidRPr="00EC1AB2">
        <w:rPr>
          <w:rFonts w:ascii="Times New Roman" w:hAnsi="Times New Roman" w:cs="Times New Roman"/>
          <w:bCs/>
          <w:sz w:val="24"/>
          <w:szCs w:val="24"/>
          <w:lang w:eastAsia="lt-LT"/>
        </w:rPr>
        <w:t xml:space="preserve"> investicijų realizavimo galimybių pasirinkimas</w:t>
      </w:r>
      <w:r w:rsidRPr="00EC1AB2">
        <w:rPr>
          <w:rFonts w:ascii="Times New Roman" w:hAnsi="Times New Roman" w:cs="Times New Roman"/>
          <w:bCs/>
          <w:lang w:eastAsia="lt-LT"/>
        </w:rPr>
        <w:t>.</w:t>
      </w:r>
    </w:p>
    <w:p w:rsidR="00034424" w:rsidRPr="00EC1AB2" w:rsidRDefault="00034424" w:rsidP="007A02A8">
      <w:pPr>
        <w:autoSpaceDE w:val="0"/>
        <w:autoSpaceDN w:val="0"/>
        <w:adjustRightInd w:val="0"/>
        <w:spacing w:after="0" w:line="360" w:lineRule="auto"/>
        <w:ind w:firstLine="720"/>
        <w:jc w:val="both"/>
        <w:rPr>
          <w:rFonts w:ascii="Times New Roman" w:hAnsi="Times New Roman" w:cs="Times New Roman"/>
          <w:sz w:val="24"/>
          <w:szCs w:val="24"/>
        </w:rPr>
      </w:pPr>
      <w:r w:rsidRPr="00EC1AB2">
        <w:rPr>
          <w:rFonts w:ascii="Times New Roman" w:hAnsi="Times New Roman" w:cs="Times New Roman"/>
          <w:bCs/>
          <w:sz w:val="24"/>
          <w:szCs w:val="24"/>
          <w:lang w:eastAsia="lt-LT"/>
        </w:rPr>
        <w:t xml:space="preserve">Pateikti šie siūlymai: </w:t>
      </w:r>
      <w:r w:rsidRPr="00EC1AB2">
        <w:rPr>
          <w:rFonts w:ascii="Times New Roman" w:eastAsia="Times New Roman" w:hAnsi="Times New Roman" w:cs="Times New Roman"/>
          <w:sz w:val="24"/>
          <w:szCs w:val="24"/>
          <w:lang w:eastAsia="lt-LT"/>
        </w:rPr>
        <w:t>pensijų ir draudimo įmonių skatinim</w:t>
      </w:r>
      <w:r w:rsidR="003C24AB" w:rsidRPr="00EC1AB2">
        <w:rPr>
          <w:rFonts w:ascii="Times New Roman" w:eastAsia="Times New Roman" w:hAnsi="Times New Roman" w:cs="Times New Roman"/>
          <w:sz w:val="24"/>
          <w:szCs w:val="24"/>
          <w:lang w:eastAsia="lt-LT"/>
        </w:rPr>
        <w:t>as dalyvauti formuojant rizikos kapitalo fondų investicijas</w:t>
      </w:r>
      <w:r w:rsidRPr="00EC1AB2">
        <w:rPr>
          <w:rFonts w:ascii="Times New Roman" w:eastAsia="Times New Roman" w:hAnsi="Times New Roman" w:cs="Times New Roman"/>
          <w:sz w:val="24"/>
          <w:szCs w:val="24"/>
          <w:lang w:eastAsia="lt-LT"/>
        </w:rPr>
        <w:t>, taikant mokesčių lengvatas, priemonių, skatinančių auštos pridėtinės vertė</w:t>
      </w:r>
      <w:r w:rsidR="00F73AF8" w:rsidRPr="00EC1AB2">
        <w:rPr>
          <w:rFonts w:ascii="Times New Roman" w:eastAsia="Times New Roman" w:hAnsi="Times New Roman" w:cs="Times New Roman"/>
          <w:sz w:val="24"/>
          <w:szCs w:val="24"/>
          <w:lang w:eastAsia="lt-LT"/>
        </w:rPr>
        <w:t xml:space="preserve">s verslų kūrimą, įgyvendinimas, </w:t>
      </w:r>
      <w:r w:rsidRPr="00EC1AB2">
        <w:rPr>
          <w:rFonts w:ascii="Times New Roman" w:eastAsia="Times New Roman" w:hAnsi="Times New Roman" w:cs="Times New Roman"/>
          <w:sz w:val="24"/>
          <w:szCs w:val="24"/>
          <w:lang w:eastAsia="lt-LT"/>
        </w:rPr>
        <w:t>mokslinės produkcijos gamybos ir Lietuvos ūkio reikmių duomenų bazių sudarymas.</w:t>
      </w:r>
    </w:p>
    <w:p w:rsidR="00157D87" w:rsidRPr="00EC1AB2" w:rsidRDefault="00157D87" w:rsidP="007A02A8">
      <w:pPr>
        <w:spacing w:after="0" w:line="360" w:lineRule="auto"/>
        <w:rPr>
          <w:rFonts w:ascii="Times New Roman" w:hAnsi="Times New Roman" w:cs="Times New Roman"/>
          <w:lang w:eastAsia="x-none"/>
        </w:rPr>
      </w:pPr>
      <w:r w:rsidRPr="00EC1AB2">
        <w:rPr>
          <w:rFonts w:ascii="Times New Roman" w:hAnsi="Times New Roman" w:cs="Times New Roman"/>
          <w:lang w:eastAsia="x-none"/>
        </w:rPr>
        <w:br w:type="page"/>
      </w:r>
    </w:p>
    <w:p w:rsidR="00E8257D" w:rsidRPr="00EC1AB2" w:rsidRDefault="00E8257D" w:rsidP="00E8257D">
      <w:pPr>
        <w:tabs>
          <w:tab w:val="left" w:pos="0"/>
        </w:tabs>
        <w:spacing w:after="0" w:line="360" w:lineRule="auto"/>
        <w:ind w:right="28"/>
        <w:jc w:val="both"/>
        <w:rPr>
          <w:rFonts w:ascii="Times New Roman" w:eastAsia="TimesNewRomanPSMT" w:hAnsi="Times New Roman" w:cs="Times New Roman"/>
          <w:sz w:val="24"/>
          <w:szCs w:val="24"/>
        </w:rPr>
      </w:pPr>
      <w:r w:rsidRPr="00EC1AB2">
        <w:rPr>
          <w:rFonts w:ascii="Times New Roman" w:eastAsia="TimesNewRomanPSMT" w:hAnsi="Times New Roman" w:cs="Times New Roman"/>
          <w:sz w:val="24"/>
          <w:szCs w:val="24"/>
        </w:rPr>
        <w:lastRenderedPageBreak/>
        <w:t xml:space="preserve">Šerkšnaitė A. </w:t>
      </w:r>
      <w:r w:rsidRPr="00EC1AB2">
        <w:rPr>
          <w:rStyle w:val="hps"/>
          <w:rFonts w:ascii="Times New Roman" w:hAnsi="Times New Roman" w:cs="Times New Roman"/>
          <w:sz w:val="24"/>
          <w:szCs w:val="24"/>
        </w:rPr>
        <w:t>The Development</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Problems of Venture</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 xml:space="preserve">Capital Funds in Lithuania </w:t>
      </w:r>
      <w:r w:rsidRPr="00EC1AB2">
        <w:rPr>
          <w:rFonts w:ascii="Times New Roman" w:eastAsia="TimesNewRomanPSMT" w:hAnsi="Times New Roman" w:cs="Times New Roman"/>
          <w:sz w:val="24"/>
          <w:szCs w:val="24"/>
        </w:rPr>
        <w:t xml:space="preserve">/ </w:t>
      </w:r>
      <w:r w:rsidRPr="00EC1AB2">
        <w:rPr>
          <w:rStyle w:val="hps"/>
          <w:rFonts w:ascii="Times New Roman" w:hAnsi="Times New Roman" w:cs="Times New Roman"/>
          <w:sz w:val="24"/>
          <w:szCs w:val="24"/>
        </w:rPr>
        <w:t>Finance Management</w:t>
      </w:r>
      <w:r w:rsidRPr="00EC1AB2">
        <w:rPr>
          <w:rStyle w:val="shorttext"/>
          <w:rFonts w:ascii="Times New Roman" w:hAnsi="Times New Roman" w:cs="Times New Roman"/>
          <w:sz w:val="24"/>
          <w:szCs w:val="24"/>
        </w:rPr>
        <w:t xml:space="preserve"> </w:t>
      </w:r>
      <w:r w:rsidRPr="00EC1AB2">
        <w:rPr>
          <w:rStyle w:val="hps"/>
          <w:rFonts w:ascii="Times New Roman" w:hAnsi="Times New Roman" w:cs="Times New Roman"/>
          <w:sz w:val="24"/>
          <w:szCs w:val="24"/>
        </w:rPr>
        <w:t>Master's</w:t>
      </w:r>
      <w:r w:rsidRPr="00EC1AB2">
        <w:rPr>
          <w:rStyle w:val="shorttext"/>
          <w:rFonts w:ascii="Times New Roman" w:hAnsi="Times New Roman" w:cs="Times New Roman"/>
          <w:sz w:val="24"/>
          <w:szCs w:val="24"/>
        </w:rPr>
        <w:t xml:space="preserve"> </w:t>
      </w:r>
      <w:r w:rsidRPr="00EC1AB2">
        <w:rPr>
          <w:rStyle w:val="hps"/>
          <w:rFonts w:ascii="Times New Roman" w:hAnsi="Times New Roman" w:cs="Times New Roman"/>
          <w:sz w:val="24"/>
          <w:szCs w:val="24"/>
        </w:rPr>
        <w:t>thesis</w:t>
      </w:r>
      <w:r w:rsidRPr="00EC1AB2">
        <w:rPr>
          <w:rFonts w:ascii="Times New Roman" w:eastAsia="TimesNewRomanPSMT" w:hAnsi="Times New Roman" w:cs="Times New Roman"/>
          <w:sz w:val="24"/>
          <w:szCs w:val="24"/>
        </w:rPr>
        <w:t>. Supervisor</w:t>
      </w:r>
      <w:r w:rsidRPr="00EC1AB2">
        <w:rPr>
          <w:rFonts w:ascii="Times New Roman" w:hAnsi="Times New Roman" w:cs="Times New Roman"/>
          <w:sz w:val="24"/>
          <w:szCs w:val="24"/>
        </w:rPr>
        <w:t xml:space="preserve"> Prof. Dr. I. Mačerinskienė – Vilnius: </w:t>
      </w:r>
      <w:r w:rsidRPr="00EC1AB2">
        <w:rPr>
          <w:rFonts w:ascii="Times New Roman" w:eastAsia="TimesNewRomanPSMT" w:hAnsi="Times New Roman" w:cs="Times New Roman"/>
          <w:sz w:val="24"/>
          <w:szCs w:val="24"/>
        </w:rPr>
        <w:t xml:space="preserve">Mykolas Romeris University, </w:t>
      </w:r>
      <w:r w:rsidRPr="00EC1AB2">
        <w:rPr>
          <w:rStyle w:val="Emphasis"/>
          <w:rFonts w:ascii="Times New Roman" w:hAnsi="Times New Roman" w:cs="Times New Roman"/>
          <w:sz w:val="24"/>
          <w:szCs w:val="24"/>
        </w:rPr>
        <w:t>Faculty</w:t>
      </w:r>
      <w:r w:rsidRPr="00EC1AB2">
        <w:rPr>
          <w:rStyle w:val="st"/>
          <w:rFonts w:ascii="Times New Roman" w:hAnsi="Times New Roman" w:cs="Times New Roman"/>
          <w:sz w:val="24"/>
          <w:szCs w:val="24"/>
        </w:rPr>
        <w:t xml:space="preserve"> of</w:t>
      </w:r>
      <w:r w:rsidRPr="00EC1AB2">
        <w:rPr>
          <w:rStyle w:val="st"/>
          <w:rFonts w:ascii="Times New Roman" w:hAnsi="Times New Roman" w:cs="Times New Roman"/>
          <w:i/>
          <w:sz w:val="24"/>
          <w:szCs w:val="24"/>
        </w:rPr>
        <w:t xml:space="preserve"> </w:t>
      </w:r>
      <w:r w:rsidRPr="00EC1AB2">
        <w:rPr>
          <w:rStyle w:val="Emphasis"/>
          <w:rFonts w:ascii="Times New Roman" w:hAnsi="Times New Roman" w:cs="Times New Roman"/>
          <w:sz w:val="24"/>
          <w:szCs w:val="24"/>
        </w:rPr>
        <w:t>Economics</w:t>
      </w:r>
      <w:r w:rsidRPr="00EC1AB2">
        <w:rPr>
          <w:rStyle w:val="st"/>
          <w:rFonts w:ascii="Times New Roman" w:hAnsi="Times New Roman" w:cs="Times New Roman"/>
          <w:i/>
          <w:sz w:val="24"/>
          <w:szCs w:val="24"/>
        </w:rPr>
        <w:t xml:space="preserve"> </w:t>
      </w:r>
      <w:r w:rsidRPr="00EC1AB2">
        <w:rPr>
          <w:rStyle w:val="st"/>
          <w:rFonts w:ascii="Times New Roman" w:hAnsi="Times New Roman" w:cs="Times New Roman"/>
          <w:sz w:val="24"/>
          <w:szCs w:val="24"/>
        </w:rPr>
        <w:t>and</w:t>
      </w:r>
      <w:r w:rsidRPr="00EC1AB2">
        <w:rPr>
          <w:rStyle w:val="st"/>
          <w:rFonts w:ascii="Times New Roman" w:hAnsi="Times New Roman" w:cs="Times New Roman"/>
          <w:i/>
          <w:sz w:val="24"/>
          <w:szCs w:val="24"/>
        </w:rPr>
        <w:t xml:space="preserve"> </w:t>
      </w:r>
      <w:r w:rsidRPr="00EC1AB2">
        <w:rPr>
          <w:rStyle w:val="Emphasis"/>
          <w:rFonts w:ascii="Times New Roman" w:hAnsi="Times New Roman" w:cs="Times New Roman"/>
          <w:sz w:val="24"/>
          <w:szCs w:val="24"/>
        </w:rPr>
        <w:t>Finance Management</w:t>
      </w:r>
      <w:r w:rsidRPr="00EC1AB2">
        <w:rPr>
          <w:rFonts w:ascii="Times New Roman" w:eastAsia="TimesNewRomanPSMT" w:hAnsi="Times New Roman" w:cs="Times New Roman"/>
          <w:sz w:val="24"/>
          <w:szCs w:val="24"/>
        </w:rPr>
        <w:t xml:space="preserve">, 2012. - </w:t>
      </w:r>
      <w:r w:rsidR="0066148B" w:rsidRPr="00EC1AB2">
        <w:rPr>
          <w:rFonts w:ascii="Times New Roman" w:eastAsia="TimesNewRomanPSMT" w:hAnsi="Times New Roman" w:cs="Times New Roman"/>
          <w:sz w:val="24"/>
          <w:szCs w:val="24"/>
        </w:rPr>
        <w:t xml:space="preserve">p. </w:t>
      </w:r>
      <w:r w:rsidR="00DF1838" w:rsidRPr="00EC1AB2">
        <w:rPr>
          <w:rFonts w:ascii="Times New Roman" w:eastAsia="TimesNewRomanPSMT" w:hAnsi="Times New Roman" w:cs="Times New Roman"/>
          <w:sz w:val="24"/>
          <w:szCs w:val="24"/>
        </w:rPr>
        <w:t>7</w:t>
      </w:r>
      <w:r w:rsidR="00215390" w:rsidRPr="00EC1AB2">
        <w:rPr>
          <w:rFonts w:ascii="Times New Roman" w:eastAsia="TimesNewRomanPSMT" w:hAnsi="Times New Roman" w:cs="Times New Roman"/>
          <w:sz w:val="24"/>
          <w:szCs w:val="24"/>
        </w:rPr>
        <w:t>5</w:t>
      </w:r>
      <w:r w:rsidRPr="00EC1AB2">
        <w:rPr>
          <w:rFonts w:ascii="Times New Roman" w:eastAsia="TimesNewRomanPSMT" w:hAnsi="Times New Roman" w:cs="Times New Roman"/>
          <w:sz w:val="24"/>
          <w:szCs w:val="24"/>
        </w:rPr>
        <w:t xml:space="preserve"> </w:t>
      </w:r>
    </w:p>
    <w:p w:rsidR="00E8257D" w:rsidRPr="00EC1AB2" w:rsidRDefault="00E8257D" w:rsidP="00E8257D">
      <w:pPr>
        <w:tabs>
          <w:tab w:val="left" w:pos="0"/>
        </w:tabs>
        <w:spacing w:after="0" w:line="360" w:lineRule="auto"/>
        <w:ind w:right="28"/>
        <w:jc w:val="both"/>
        <w:rPr>
          <w:rFonts w:ascii="Times New Roman" w:eastAsia="TimesNewRomanPSMT" w:hAnsi="Times New Roman" w:cs="Times New Roman"/>
          <w:sz w:val="24"/>
          <w:szCs w:val="24"/>
        </w:rPr>
      </w:pPr>
    </w:p>
    <w:p w:rsidR="00E8257D" w:rsidRPr="00EC1AB2" w:rsidRDefault="00E8257D" w:rsidP="00E8257D">
      <w:pPr>
        <w:tabs>
          <w:tab w:val="left" w:pos="0"/>
        </w:tabs>
        <w:spacing w:after="0" w:line="360" w:lineRule="auto"/>
        <w:ind w:right="28"/>
        <w:jc w:val="both"/>
        <w:rPr>
          <w:rFonts w:ascii="Times New Roman" w:eastAsia="TimesNewRomanPSMT" w:hAnsi="Times New Roman" w:cs="Times New Roman"/>
          <w:sz w:val="24"/>
          <w:szCs w:val="24"/>
        </w:rPr>
      </w:pPr>
    </w:p>
    <w:p w:rsidR="00E8257D" w:rsidRPr="00EC1AB2" w:rsidRDefault="00E8257D" w:rsidP="00AF08F6">
      <w:pPr>
        <w:pStyle w:val="Heading1"/>
        <w:rPr>
          <w:rFonts w:eastAsia="TimesNewRomanPSMT"/>
          <w:sz w:val="28"/>
          <w:szCs w:val="28"/>
        </w:rPr>
      </w:pPr>
      <w:bookmarkStart w:id="224" w:name="_Toc321092712"/>
      <w:r w:rsidRPr="00EC1AB2">
        <w:rPr>
          <w:rFonts w:eastAsia="TimesNewRomanPSMT"/>
          <w:sz w:val="28"/>
          <w:szCs w:val="28"/>
        </w:rPr>
        <w:t>SUMMARY</w:t>
      </w:r>
      <w:bookmarkEnd w:id="224"/>
      <w:r w:rsidRPr="00EC1AB2">
        <w:rPr>
          <w:rFonts w:eastAsia="TimesNewRomanPSMT"/>
          <w:sz w:val="28"/>
          <w:szCs w:val="28"/>
        </w:rPr>
        <w:t xml:space="preserve"> </w:t>
      </w:r>
      <w:r w:rsidRPr="00EC1AB2">
        <w:rPr>
          <w:rFonts w:eastAsia="TimesNewRomanPSMT"/>
          <w:sz w:val="28"/>
          <w:szCs w:val="28"/>
        </w:rPr>
        <w:br/>
      </w:r>
    </w:p>
    <w:p w:rsidR="00E8257D" w:rsidRPr="00EC1AB2" w:rsidRDefault="00E8257D" w:rsidP="00E8257D">
      <w:pPr>
        <w:spacing w:after="0" w:line="360" w:lineRule="auto"/>
        <w:ind w:firstLine="720"/>
        <w:jc w:val="both"/>
        <w:rPr>
          <w:rFonts w:ascii="Times New Roman" w:hAnsi="Times New Roman" w:cs="Times New Roman"/>
          <w:sz w:val="24"/>
          <w:szCs w:val="24"/>
        </w:rPr>
      </w:pPr>
      <w:r w:rsidRPr="00EC1AB2">
        <w:rPr>
          <w:rStyle w:val="hps"/>
          <w:rFonts w:ascii="Times New Roman" w:hAnsi="Times New Roman" w:cs="Times New Roman"/>
          <w:sz w:val="24"/>
          <w:szCs w:val="24"/>
        </w:rPr>
        <w:t>Venture capital has become</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the cornerstone of USA innovation</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system</w:t>
      </w:r>
      <w:r w:rsidRPr="00EC1AB2">
        <w:rPr>
          <w:rFonts w:ascii="Times New Roman" w:hAnsi="Times New Roman" w:cs="Times New Roman"/>
          <w:sz w:val="24"/>
          <w:szCs w:val="24"/>
        </w:rPr>
        <w:t xml:space="preserve">; therefore, during this period the most governments in the world in different ways are trying that </w:t>
      </w:r>
      <w:r w:rsidRPr="00EC1AB2">
        <w:rPr>
          <w:rStyle w:val="hps"/>
          <w:rFonts w:ascii="Times New Roman" w:hAnsi="Times New Roman" w:cs="Times New Roman"/>
          <w:sz w:val="24"/>
          <w:szCs w:val="24"/>
        </w:rPr>
        <w:t>Venture</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Capital Funds in their country would achieve the same success as the USA because sustained economic</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growth</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is largely</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determined by</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the level of</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innovation</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 xml:space="preserve">and entrepreneurship </w:t>
      </w:r>
      <w:r w:rsidRPr="00EC1AB2">
        <w:rPr>
          <w:rFonts w:ascii="Times New Roman" w:hAnsi="Times New Roman" w:cs="Times New Roman"/>
          <w:sz w:val="24"/>
          <w:szCs w:val="24"/>
        </w:rPr>
        <w:t xml:space="preserve">in </w:t>
      </w:r>
      <w:r w:rsidRPr="00EC1AB2">
        <w:rPr>
          <w:rStyle w:val="hps"/>
          <w:rFonts w:ascii="Times New Roman" w:hAnsi="Times New Roman" w:cs="Times New Roman"/>
          <w:sz w:val="24"/>
          <w:szCs w:val="24"/>
        </w:rPr>
        <w:t>the country. Active</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Venture Capital</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Market,</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which would provide</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strong support for</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early-stage</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and high-</w:t>
      </w:r>
      <w:r w:rsidRPr="00EC1AB2">
        <w:rPr>
          <w:rFonts w:ascii="Times New Roman" w:hAnsi="Times New Roman" w:cs="Times New Roman"/>
          <w:sz w:val="24"/>
          <w:szCs w:val="24"/>
        </w:rPr>
        <w:t xml:space="preserve">tech companies, has become a </w:t>
      </w:r>
      <w:r w:rsidRPr="00EC1AB2">
        <w:rPr>
          <w:rStyle w:val="hps"/>
          <w:rFonts w:ascii="Times New Roman" w:hAnsi="Times New Roman" w:cs="Times New Roman"/>
          <w:sz w:val="24"/>
          <w:szCs w:val="24"/>
        </w:rPr>
        <w:t>priority for</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economic policy. In Lithuania Venture</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Capital Funds investment ratio to GDP is the lowest in the EU, furthermore, Lithuania lags behind the average of</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CEE</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 xml:space="preserve">countries heavily so it makes sense to analyse the reasons leading to this situation. </w:t>
      </w:r>
    </w:p>
    <w:p w:rsidR="00E8257D" w:rsidRPr="00EC1AB2" w:rsidRDefault="00E8257D" w:rsidP="00E8257D">
      <w:pPr>
        <w:spacing w:after="0" w:line="360" w:lineRule="auto"/>
        <w:ind w:firstLine="720"/>
        <w:jc w:val="both"/>
        <w:rPr>
          <w:rFonts w:ascii="Times New Roman" w:hAnsi="Times New Roman" w:cs="Times New Roman"/>
          <w:sz w:val="24"/>
          <w:szCs w:val="24"/>
        </w:rPr>
      </w:pPr>
      <w:r w:rsidRPr="00EC1AB2">
        <w:rPr>
          <w:rFonts w:ascii="Times New Roman" w:hAnsi="Times New Roman" w:cs="Times New Roman"/>
          <w:sz w:val="24"/>
          <w:szCs w:val="24"/>
        </w:rPr>
        <w:t xml:space="preserve">The problem of the paper is the following: what the reasons are which determine insufficient </w:t>
      </w:r>
      <w:r w:rsidRPr="00EC1AB2">
        <w:rPr>
          <w:rStyle w:val="hps"/>
          <w:rFonts w:ascii="Times New Roman" w:hAnsi="Times New Roman" w:cs="Times New Roman"/>
          <w:sz w:val="24"/>
          <w:szCs w:val="24"/>
        </w:rPr>
        <w:t>development of Venture</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Capital Funds in Lithuania</w:t>
      </w:r>
      <w:r w:rsidRPr="00EC1AB2">
        <w:rPr>
          <w:rFonts w:ascii="Times New Roman" w:hAnsi="Times New Roman" w:cs="Times New Roman"/>
          <w:sz w:val="24"/>
          <w:szCs w:val="24"/>
        </w:rPr>
        <w:t>.</w:t>
      </w:r>
    </w:p>
    <w:p w:rsidR="00511227" w:rsidRPr="00EC1AB2" w:rsidRDefault="00E8257D" w:rsidP="005D654C">
      <w:pPr>
        <w:spacing w:after="0" w:line="360" w:lineRule="auto"/>
        <w:ind w:firstLine="720"/>
        <w:jc w:val="both"/>
        <w:rPr>
          <w:rStyle w:val="hps"/>
          <w:rFonts w:ascii="Times New Roman" w:hAnsi="Times New Roman" w:cs="Times New Roman"/>
          <w:sz w:val="24"/>
          <w:szCs w:val="24"/>
        </w:rPr>
      </w:pPr>
      <w:r w:rsidRPr="00EC1AB2">
        <w:rPr>
          <w:rFonts w:ascii="Times New Roman" w:hAnsi="Times New Roman" w:cs="Times New Roman"/>
          <w:sz w:val="24"/>
          <w:szCs w:val="24"/>
        </w:rPr>
        <w:t xml:space="preserve">The object of the paper is the development of </w:t>
      </w:r>
      <w:r w:rsidRPr="00EC1AB2">
        <w:rPr>
          <w:rStyle w:val="hps"/>
          <w:rFonts w:ascii="Times New Roman" w:hAnsi="Times New Roman" w:cs="Times New Roman"/>
          <w:sz w:val="24"/>
          <w:szCs w:val="24"/>
        </w:rPr>
        <w:t>Venture</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Capital Funds</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The aim</w:t>
      </w:r>
      <w:r w:rsidRPr="00EC1AB2">
        <w:rPr>
          <w:rFonts w:ascii="Times New Roman" w:hAnsi="Times New Roman" w:cs="Times New Roman"/>
          <w:sz w:val="24"/>
          <w:szCs w:val="24"/>
        </w:rPr>
        <w:t xml:space="preserve"> of the paper is </w:t>
      </w:r>
      <w:r w:rsidRPr="00EC1AB2">
        <w:rPr>
          <w:rStyle w:val="hps"/>
          <w:rFonts w:ascii="Times New Roman" w:hAnsi="Times New Roman" w:cs="Times New Roman"/>
          <w:sz w:val="24"/>
          <w:szCs w:val="24"/>
        </w:rPr>
        <w:t>to identify</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and analyze the</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factors that</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negatively</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influence the</w:t>
      </w:r>
      <w:r w:rsidRPr="00EC1AB2">
        <w:rPr>
          <w:rFonts w:ascii="Times New Roman" w:hAnsi="Times New Roman" w:cs="Times New Roman"/>
          <w:sz w:val="24"/>
          <w:szCs w:val="24"/>
        </w:rPr>
        <w:t xml:space="preserve"> development of </w:t>
      </w:r>
      <w:r w:rsidRPr="00EC1AB2">
        <w:rPr>
          <w:rStyle w:val="hps"/>
          <w:rFonts w:ascii="Times New Roman" w:hAnsi="Times New Roman" w:cs="Times New Roman"/>
          <w:sz w:val="24"/>
          <w:szCs w:val="24"/>
        </w:rPr>
        <w:t>Venture</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Capital Funds</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in Lithuania</w:t>
      </w:r>
      <w:r w:rsidRPr="00EC1AB2">
        <w:rPr>
          <w:rFonts w:ascii="Times New Roman" w:hAnsi="Times New Roman" w:cs="Times New Roman"/>
          <w:sz w:val="24"/>
          <w:szCs w:val="24"/>
        </w:rPr>
        <w:t>. The go</w:t>
      </w:r>
      <w:r w:rsidR="00511227" w:rsidRPr="00EC1AB2">
        <w:rPr>
          <w:rFonts w:ascii="Times New Roman" w:hAnsi="Times New Roman" w:cs="Times New Roman"/>
          <w:sz w:val="24"/>
          <w:szCs w:val="24"/>
        </w:rPr>
        <w:t>als of the paper are: to lay</w:t>
      </w:r>
      <w:r w:rsidRPr="00EC1AB2">
        <w:rPr>
          <w:rFonts w:ascii="Times New Roman" w:hAnsi="Times New Roman" w:cs="Times New Roman"/>
          <w:sz w:val="24"/>
          <w:szCs w:val="24"/>
        </w:rPr>
        <w:t xml:space="preserve"> the theoretical aspects of </w:t>
      </w:r>
      <w:r w:rsidRPr="00EC1AB2">
        <w:rPr>
          <w:rStyle w:val="hps"/>
          <w:rFonts w:ascii="Times New Roman" w:hAnsi="Times New Roman" w:cs="Times New Roman"/>
          <w:sz w:val="24"/>
          <w:szCs w:val="24"/>
        </w:rPr>
        <w:t>Venture</w:t>
      </w:r>
      <w:r w:rsidRPr="00EC1AB2">
        <w:rPr>
          <w:rFonts w:ascii="Times New Roman" w:hAnsi="Times New Roman" w:cs="Times New Roman"/>
          <w:sz w:val="24"/>
          <w:szCs w:val="24"/>
        </w:rPr>
        <w:t xml:space="preserve"> </w:t>
      </w:r>
      <w:r w:rsidR="00511227" w:rsidRPr="00EC1AB2">
        <w:rPr>
          <w:rStyle w:val="hps"/>
          <w:rFonts w:ascii="Times New Roman" w:hAnsi="Times New Roman" w:cs="Times New Roman"/>
          <w:sz w:val="24"/>
          <w:szCs w:val="24"/>
        </w:rPr>
        <w:t>Capital Funds,</w:t>
      </w:r>
      <w:r w:rsidRPr="00EC1AB2">
        <w:rPr>
          <w:rFonts w:ascii="Times New Roman" w:hAnsi="Times New Roman" w:cs="Times New Roman"/>
          <w:sz w:val="24"/>
          <w:szCs w:val="24"/>
        </w:rPr>
        <w:t xml:space="preserve"> to </w:t>
      </w:r>
      <w:r w:rsidR="00511227" w:rsidRPr="00EC1AB2">
        <w:rPr>
          <w:rFonts w:ascii="Times New Roman" w:hAnsi="Times New Roman" w:cs="Times New Roman"/>
          <w:sz w:val="24"/>
          <w:szCs w:val="24"/>
        </w:rPr>
        <w:t xml:space="preserve">prepare the research methodology, to </w:t>
      </w:r>
      <w:r w:rsidR="0095070C" w:rsidRPr="00EC1AB2">
        <w:rPr>
          <w:rFonts w:ascii="Times New Roman" w:hAnsi="Times New Roman" w:cs="Times New Roman"/>
          <w:sz w:val="24"/>
          <w:szCs w:val="24"/>
        </w:rPr>
        <w:t xml:space="preserve">define the </w:t>
      </w:r>
      <w:r w:rsidRPr="00EC1AB2">
        <w:rPr>
          <w:rStyle w:val="hps"/>
          <w:rFonts w:ascii="Times New Roman" w:hAnsi="Times New Roman" w:cs="Times New Roman"/>
          <w:sz w:val="24"/>
          <w:szCs w:val="24"/>
        </w:rPr>
        <w:t>Venture</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Capital Funds</w:t>
      </w:r>
      <w:r w:rsidR="0095070C" w:rsidRPr="00EC1AB2">
        <w:rPr>
          <w:rStyle w:val="hps"/>
          <w:rFonts w:ascii="Times New Roman" w:hAnsi="Times New Roman" w:cs="Times New Roman"/>
          <w:sz w:val="24"/>
          <w:szCs w:val="24"/>
        </w:rPr>
        <w:t xml:space="preserve"> investments</w:t>
      </w:r>
      <w:r w:rsidRPr="00EC1AB2">
        <w:rPr>
          <w:rFonts w:ascii="Times New Roman" w:hAnsi="Times New Roman" w:cs="Times New Roman"/>
          <w:sz w:val="24"/>
          <w:szCs w:val="24"/>
        </w:rPr>
        <w:t xml:space="preserve"> </w:t>
      </w:r>
      <w:r w:rsidR="0095070C" w:rsidRPr="00EC1AB2">
        <w:rPr>
          <w:rFonts w:ascii="Times New Roman" w:hAnsi="Times New Roman" w:cs="Times New Roman"/>
          <w:sz w:val="24"/>
          <w:szCs w:val="24"/>
        </w:rPr>
        <w:t>impact on the field of innovation,</w:t>
      </w:r>
      <w:r w:rsidRPr="00EC1AB2">
        <w:rPr>
          <w:rFonts w:ascii="Times New Roman" w:hAnsi="Times New Roman" w:cs="Times New Roman"/>
          <w:sz w:val="24"/>
          <w:szCs w:val="24"/>
          <w:lang w:eastAsia="lt-LT"/>
        </w:rPr>
        <w:t xml:space="preserve"> to identify </w:t>
      </w:r>
      <w:r w:rsidRPr="00EC1AB2">
        <w:rPr>
          <w:rStyle w:val="hps"/>
          <w:rFonts w:ascii="Times New Roman" w:hAnsi="Times New Roman" w:cs="Times New Roman"/>
          <w:sz w:val="24"/>
          <w:szCs w:val="24"/>
        </w:rPr>
        <w:t>the main problems</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affecting the</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development of</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Venture</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Capital Funds in Lithuania</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and to provide</w:t>
      </w:r>
      <w:r w:rsidRPr="00EC1AB2">
        <w:rPr>
          <w:rFonts w:ascii="Times New Roman" w:hAnsi="Times New Roman" w:cs="Times New Roman"/>
          <w:sz w:val="24"/>
          <w:szCs w:val="24"/>
          <w:lang w:eastAsia="lt-LT"/>
        </w:rPr>
        <w:t xml:space="preserve"> </w:t>
      </w:r>
      <w:r w:rsidRPr="00EC1AB2">
        <w:rPr>
          <w:rStyle w:val="hps"/>
          <w:rFonts w:ascii="Times New Roman" w:hAnsi="Times New Roman" w:cs="Times New Roman"/>
          <w:sz w:val="24"/>
          <w:szCs w:val="24"/>
        </w:rPr>
        <w:t>proposals for elimination of these issues.</w:t>
      </w:r>
    </w:p>
    <w:p w:rsidR="00E8257D" w:rsidRPr="00EC1AB2" w:rsidRDefault="00E8257D" w:rsidP="00E8257D">
      <w:pPr>
        <w:spacing w:after="0" w:line="360" w:lineRule="auto"/>
        <w:ind w:firstLine="720"/>
        <w:jc w:val="both"/>
        <w:rPr>
          <w:rFonts w:ascii="Times New Roman" w:hAnsi="Times New Roman" w:cs="Times New Roman"/>
          <w:sz w:val="24"/>
          <w:szCs w:val="24"/>
        </w:rPr>
      </w:pPr>
      <w:r w:rsidRPr="00EC1AB2">
        <w:rPr>
          <w:rStyle w:val="hps"/>
          <w:rFonts w:ascii="Times New Roman" w:hAnsi="Times New Roman" w:cs="Times New Roman"/>
          <w:sz w:val="24"/>
          <w:szCs w:val="24"/>
        </w:rPr>
        <w:t>The methods used in the paper are the following:</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logical analysis</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and synthesis of regulations</w:t>
      </w:r>
      <w:r w:rsidRPr="00EC1AB2">
        <w:rPr>
          <w:rFonts w:ascii="Times New Roman" w:hAnsi="Times New Roman" w:cs="Times New Roman"/>
          <w:sz w:val="24"/>
          <w:szCs w:val="24"/>
        </w:rPr>
        <w:t xml:space="preserve">, scientific </w:t>
      </w:r>
      <w:r w:rsidRPr="00EC1AB2">
        <w:rPr>
          <w:rStyle w:val="hps"/>
          <w:rFonts w:ascii="Times New Roman" w:hAnsi="Times New Roman" w:cs="Times New Roman"/>
          <w:sz w:val="24"/>
          <w:szCs w:val="24"/>
        </w:rPr>
        <w:t>literature and</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data from online</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sources,</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techniques of comparison and</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statistical</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data processing and</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visualization,</w:t>
      </w:r>
      <w:r w:rsidRPr="00EC1AB2">
        <w:rPr>
          <w:rFonts w:ascii="Times New Roman" w:hAnsi="Times New Roman" w:cs="Times New Roman"/>
          <w:sz w:val="24"/>
          <w:szCs w:val="24"/>
        </w:rPr>
        <w:t xml:space="preserve"> the </w:t>
      </w:r>
      <w:r w:rsidRPr="00EC1AB2">
        <w:rPr>
          <w:rStyle w:val="hps"/>
          <w:rFonts w:ascii="Times New Roman" w:hAnsi="Times New Roman" w:cs="Times New Roman"/>
          <w:sz w:val="24"/>
          <w:szCs w:val="24"/>
        </w:rPr>
        <w:t>correlation analysis</w:t>
      </w:r>
      <w:r w:rsidRPr="00EC1AB2">
        <w:rPr>
          <w:rFonts w:ascii="Times New Roman" w:hAnsi="Times New Roman" w:cs="Times New Roman"/>
          <w:sz w:val="24"/>
          <w:szCs w:val="24"/>
        </w:rPr>
        <w:t xml:space="preserve">, the expert </w:t>
      </w:r>
      <w:r w:rsidRPr="00EC1AB2">
        <w:rPr>
          <w:rStyle w:val="hps"/>
          <w:rFonts w:ascii="Times New Roman" w:hAnsi="Times New Roman" w:cs="Times New Roman"/>
          <w:sz w:val="24"/>
          <w:szCs w:val="24"/>
        </w:rPr>
        <w:t>analysis</w:t>
      </w:r>
      <w:r w:rsidRPr="00EC1AB2">
        <w:rPr>
          <w:rFonts w:ascii="Times New Roman" w:hAnsi="Times New Roman" w:cs="Times New Roman"/>
          <w:sz w:val="24"/>
          <w:szCs w:val="24"/>
        </w:rPr>
        <w:t xml:space="preserve">, a SWOT </w:t>
      </w:r>
      <w:r w:rsidRPr="00EC1AB2">
        <w:rPr>
          <w:rStyle w:val="hps"/>
          <w:rFonts w:ascii="Times New Roman" w:hAnsi="Times New Roman" w:cs="Times New Roman"/>
          <w:sz w:val="24"/>
          <w:szCs w:val="24"/>
        </w:rPr>
        <w:t xml:space="preserve">analysis. </w:t>
      </w:r>
      <w:r w:rsidRPr="00EC1AB2">
        <w:rPr>
          <w:rFonts w:ascii="Times New Roman" w:hAnsi="Times New Roman" w:cs="Times New Roman"/>
          <w:sz w:val="24"/>
          <w:szCs w:val="24"/>
          <w:lang w:eastAsia="lt-LT"/>
        </w:rPr>
        <w:t xml:space="preserve">The paper consists of an introduction, three chapters, conclusions and recommendations. </w:t>
      </w:r>
    </w:p>
    <w:p w:rsidR="00E8257D" w:rsidRPr="00EC1AB2" w:rsidRDefault="00E8257D" w:rsidP="00E8257D">
      <w:pPr>
        <w:spacing w:after="0" w:line="360" w:lineRule="auto"/>
        <w:ind w:firstLine="720"/>
        <w:jc w:val="both"/>
        <w:rPr>
          <w:rFonts w:ascii="Times New Roman" w:hAnsi="Times New Roman" w:cs="Times New Roman"/>
          <w:sz w:val="24"/>
          <w:szCs w:val="24"/>
        </w:rPr>
      </w:pPr>
      <w:r w:rsidRPr="00EC1AB2">
        <w:rPr>
          <w:rFonts w:ascii="Times New Roman" w:hAnsi="Times New Roman" w:cs="Times New Roman"/>
          <w:sz w:val="24"/>
          <w:szCs w:val="24"/>
        </w:rPr>
        <w:t xml:space="preserve">It was found that </w:t>
      </w:r>
      <w:r w:rsidRPr="00EC1AB2">
        <w:rPr>
          <w:rStyle w:val="hps"/>
          <w:rFonts w:ascii="Times New Roman" w:hAnsi="Times New Roman" w:cs="Times New Roman"/>
          <w:sz w:val="24"/>
          <w:szCs w:val="24"/>
        </w:rPr>
        <w:t>Venture</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 xml:space="preserve">Capital Funds investment influences positively both result categories of ongoing activities and indicators of the </w:t>
      </w:r>
      <w:r w:rsidRPr="00EC1AB2">
        <w:rPr>
          <w:rFonts w:ascii="Times New Roman" w:hAnsi="Times New Roman" w:cs="Times New Roman"/>
          <w:sz w:val="24"/>
          <w:szCs w:val="24"/>
          <w:lang w:eastAsia="lt-LT"/>
        </w:rPr>
        <w:t>innovation scoreboard</w:t>
      </w:r>
      <w:r w:rsidRPr="00EC1AB2">
        <w:rPr>
          <w:rFonts w:ascii="Times New Roman" w:hAnsi="Times New Roman" w:cs="Times New Roman"/>
          <w:sz w:val="24"/>
          <w:szCs w:val="24"/>
        </w:rPr>
        <w:t xml:space="preserve">, particularly there is positive impact on the economic impact group index by which Lithuania is in the last position if compared to other EU countries, therefore, it can be concluded that the large Lithuanian innovation lagging behind is partly associated with the non-prevalence of </w:t>
      </w:r>
      <w:r w:rsidRPr="00EC1AB2">
        <w:rPr>
          <w:rStyle w:val="hps"/>
          <w:rFonts w:ascii="Times New Roman" w:hAnsi="Times New Roman" w:cs="Times New Roman"/>
          <w:sz w:val="24"/>
          <w:szCs w:val="24"/>
        </w:rPr>
        <w:t>Venture</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Capital Funds in</w:t>
      </w:r>
      <w:r w:rsidRPr="00EC1AB2">
        <w:rPr>
          <w:rFonts w:ascii="Times New Roman" w:hAnsi="Times New Roman" w:cs="Times New Roman"/>
          <w:sz w:val="24"/>
          <w:szCs w:val="24"/>
        </w:rPr>
        <w:t xml:space="preserve"> the country. </w:t>
      </w:r>
    </w:p>
    <w:p w:rsidR="00E8257D" w:rsidRPr="00EC1AB2" w:rsidRDefault="00E8257D" w:rsidP="00E8257D">
      <w:pPr>
        <w:spacing w:after="0" w:line="360" w:lineRule="auto"/>
        <w:ind w:firstLine="720"/>
        <w:jc w:val="both"/>
        <w:rPr>
          <w:rFonts w:ascii="Times New Roman" w:hAnsi="Times New Roman" w:cs="Times New Roman"/>
          <w:sz w:val="24"/>
          <w:szCs w:val="24"/>
        </w:rPr>
      </w:pPr>
      <w:r w:rsidRPr="00EC1AB2">
        <w:rPr>
          <w:rFonts w:ascii="Times New Roman" w:hAnsi="Times New Roman" w:cs="Times New Roman"/>
          <w:sz w:val="24"/>
          <w:szCs w:val="24"/>
          <w:lang w:eastAsia="lt-LT"/>
        </w:rPr>
        <w:lastRenderedPageBreak/>
        <w:t xml:space="preserve">Based on </w:t>
      </w:r>
      <w:r w:rsidRPr="00EC1AB2">
        <w:rPr>
          <w:rStyle w:val="hps"/>
          <w:rFonts w:ascii="Times New Roman" w:hAnsi="Times New Roman" w:cs="Times New Roman"/>
          <w:sz w:val="24"/>
          <w:szCs w:val="24"/>
        </w:rPr>
        <w:t xml:space="preserve">the expert survey results, the report of </w:t>
      </w:r>
      <w:r w:rsidRPr="00EC1AB2">
        <w:rPr>
          <w:rFonts w:ascii="Times New Roman" w:hAnsi="Times New Roman" w:cs="Times New Roman"/>
          <w:sz w:val="24"/>
          <w:szCs w:val="24"/>
          <w:lang w:eastAsia="lt-LT"/>
        </w:rPr>
        <w:t xml:space="preserve">EVCA and the analysis of </w:t>
      </w:r>
      <w:r w:rsidRPr="00EC1AB2">
        <w:rPr>
          <w:rFonts w:ascii="Times New Roman" w:hAnsi="Times New Roman" w:cs="Times New Roman"/>
          <w:bCs/>
          <w:sz w:val="24"/>
          <w:szCs w:val="24"/>
        </w:rPr>
        <w:t xml:space="preserve">The Global Venture Capital and Private Equity Country Attractiveness Index, the main issues hindering development of </w:t>
      </w:r>
      <w:r w:rsidRPr="00EC1AB2">
        <w:rPr>
          <w:rStyle w:val="hps"/>
          <w:rFonts w:ascii="Times New Roman" w:hAnsi="Times New Roman" w:cs="Times New Roman"/>
          <w:sz w:val="24"/>
          <w:szCs w:val="24"/>
        </w:rPr>
        <w:t>Venture</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Capital Funds in Lithuania are distinguished:</w:t>
      </w:r>
      <w:r w:rsidRPr="00EC1AB2">
        <w:rPr>
          <w:rFonts w:ascii="Times New Roman" w:hAnsi="Times New Roman" w:cs="Times New Roman"/>
          <w:sz w:val="24"/>
          <w:szCs w:val="24"/>
        </w:rPr>
        <w:t xml:space="preserve"> lack of particular tax incentives encouraging the development of new and innovative businesses at an early stage of development, small spread of innovations, poor participation of retirement funds and insurance companies in the formation of venture capital investment, due to the stock market inefficiency the limited choice of implementation of </w:t>
      </w:r>
      <w:r w:rsidRPr="00EC1AB2">
        <w:rPr>
          <w:rStyle w:val="hps"/>
          <w:rFonts w:ascii="Times New Roman" w:hAnsi="Times New Roman" w:cs="Times New Roman"/>
          <w:sz w:val="24"/>
          <w:szCs w:val="24"/>
        </w:rPr>
        <w:t>Venture</w:t>
      </w:r>
      <w:r w:rsidRPr="00EC1AB2">
        <w:rPr>
          <w:rFonts w:ascii="Times New Roman" w:hAnsi="Times New Roman" w:cs="Times New Roman"/>
          <w:sz w:val="24"/>
          <w:szCs w:val="24"/>
        </w:rPr>
        <w:t xml:space="preserve"> </w:t>
      </w:r>
      <w:r w:rsidRPr="00EC1AB2">
        <w:rPr>
          <w:rStyle w:val="hps"/>
          <w:rFonts w:ascii="Times New Roman" w:hAnsi="Times New Roman" w:cs="Times New Roman"/>
          <w:sz w:val="24"/>
          <w:szCs w:val="24"/>
        </w:rPr>
        <w:t>Capital Funds investment</w:t>
      </w:r>
      <w:r w:rsidRPr="00EC1AB2">
        <w:rPr>
          <w:rFonts w:ascii="Times New Roman" w:hAnsi="Times New Roman" w:cs="Times New Roman"/>
          <w:bCs/>
          <w:sz w:val="24"/>
          <w:szCs w:val="24"/>
          <w:lang w:eastAsia="lt-LT"/>
        </w:rPr>
        <w:t>.</w:t>
      </w:r>
    </w:p>
    <w:p w:rsidR="00BC57A1" w:rsidRPr="00EC1AB2" w:rsidRDefault="00E8257D" w:rsidP="00E8257D">
      <w:pPr>
        <w:pStyle w:val="Heading1"/>
        <w:spacing w:before="0" w:after="0" w:line="360" w:lineRule="auto"/>
        <w:ind w:firstLine="720"/>
        <w:jc w:val="both"/>
        <w:rPr>
          <w:b w:val="0"/>
          <w:sz w:val="28"/>
          <w:szCs w:val="28"/>
        </w:rPr>
      </w:pPr>
      <w:bookmarkStart w:id="225" w:name="_Toc321092713"/>
      <w:r w:rsidRPr="00EC1AB2">
        <w:rPr>
          <w:b w:val="0"/>
          <w:bCs/>
          <w:sz w:val="24"/>
          <w:szCs w:val="24"/>
          <w:lang w:eastAsia="lt-LT"/>
        </w:rPr>
        <w:t xml:space="preserve">The following suggestions were presented: encouragement of the retirement and insurance companies to participate in process of </w:t>
      </w:r>
      <w:r w:rsidRPr="00EC1AB2">
        <w:rPr>
          <w:rStyle w:val="hps"/>
          <w:b w:val="0"/>
          <w:sz w:val="24"/>
          <w:szCs w:val="24"/>
        </w:rPr>
        <w:t>Venture</w:t>
      </w:r>
      <w:r w:rsidRPr="00EC1AB2">
        <w:rPr>
          <w:b w:val="0"/>
          <w:sz w:val="24"/>
          <w:szCs w:val="24"/>
        </w:rPr>
        <w:t xml:space="preserve"> </w:t>
      </w:r>
      <w:r w:rsidRPr="00EC1AB2">
        <w:rPr>
          <w:rStyle w:val="hps"/>
          <w:b w:val="0"/>
          <w:sz w:val="24"/>
          <w:szCs w:val="24"/>
        </w:rPr>
        <w:t xml:space="preserve">Capital Funds </w:t>
      </w:r>
      <w:r w:rsidRPr="00EC1AB2">
        <w:rPr>
          <w:b w:val="0"/>
          <w:bCs/>
          <w:sz w:val="24"/>
          <w:szCs w:val="24"/>
          <w:lang w:eastAsia="lt-LT"/>
        </w:rPr>
        <w:t>embodying</w:t>
      </w:r>
      <w:r w:rsidRPr="00EC1AB2">
        <w:rPr>
          <w:b w:val="0"/>
          <w:sz w:val="24"/>
          <w:szCs w:val="24"/>
          <w:lang w:eastAsia="lt-LT"/>
        </w:rPr>
        <w:t>, through tax incentives implementation of measures promoting a creatio</w:t>
      </w:r>
      <w:r w:rsidR="0050019E" w:rsidRPr="00EC1AB2">
        <w:rPr>
          <w:b w:val="0"/>
          <w:sz w:val="24"/>
          <w:szCs w:val="24"/>
          <w:lang w:eastAsia="lt-LT"/>
        </w:rPr>
        <w:t>n of high value-added business</w:t>
      </w:r>
      <w:r w:rsidRPr="00EC1AB2">
        <w:rPr>
          <w:b w:val="0"/>
          <w:sz w:val="24"/>
          <w:szCs w:val="24"/>
          <w:lang w:eastAsia="lt-LT"/>
        </w:rPr>
        <w:t>, creation of databases of scientific production and Lithuanian economy needs.</w:t>
      </w:r>
      <w:bookmarkEnd w:id="225"/>
    </w:p>
    <w:p w:rsidR="00932640" w:rsidRPr="00EC1AB2" w:rsidRDefault="00932640" w:rsidP="007A02A8">
      <w:pPr>
        <w:spacing w:after="0" w:line="360" w:lineRule="auto"/>
        <w:rPr>
          <w:rFonts w:ascii="Times New Roman" w:hAnsi="Times New Roman" w:cs="Times New Roman"/>
          <w:lang w:eastAsia="x-none"/>
        </w:rPr>
      </w:pPr>
      <w:r w:rsidRPr="00EC1AB2">
        <w:rPr>
          <w:rFonts w:ascii="Times New Roman" w:hAnsi="Times New Roman" w:cs="Times New Roman"/>
          <w:lang w:eastAsia="x-none"/>
        </w:rPr>
        <w:br w:type="page"/>
      </w:r>
    </w:p>
    <w:p w:rsidR="00A552BD" w:rsidRPr="00EC1AB2" w:rsidRDefault="00975B21" w:rsidP="00C73F43">
      <w:pPr>
        <w:pStyle w:val="Heading1"/>
        <w:spacing w:before="0" w:after="0" w:line="360" w:lineRule="auto"/>
        <w:rPr>
          <w:sz w:val="28"/>
          <w:szCs w:val="28"/>
        </w:rPr>
      </w:pPr>
      <w:bookmarkStart w:id="226" w:name="_Toc320567009"/>
      <w:bookmarkStart w:id="227" w:name="_Toc320567049"/>
      <w:bookmarkStart w:id="228" w:name="_Toc320567196"/>
      <w:bookmarkStart w:id="229" w:name="_Toc320761779"/>
      <w:bookmarkStart w:id="230" w:name="_Toc320761948"/>
      <w:bookmarkStart w:id="231" w:name="_Toc320762183"/>
      <w:bookmarkStart w:id="232" w:name="_Toc320762586"/>
      <w:bookmarkStart w:id="233" w:name="_Toc321092714"/>
      <w:r w:rsidRPr="00EC1AB2">
        <w:rPr>
          <w:sz w:val="28"/>
          <w:szCs w:val="28"/>
        </w:rPr>
        <w:lastRenderedPageBreak/>
        <w:t>PRIEDAI</w:t>
      </w:r>
      <w:bookmarkEnd w:id="226"/>
      <w:bookmarkEnd w:id="227"/>
      <w:bookmarkEnd w:id="228"/>
      <w:bookmarkEnd w:id="229"/>
      <w:bookmarkEnd w:id="230"/>
      <w:bookmarkEnd w:id="231"/>
      <w:bookmarkEnd w:id="232"/>
      <w:bookmarkEnd w:id="233"/>
    </w:p>
    <w:p w:rsidR="00FF1B3D" w:rsidRPr="00EC1AB2" w:rsidRDefault="00316E04" w:rsidP="007A02A8">
      <w:pPr>
        <w:pStyle w:val="Heading1"/>
        <w:spacing w:before="0" w:after="0" w:line="360" w:lineRule="auto"/>
        <w:jc w:val="right"/>
        <w:rPr>
          <w:sz w:val="24"/>
          <w:szCs w:val="24"/>
        </w:rPr>
      </w:pPr>
      <w:bookmarkStart w:id="234" w:name="_Toc320761780"/>
      <w:bookmarkStart w:id="235" w:name="_Toc320761949"/>
      <w:bookmarkStart w:id="236" w:name="_Toc320762184"/>
      <w:bookmarkStart w:id="237" w:name="_Toc320762587"/>
      <w:bookmarkStart w:id="238" w:name="_Toc321092715"/>
      <w:r w:rsidRPr="00EC1AB2">
        <w:rPr>
          <w:sz w:val="24"/>
          <w:szCs w:val="24"/>
        </w:rPr>
        <w:t>1 PRIEDAS</w:t>
      </w:r>
      <w:bookmarkEnd w:id="234"/>
      <w:bookmarkEnd w:id="235"/>
      <w:bookmarkEnd w:id="236"/>
      <w:bookmarkEnd w:id="237"/>
      <w:bookmarkEnd w:id="238"/>
    </w:p>
    <w:p w:rsidR="00FF1B3D" w:rsidRPr="00EC1AB2" w:rsidRDefault="00977365" w:rsidP="007A02A8">
      <w:pPr>
        <w:autoSpaceDE w:val="0"/>
        <w:autoSpaceDN w:val="0"/>
        <w:adjustRightInd w:val="0"/>
        <w:spacing w:after="0" w:line="360" w:lineRule="auto"/>
        <w:jc w:val="center"/>
        <w:rPr>
          <w:rFonts w:ascii="Times New Roman" w:hAnsi="Times New Roman" w:cs="Times New Roman"/>
          <w:sz w:val="24"/>
          <w:szCs w:val="24"/>
        </w:rPr>
      </w:pPr>
      <w:r w:rsidRPr="00EC1AB2">
        <w:rPr>
          <w:rFonts w:ascii="Times New Roman" w:hAnsi="Times New Roman" w:cs="Times New Roman"/>
          <w:sz w:val="24"/>
          <w:szCs w:val="24"/>
        </w:rPr>
        <w:t>SUMINIS INOVATYVUMO INDEKSAS ES 2007-2010 M.</w:t>
      </w:r>
    </w:p>
    <w:p w:rsidR="00977365" w:rsidRPr="00EC1AB2" w:rsidRDefault="00977365" w:rsidP="007A02A8">
      <w:pPr>
        <w:autoSpaceDE w:val="0"/>
        <w:autoSpaceDN w:val="0"/>
        <w:adjustRightInd w:val="0"/>
        <w:spacing w:after="0" w:line="360" w:lineRule="auto"/>
        <w:ind w:firstLine="1296"/>
        <w:jc w:val="both"/>
        <w:rPr>
          <w:rFonts w:ascii="Times New Roman" w:hAnsi="Times New Roman" w:cs="Times New Roman"/>
          <w:sz w:val="24"/>
          <w:szCs w:val="24"/>
        </w:rPr>
      </w:pPr>
    </w:p>
    <w:p w:rsidR="00B06D5D" w:rsidRPr="00EC1AB2" w:rsidRDefault="00B06D5D" w:rsidP="007A02A8">
      <w:pPr>
        <w:tabs>
          <w:tab w:val="left" w:pos="3546"/>
        </w:tabs>
        <w:autoSpaceDE w:val="0"/>
        <w:autoSpaceDN w:val="0"/>
        <w:adjustRightInd w:val="0"/>
        <w:spacing w:after="0" w:line="360" w:lineRule="auto"/>
        <w:ind w:firstLine="1296"/>
        <w:jc w:val="both"/>
        <w:rPr>
          <w:rFonts w:ascii="Times New Roman" w:hAnsi="Times New Roman" w:cs="Times New Roman"/>
          <w:sz w:val="24"/>
          <w:szCs w:val="24"/>
        </w:rPr>
      </w:pPr>
      <w:r w:rsidRPr="00EC1AB2">
        <w:rPr>
          <w:rFonts w:ascii="Times New Roman" w:hAnsi="Times New Roman" w:cs="Times New Roman"/>
          <w:noProof/>
          <w:sz w:val="24"/>
          <w:szCs w:val="24"/>
          <w:lang w:eastAsia="lt-LT"/>
        </w:rPr>
        <mc:AlternateContent>
          <mc:Choice Requires="wpg">
            <w:drawing>
              <wp:anchor distT="0" distB="0" distL="114300" distR="114300" simplePos="0" relativeHeight="251954176" behindDoc="0" locked="0" layoutInCell="1" allowOverlap="1" wp14:anchorId="31B7930C" wp14:editId="6A9108ED">
                <wp:simplePos x="0" y="0"/>
                <wp:positionH relativeFrom="column">
                  <wp:posOffset>271145</wp:posOffset>
                </wp:positionH>
                <wp:positionV relativeFrom="paragraph">
                  <wp:posOffset>3000375</wp:posOffset>
                </wp:positionV>
                <wp:extent cx="3286125" cy="495300"/>
                <wp:effectExtent l="0" t="0" r="0" b="0"/>
                <wp:wrapNone/>
                <wp:docPr id="190" name="Group 190"/>
                <wp:cNvGraphicFramePr/>
                <a:graphic xmlns:a="http://schemas.openxmlformats.org/drawingml/2006/main">
                  <a:graphicData uri="http://schemas.microsoft.com/office/word/2010/wordprocessingGroup">
                    <wpg:wgp>
                      <wpg:cNvGrpSpPr/>
                      <wpg:grpSpPr>
                        <a:xfrm>
                          <a:off x="0" y="0"/>
                          <a:ext cx="3286125" cy="495300"/>
                          <a:chOff x="0" y="0"/>
                          <a:chExt cx="3286125" cy="495300"/>
                        </a:xfrm>
                      </wpg:grpSpPr>
                      <wps:wsp>
                        <wps:cNvPr id="191" name="TextBox 2"/>
                        <wps:cNvSpPr txBox="1"/>
                        <wps:spPr>
                          <a:xfrm>
                            <a:off x="0" y="0"/>
                            <a:ext cx="3286125" cy="495300"/>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rsidR="00EC1AB2" w:rsidRPr="00CB652D" w:rsidRDefault="00EC1AB2" w:rsidP="00B06D5D">
                              <w:pPr>
                                <w:pStyle w:val="NormalWeb"/>
                                <w:rPr>
                                  <w:sz w:val="20"/>
                                  <w:szCs w:val="20"/>
                                </w:rPr>
                              </w:pPr>
                              <w:r>
                                <w:rPr>
                                  <w:rFonts w:asciiTheme="minorHAnsi" w:hAnsi="Calibri" w:cstheme="minorBidi"/>
                                  <w:color w:val="000000" w:themeColor="dark1"/>
                                  <w:sz w:val="22"/>
                                  <w:szCs w:val="22"/>
                                </w:rPr>
                                <w:t xml:space="preserve">     </w:t>
                              </w:r>
                              <w:r w:rsidRPr="00CB652D">
                                <w:rPr>
                                  <w:color w:val="000000" w:themeColor="dark1"/>
                                  <w:sz w:val="20"/>
                                  <w:szCs w:val="20"/>
                                </w:rPr>
                                <w:t>Nuosaikios inovatorės         Inovacijų šalininkės</w:t>
                              </w:r>
                            </w:p>
                            <w:p w:rsidR="00EC1AB2" w:rsidRPr="00CB652D" w:rsidRDefault="00EC1AB2" w:rsidP="00B06D5D">
                              <w:pPr>
                                <w:pStyle w:val="NormalWeb"/>
                                <w:rPr>
                                  <w:sz w:val="20"/>
                                  <w:szCs w:val="20"/>
                                </w:rPr>
                              </w:pPr>
                              <w:r w:rsidRPr="00CB652D">
                                <w:rPr>
                                  <w:color w:val="000000" w:themeColor="dark1"/>
                                  <w:sz w:val="20"/>
                                  <w:szCs w:val="20"/>
                                </w:rPr>
                                <w:t xml:space="preserve">     Vidutinės inovatorės         </w:t>
                              </w:r>
                              <w:r>
                                <w:rPr>
                                  <w:color w:val="000000" w:themeColor="dark1"/>
                                  <w:sz w:val="20"/>
                                  <w:szCs w:val="20"/>
                                </w:rPr>
                                <w:t xml:space="preserve">  </w:t>
                              </w:r>
                              <w:r w:rsidRPr="00CB652D">
                                <w:rPr>
                                  <w:color w:val="000000" w:themeColor="dark1"/>
                                  <w:sz w:val="20"/>
                                  <w:szCs w:val="20"/>
                                </w:rPr>
                                <w:t xml:space="preserve"> Inovacijų lyderės</w:t>
                              </w:r>
                            </w:p>
                          </w:txbxContent>
                        </wps:txbx>
                        <wps:bodyPr vertOverflow="clip" horzOverflow="clip" wrap="square" rtlCol="0" anchor="t">
                          <a:noAutofit/>
                        </wps:bodyPr>
                      </wps:wsp>
                      <wps:wsp>
                        <wps:cNvPr id="192" name="Rectangle 3"/>
                        <wps:cNvSpPr/>
                        <wps:spPr>
                          <a:xfrm>
                            <a:off x="133350" y="28575"/>
                            <a:ext cx="95250" cy="10477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wps:wsp>
                        <wps:cNvPr id="193" name="Rectangle 4"/>
                        <wps:cNvSpPr/>
                        <wps:spPr>
                          <a:xfrm>
                            <a:off x="1543050" y="28575"/>
                            <a:ext cx="95250" cy="104775"/>
                          </a:xfrm>
                          <a:prstGeom prst="rect">
                            <a:avLst/>
                          </a:prstGeom>
                          <a:solidFill>
                            <a:srgbClr val="C0E43C"/>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wps:wsp>
                        <wps:cNvPr id="194" name="Rectangle 5"/>
                        <wps:cNvSpPr/>
                        <wps:spPr>
                          <a:xfrm>
                            <a:off x="133350" y="209550"/>
                            <a:ext cx="95250" cy="104775"/>
                          </a:xfrm>
                          <a:prstGeom prst="rect">
                            <a:avLst/>
                          </a:prstGeom>
                          <a:solidFill>
                            <a:srgbClr val="9BE5E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wps:wsp>
                        <wps:cNvPr id="195" name="Rectangle 6"/>
                        <wps:cNvSpPr/>
                        <wps:spPr>
                          <a:xfrm>
                            <a:off x="1543050" y="209550"/>
                            <a:ext cx="95250" cy="104775"/>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id="Group 190" o:spid="_x0000_s1048" style="position:absolute;left:0;text-align:left;margin-left:21.35pt;margin-top:236.25pt;width:258.75pt;height:39pt;z-index:251954176;mso-height-relative:margin" coordsize="32861,49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">
                <v:shape id="_x0000_s1049" type="#_x0000_t202" style="position:absolute;width:32861;height:49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Yv/MAA&#10;AADcAAAADwAAAGRycy9kb3ducmV2LnhtbERPS4vCMBC+L/gfwgh7WxNlV7QaRRRhTys+wdvQjG2x&#10;mZQm2u6/N4LgbT6+50znrS3FnWpfONbQ7ykQxKkzBWcaDvv11wiED8gGS8ek4Z88zGedjykmxjW8&#10;pfsuZCKGsE9QQx5ClUjp05ws+p6riCN3cbXFEGGdSVNjE8NtKQdKDaXFgmNDjhUtc0qvu5vVcPy7&#10;nE/fapOt7E/VuFZJtmOp9We3XUxABGrDW/xy/5o4f9yH5zPxAjl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xYv/MAAAADcAAAADwAAAAAAAAAAAAAAAACYAgAAZHJzL2Rvd25y&#10;ZXYueG1sUEsFBgAAAAAEAAQA9QAAAIUDAAAAAA==&#10;" filled="f" stroked="f">
                  <v:textbox>
                    <w:txbxContent>
                      <w:p w:rsidR="00A03476" w:rsidRPr="00CB652D" w:rsidRDefault="00A03476" w:rsidP="00B06D5D">
                        <w:pPr>
                          <w:pStyle w:val="NormalWeb"/>
                          <w:rPr>
                            <w:sz w:val="20"/>
                            <w:szCs w:val="20"/>
                          </w:rPr>
                        </w:pPr>
                        <w:r>
                          <w:rPr>
                            <w:rFonts w:asciiTheme="minorHAnsi" w:hAnsi="Calibri" w:cstheme="minorBidi"/>
                            <w:color w:val="000000" w:themeColor="dark1"/>
                            <w:sz w:val="22"/>
                            <w:szCs w:val="22"/>
                          </w:rPr>
                          <w:t xml:space="preserve">     </w:t>
                        </w:r>
                        <w:r w:rsidRPr="00CB652D">
                          <w:rPr>
                            <w:color w:val="000000" w:themeColor="dark1"/>
                            <w:sz w:val="20"/>
                            <w:szCs w:val="20"/>
                          </w:rPr>
                          <w:t>Nuosaikios inovatorės         Inovacijų šalininkės</w:t>
                        </w:r>
                      </w:p>
                      <w:p w:rsidR="00A03476" w:rsidRPr="00CB652D" w:rsidRDefault="00A03476" w:rsidP="00B06D5D">
                        <w:pPr>
                          <w:pStyle w:val="NormalWeb"/>
                          <w:rPr>
                            <w:sz w:val="20"/>
                            <w:szCs w:val="20"/>
                          </w:rPr>
                        </w:pPr>
                        <w:r w:rsidRPr="00CB652D">
                          <w:rPr>
                            <w:color w:val="000000" w:themeColor="dark1"/>
                            <w:sz w:val="20"/>
                            <w:szCs w:val="20"/>
                          </w:rPr>
                          <w:t xml:space="preserve">     Vidutinės inovatorės         </w:t>
                        </w:r>
                        <w:r>
                          <w:rPr>
                            <w:color w:val="000000" w:themeColor="dark1"/>
                            <w:sz w:val="20"/>
                            <w:szCs w:val="20"/>
                          </w:rPr>
                          <w:t xml:space="preserve">  </w:t>
                        </w:r>
                        <w:r w:rsidRPr="00CB652D">
                          <w:rPr>
                            <w:color w:val="000000" w:themeColor="dark1"/>
                            <w:sz w:val="20"/>
                            <w:szCs w:val="20"/>
                          </w:rPr>
                          <w:t xml:space="preserve"> Inovacijų lyderės</w:t>
                        </w:r>
                      </w:p>
                    </w:txbxContent>
                  </v:textbox>
                </v:shape>
                <v:rect id="Rectangle 3" o:spid="_x0000_s1050" style="position:absolute;left:1333;top:285;width:953;height:1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nOcQA&#10;AADcAAAADwAAAGRycy9kb3ducmV2LnhtbERPTWvCQBC9F/wPywi91Y1CSxNdRYUEoUhp0h68Ddlp&#10;EpqdDdk1if/eLRR6m8f7nM1uMq0YqHeNZQXLRQSCuLS64UrBZ5E+vYJwHllja5kU3MjBbjt72GCi&#10;7cgfNOS+EiGEXYIKau+7REpX1mTQLWxHHLhv2xv0AfaV1D2OIdy0chVFL9Jgw6Ghxo6ONZU/+dUo&#10;eCv84fCeZenlOdNf8Tk7FnKfK/U4n/ZrEJ4m/y/+c590mB+v4PeZcIHc3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sr5znEAAAA3AAAAA8AAAAAAAAAAAAAAAAAmAIAAGRycy9k&#10;b3ducmV2LnhtbFBLBQYAAAAABAAEAPUAAACJAwAAAAA=&#10;" fillcolor="#e36c0a [2409]" stroked="f" strokeweight="2pt"/>
                <v:rect id="Rectangle 4" o:spid="_x0000_s1051" style="position:absolute;left:15430;top:285;width:953;height:1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3jg8UA&#10;AADcAAAADwAAAGRycy9kb3ducmV2LnhtbERP32vCMBB+H+x/CDfY20znQLQaRSaDiSKuVcS3o7k1&#10;Zc2lNFHr/nozEPZ2H9/Pm8w6W4sztb5yrOC1l4AgLpyuuFSwyz9ehiB8QNZYOyYFV/Iwmz4+TDDV&#10;7sJfdM5CKWII+xQVmBCaVEpfGLLoe64hjty3ay2GCNtS6hYvMdzWsp8kA2mx4thgsKF3Q8VPdrIK&#10;9tl+uRkctqt6kZvR79wsh+vmqNTzUzcfgwjUhX/x3f2p4/zRG/w9Ey+Q0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HeODxQAAANwAAAAPAAAAAAAAAAAAAAAAAJgCAABkcnMv&#10;ZG93bnJldi54bWxQSwUGAAAAAAQABAD1AAAAigMAAAAA&#10;" fillcolor="#c0e43c" stroked="f" strokeweight="2pt"/>
                <v:rect id="Rectangle 5" o:spid="_x0000_s1052" style="position:absolute;left:1333;top:2095;width:953;height:1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izO8EA&#10;AADcAAAADwAAAGRycy9kb3ducmV2LnhtbERP24rCMBB9X/Afwgi+rYkXRKtRVBAEYWFVEN+GZmyL&#10;zaQ0sda/N8LCvs3hXGexam0pGqp94VjDoK9AEKfOFJxpOJ9231MQPiAbLB2Thhd5WC07XwtMjHvy&#10;LzXHkIkYwj5BDXkIVSKlT3Oy6PuuIo7czdUWQ4R1Jk2NzxhuSzlUaiItFhwbcqxom1N6Pz6shotp&#10;LoeRug3vP7vr5npSbCZj1rrXbddzEIHa8C/+c+9NnD8bw+eZeIFcv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PIszvBAAAA3AAAAA8AAAAAAAAAAAAAAAAAmAIAAGRycy9kb3du&#10;cmV2LnhtbFBLBQYAAAAABAAEAPUAAACGAwAAAAA=&#10;" fillcolor="#9be5ef" stroked="f" strokeweight="2pt"/>
                <v:rect id="Rectangle 6" o:spid="_x0000_s1053" style="position:absolute;left:15430;top:2095;width:953;height:1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hpicIA&#10;AADcAAAADwAAAGRycy9kb3ducmV2LnhtbERPTWvCQBC9F/oflil4Kbqp2Kqpq6ggeBNTDzmO2WkS&#10;zM6G3a2J/94VhN7m8T5nsepNI67kfG1ZwccoAUFcWF1zqeD0sxvOQPiArLGxTApu5GG1fH1ZYKpt&#10;x0e6ZqEUMYR9igqqENpUSl9UZNCPbEscuV/rDIYIXSm1wy6Gm0aOk+RLGqw5NlTY0rai4pL9GQWH&#10;fDd1iT/rzWVd2Pzd5Jummyg1eOvX3yAC9eFf/HTvdZw//4THM/ECub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qGmJwgAAANwAAAAPAAAAAAAAAAAAAAAAAJgCAABkcnMvZG93&#10;bnJldi54bWxQSwUGAAAAAAQABAD1AAAAhwMAAAAA&#10;" fillcolor="#243f60 [1604]" stroked="f" strokeweight="2pt"/>
              </v:group>
            </w:pict>
          </mc:Fallback>
        </mc:AlternateContent>
      </w:r>
      <w:r w:rsidR="00B92F32" w:rsidRPr="00EC1AB2">
        <w:rPr>
          <w:rFonts w:ascii="Times New Roman" w:hAnsi="Times New Roman" w:cs="Times New Roman"/>
          <w:noProof/>
          <w:lang w:eastAsia="lt-LT"/>
        </w:rPr>
        <w:drawing>
          <wp:anchor distT="0" distB="0" distL="114300" distR="114300" simplePos="0" relativeHeight="251673600" behindDoc="1" locked="0" layoutInCell="1" allowOverlap="1" wp14:anchorId="59105692" wp14:editId="62D5FD26">
            <wp:simplePos x="0" y="0"/>
            <wp:positionH relativeFrom="column">
              <wp:posOffset>-128905</wp:posOffset>
            </wp:positionH>
            <wp:positionV relativeFrom="paragraph">
              <wp:posOffset>34925</wp:posOffset>
            </wp:positionV>
            <wp:extent cx="5867400" cy="2752725"/>
            <wp:effectExtent l="0" t="0" r="0" b="0"/>
            <wp:wrapTopAndBottom/>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14:sizeRelH relativeFrom="page">
              <wp14:pctWidth>0</wp14:pctWidth>
            </wp14:sizeRelH>
            <wp14:sizeRelV relativeFrom="page">
              <wp14:pctHeight>0</wp14:pctHeight>
            </wp14:sizeRelV>
          </wp:anchor>
        </w:drawing>
      </w:r>
    </w:p>
    <w:p w:rsidR="001840E2" w:rsidRPr="00EC1AB2" w:rsidRDefault="001840E2" w:rsidP="007A02A8">
      <w:pPr>
        <w:autoSpaceDE w:val="0"/>
        <w:autoSpaceDN w:val="0"/>
        <w:adjustRightInd w:val="0"/>
        <w:spacing w:after="0" w:line="360" w:lineRule="auto"/>
        <w:ind w:firstLine="1296"/>
        <w:jc w:val="both"/>
        <w:rPr>
          <w:rFonts w:ascii="Times New Roman" w:hAnsi="Times New Roman" w:cs="Times New Roman"/>
          <w:sz w:val="24"/>
          <w:szCs w:val="24"/>
        </w:rPr>
      </w:pPr>
      <w:r w:rsidRPr="00EC1AB2">
        <w:rPr>
          <w:rFonts w:ascii="Times New Roman" w:hAnsi="Times New Roman" w:cs="Times New Roman"/>
          <w:noProof/>
          <w:lang w:eastAsia="lt-LT"/>
        </w:rPr>
        <w:drawing>
          <wp:anchor distT="0" distB="0" distL="114300" distR="114300" simplePos="0" relativeHeight="251674624" behindDoc="1" locked="0" layoutInCell="1" allowOverlap="1" wp14:anchorId="465D7A0A" wp14:editId="0B1FA64E">
            <wp:simplePos x="0" y="0"/>
            <wp:positionH relativeFrom="column">
              <wp:posOffset>-43180</wp:posOffset>
            </wp:positionH>
            <wp:positionV relativeFrom="paragraph">
              <wp:posOffset>-3175</wp:posOffset>
            </wp:positionV>
            <wp:extent cx="5867400" cy="2752725"/>
            <wp:effectExtent l="0" t="0" r="0" b="0"/>
            <wp:wrapTopAndBottom/>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14:sizeRelH relativeFrom="page">
              <wp14:pctWidth>0</wp14:pctWidth>
            </wp14:sizeRelH>
            <wp14:sizeRelV relativeFrom="page">
              <wp14:pctHeight>0</wp14:pctHeight>
            </wp14:sizeRelV>
          </wp:anchor>
        </w:drawing>
      </w:r>
    </w:p>
    <w:p w:rsidR="00B06D5D" w:rsidRPr="00EC1AB2" w:rsidRDefault="00B06D5D" w:rsidP="007A02A8">
      <w:pPr>
        <w:autoSpaceDE w:val="0"/>
        <w:autoSpaceDN w:val="0"/>
        <w:adjustRightInd w:val="0"/>
        <w:spacing w:after="0" w:line="360" w:lineRule="auto"/>
        <w:ind w:firstLine="1296"/>
        <w:jc w:val="right"/>
        <w:rPr>
          <w:rFonts w:ascii="Times New Roman" w:hAnsi="Times New Roman" w:cs="Times New Roman"/>
          <w:sz w:val="24"/>
          <w:szCs w:val="24"/>
        </w:rPr>
      </w:pPr>
    </w:p>
    <w:p w:rsidR="00B06D5D" w:rsidRPr="00EC1AB2" w:rsidRDefault="00B06D5D" w:rsidP="007A02A8">
      <w:pPr>
        <w:autoSpaceDE w:val="0"/>
        <w:autoSpaceDN w:val="0"/>
        <w:adjustRightInd w:val="0"/>
        <w:spacing w:after="0" w:line="360" w:lineRule="auto"/>
        <w:ind w:firstLine="1296"/>
        <w:jc w:val="right"/>
        <w:rPr>
          <w:rFonts w:ascii="Times New Roman" w:hAnsi="Times New Roman" w:cs="Times New Roman"/>
          <w:sz w:val="24"/>
          <w:szCs w:val="24"/>
        </w:rPr>
      </w:pPr>
    </w:p>
    <w:p w:rsidR="00442ED1" w:rsidRPr="00EC1AB2" w:rsidRDefault="00442ED1" w:rsidP="00A86B78">
      <w:pPr>
        <w:autoSpaceDE w:val="0"/>
        <w:autoSpaceDN w:val="0"/>
        <w:adjustRightInd w:val="0"/>
        <w:spacing w:after="0" w:line="360" w:lineRule="auto"/>
        <w:rPr>
          <w:rFonts w:ascii="Times New Roman" w:hAnsi="Times New Roman" w:cs="Times New Roman"/>
          <w:sz w:val="24"/>
          <w:szCs w:val="24"/>
        </w:rPr>
      </w:pPr>
    </w:p>
    <w:p w:rsidR="00442ED1" w:rsidRPr="00EC1AB2" w:rsidRDefault="00442ED1" w:rsidP="00A86B78">
      <w:pPr>
        <w:autoSpaceDE w:val="0"/>
        <w:autoSpaceDN w:val="0"/>
        <w:adjustRightInd w:val="0"/>
        <w:spacing w:after="0" w:line="360" w:lineRule="auto"/>
        <w:rPr>
          <w:rFonts w:ascii="Times New Roman" w:hAnsi="Times New Roman" w:cs="Times New Roman"/>
          <w:sz w:val="24"/>
          <w:szCs w:val="24"/>
        </w:rPr>
      </w:pPr>
    </w:p>
    <w:p w:rsidR="00442ED1" w:rsidRPr="00EC1AB2" w:rsidRDefault="00442ED1" w:rsidP="00A86B78">
      <w:pPr>
        <w:autoSpaceDE w:val="0"/>
        <w:autoSpaceDN w:val="0"/>
        <w:adjustRightInd w:val="0"/>
        <w:spacing w:after="0" w:line="360" w:lineRule="auto"/>
        <w:rPr>
          <w:rFonts w:ascii="Times New Roman" w:hAnsi="Times New Roman" w:cs="Times New Roman"/>
          <w:sz w:val="24"/>
          <w:szCs w:val="24"/>
        </w:rPr>
      </w:pPr>
    </w:p>
    <w:p w:rsidR="000F3B2C" w:rsidRPr="00EC1AB2" w:rsidRDefault="000F3B2C" w:rsidP="00442ED1">
      <w:pPr>
        <w:autoSpaceDE w:val="0"/>
        <w:autoSpaceDN w:val="0"/>
        <w:adjustRightInd w:val="0"/>
        <w:spacing w:after="0" w:line="360" w:lineRule="auto"/>
        <w:jc w:val="right"/>
        <w:rPr>
          <w:rFonts w:ascii="Times New Roman" w:hAnsi="Times New Roman" w:cs="Times New Roman"/>
          <w:sz w:val="24"/>
          <w:szCs w:val="24"/>
        </w:rPr>
      </w:pPr>
      <w:r w:rsidRPr="00EC1AB2">
        <w:rPr>
          <w:rFonts w:ascii="Times New Roman" w:hAnsi="Times New Roman" w:cs="Times New Roman"/>
          <w:sz w:val="24"/>
          <w:szCs w:val="24"/>
        </w:rPr>
        <w:t>1 priedo tęsinys kitame puslapyje</w:t>
      </w:r>
    </w:p>
    <w:p w:rsidR="001840E2" w:rsidRPr="00EC1AB2" w:rsidRDefault="001840E2" w:rsidP="00442ED1">
      <w:pPr>
        <w:autoSpaceDE w:val="0"/>
        <w:autoSpaceDN w:val="0"/>
        <w:adjustRightInd w:val="0"/>
        <w:spacing w:after="0" w:line="360" w:lineRule="auto"/>
        <w:jc w:val="right"/>
        <w:rPr>
          <w:rFonts w:ascii="Times New Roman" w:hAnsi="Times New Roman" w:cs="Times New Roman"/>
          <w:sz w:val="24"/>
          <w:szCs w:val="24"/>
        </w:rPr>
      </w:pPr>
      <w:r w:rsidRPr="00EC1AB2">
        <w:rPr>
          <w:rFonts w:ascii="Times New Roman" w:hAnsi="Times New Roman" w:cs="Times New Roman"/>
          <w:noProof/>
          <w:lang w:eastAsia="lt-LT"/>
        </w:rPr>
        <w:lastRenderedPageBreak/>
        <w:drawing>
          <wp:anchor distT="0" distB="0" distL="114300" distR="114300" simplePos="0" relativeHeight="251675648" behindDoc="1" locked="0" layoutInCell="1" allowOverlap="1" wp14:anchorId="583BBB8D" wp14:editId="0696F96D">
            <wp:simplePos x="0" y="0"/>
            <wp:positionH relativeFrom="column">
              <wp:posOffset>23495</wp:posOffset>
            </wp:positionH>
            <wp:positionV relativeFrom="paragraph">
              <wp:posOffset>327660</wp:posOffset>
            </wp:positionV>
            <wp:extent cx="5867400" cy="2752725"/>
            <wp:effectExtent l="0" t="0" r="0" b="0"/>
            <wp:wrapTopAndBottom/>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14:sizeRelH relativeFrom="page">
              <wp14:pctWidth>0</wp14:pctWidth>
            </wp14:sizeRelH>
            <wp14:sizeRelV relativeFrom="page">
              <wp14:pctHeight>0</wp14:pctHeight>
            </wp14:sizeRelV>
          </wp:anchor>
        </w:drawing>
      </w:r>
      <w:r w:rsidR="000F3B2C" w:rsidRPr="00EC1AB2">
        <w:rPr>
          <w:rFonts w:ascii="Times New Roman" w:hAnsi="Times New Roman" w:cs="Times New Roman"/>
          <w:sz w:val="24"/>
          <w:szCs w:val="24"/>
        </w:rPr>
        <w:t>1 priedo tęsinys</w:t>
      </w:r>
    </w:p>
    <w:p w:rsidR="000F3B2C" w:rsidRPr="00EC1AB2" w:rsidRDefault="00B06D5D" w:rsidP="007A02A8">
      <w:pPr>
        <w:autoSpaceDE w:val="0"/>
        <w:autoSpaceDN w:val="0"/>
        <w:adjustRightInd w:val="0"/>
        <w:spacing w:after="0" w:line="360" w:lineRule="auto"/>
        <w:jc w:val="both"/>
        <w:rPr>
          <w:rFonts w:ascii="Times New Roman" w:hAnsi="Times New Roman" w:cs="Times New Roman"/>
          <w:sz w:val="24"/>
          <w:szCs w:val="24"/>
        </w:rPr>
      </w:pPr>
      <w:r w:rsidRPr="00EC1AB2">
        <w:rPr>
          <w:rFonts w:ascii="Times New Roman" w:hAnsi="Times New Roman" w:cs="Times New Roman"/>
          <w:noProof/>
          <w:sz w:val="24"/>
          <w:szCs w:val="24"/>
          <w:lang w:eastAsia="lt-LT"/>
        </w:rPr>
        <mc:AlternateContent>
          <mc:Choice Requires="wpg">
            <w:drawing>
              <wp:anchor distT="0" distB="0" distL="114300" distR="114300" simplePos="0" relativeHeight="251723776" behindDoc="0" locked="0" layoutInCell="1" allowOverlap="1" wp14:anchorId="68EB7EF8" wp14:editId="2D72EF06">
                <wp:simplePos x="0" y="0"/>
                <wp:positionH relativeFrom="column">
                  <wp:posOffset>118745</wp:posOffset>
                </wp:positionH>
                <wp:positionV relativeFrom="paragraph">
                  <wp:posOffset>2663190</wp:posOffset>
                </wp:positionV>
                <wp:extent cx="3286125" cy="495300"/>
                <wp:effectExtent l="0" t="0" r="0" b="0"/>
                <wp:wrapNone/>
                <wp:docPr id="183" name="Group 183"/>
                <wp:cNvGraphicFramePr/>
                <a:graphic xmlns:a="http://schemas.openxmlformats.org/drawingml/2006/main">
                  <a:graphicData uri="http://schemas.microsoft.com/office/word/2010/wordprocessingGroup">
                    <wpg:wgp>
                      <wpg:cNvGrpSpPr/>
                      <wpg:grpSpPr>
                        <a:xfrm>
                          <a:off x="0" y="0"/>
                          <a:ext cx="3286125" cy="495300"/>
                          <a:chOff x="0" y="0"/>
                          <a:chExt cx="3286125" cy="495300"/>
                        </a:xfrm>
                      </wpg:grpSpPr>
                      <wps:wsp>
                        <wps:cNvPr id="55" name="TextBox 2"/>
                        <wps:cNvSpPr txBox="1"/>
                        <wps:spPr>
                          <a:xfrm>
                            <a:off x="0" y="0"/>
                            <a:ext cx="3286125" cy="495300"/>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rsidR="00EC1AB2" w:rsidRPr="00CB652D" w:rsidRDefault="00EC1AB2" w:rsidP="002424B6">
                              <w:pPr>
                                <w:pStyle w:val="NormalWeb"/>
                                <w:rPr>
                                  <w:sz w:val="20"/>
                                  <w:szCs w:val="20"/>
                                </w:rPr>
                              </w:pPr>
                              <w:r>
                                <w:rPr>
                                  <w:rFonts w:asciiTheme="minorHAnsi" w:hAnsi="Calibri" w:cstheme="minorBidi"/>
                                  <w:color w:val="000000" w:themeColor="dark1"/>
                                  <w:sz w:val="22"/>
                                  <w:szCs w:val="22"/>
                                </w:rPr>
                                <w:t xml:space="preserve">     </w:t>
                              </w:r>
                              <w:r w:rsidRPr="00CB652D">
                                <w:rPr>
                                  <w:color w:val="000000" w:themeColor="dark1"/>
                                  <w:sz w:val="20"/>
                                  <w:szCs w:val="20"/>
                                </w:rPr>
                                <w:t>Nuosaikios inovatorės         Inovacijų šalininkės</w:t>
                              </w:r>
                            </w:p>
                            <w:p w:rsidR="00EC1AB2" w:rsidRPr="00CB652D" w:rsidRDefault="00EC1AB2" w:rsidP="002424B6">
                              <w:pPr>
                                <w:pStyle w:val="NormalWeb"/>
                                <w:rPr>
                                  <w:sz w:val="20"/>
                                  <w:szCs w:val="20"/>
                                </w:rPr>
                              </w:pPr>
                              <w:r w:rsidRPr="00CB652D">
                                <w:rPr>
                                  <w:color w:val="000000" w:themeColor="dark1"/>
                                  <w:sz w:val="20"/>
                                  <w:szCs w:val="20"/>
                                </w:rPr>
                                <w:t xml:space="preserve">     Vidutinės inovatorės         </w:t>
                              </w:r>
                              <w:r>
                                <w:rPr>
                                  <w:color w:val="000000" w:themeColor="dark1"/>
                                  <w:sz w:val="20"/>
                                  <w:szCs w:val="20"/>
                                </w:rPr>
                                <w:t xml:space="preserve">  </w:t>
                              </w:r>
                              <w:r w:rsidRPr="00CB652D">
                                <w:rPr>
                                  <w:color w:val="000000" w:themeColor="dark1"/>
                                  <w:sz w:val="20"/>
                                  <w:szCs w:val="20"/>
                                </w:rPr>
                                <w:t xml:space="preserve"> Inovacijų lyderės</w:t>
                              </w:r>
                            </w:p>
                          </w:txbxContent>
                        </wps:txbx>
                        <wps:bodyPr vertOverflow="clip" horzOverflow="clip" wrap="square" rtlCol="0" anchor="t">
                          <a:noAutofit/>
                        </wps:bodyPr>
                      </wps:wsp>
                      <wps:wsp>
                        <wps:cNvPr id="56" name="Rectangle 3"/>
                        <wps:cNvSpPr/>
                        <wps:spPr>
                          <a:xfrm>
                            <a:off x="133350" y="28575"/>
                            <a:ext cx="95250" cy="10477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wps:wsp>
                        <wps:cNvPr id="57" name="Rectangle 4"/>
                        <wps:cNvSpPr/>
                        <wps:spPr>
                          <a:xfrm>
                            <a:off x="1543050" y="28575"/>
                            <a:ext cx="95250" cy="104775"/>
                          </a:xfrm>
                          <a:prstGeom prst="rect">
                            <a:avLst/>
                          </a:prstGeom>
                          <a:solidFill>
                            <a:srgbClr val="C0E43C"/>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wps:wsp>
                        <wps:cNvPr id="58" name="Rectangle 5"/>
                        <wps:cNvSpPr/>
                        <wps:spPr>
                          <a:xfrm>
                            <a:off x="133350" y="209550"/>
                            <a:ext cx="95250" cy="104775"/>
                          </a:xfrm>
                          <a:prstGeom prst="rect">
                            <a:avLst/>
                          </a:prstGeom>
                          <a:solidFill>
                            <a:srgbClr val="9BE5E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wps:wsp>
                        <wps:cNvPr id="59" name="Rectangle 6"/>
                        <wps:cNvSpPr/>
                        <wps:spPr>
                          <a:xfrm>
                            <a:off x="1543050" y="209550"/>
                            <a:ext cx="95250" cy="104775"/>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id="Group 183" o:spid="_x0000_s1054" style="position:absolute;left:0;text-align:left;margin-left:9.35pt;margin-top:209.7pt;width:258.75pt;height:39pt;z-index:251723776;mso-height-relative:margin" coordsize="32861,49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">
                <v:shape id="_x0000_s1055" type="#_x0000_t202" style="position:absolute;width:32861;height:49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3PocIA&#10;AADbAAAADwAAAGRycy9kb3ducmV2LnhtbESPQWvCQBSE7wX/w/IEb3XXYopGV5GK4EmpVcHbI/tM&#10;gtm3Ibua+O/dQqHHYWa+YebLzlbiQY0vHWsYDRUI4syZknMNx5/N+wSED8gGK8ek4Ukelove2xxT&#10;41r+psch5CJC2KeooQihTqX0WUEW/dDVxNG7usZiiLLJpWmwjXBbyQ+lPqXFkuNCgTV9FZTdDner&#10;4bS7Xs5jtc/XNqlb1ynJdiq1HvS71QxEoC78h//aW6MhSeD3S/wBcvE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nc+hwgAAANsAAAAPAAAAAAAAAAAAAAAAAJgCAABkcnMvZG93&#10;bnJldi54bWxQSwUGAAAAAAQABAD1AAAAhwMAAAAA&#10;" filled="f" stroked="f">
                  <v:textbox>
                    <w:txbxContent>
                      <w:p w:rsidR="00A03476" w:rsidRPr="00CB652D" w:rsidRDefault="00A03476" w:rsidP="002424B6">
                        <w:pPr>
                          <w:pStyle w:val="NormalWeb"/>
                          <w:rPr>
                            <w:sz w:val="20"/>
                            <w:szCs w:val="20"/>
                          </w:rPr>
                        </w:pPr>
                        <w:r>
                          <w:rPr>
                            <w:rFonts w:asciiTheme="minorHAnsi" w:hAnsi="Calibri" w:cstheme="minorBidi"/>
                            <w:color w:val="000000" w:themeColor="dark1"/>
                            <w:sz w:val="22"/>
                            <w:szCs w:val="22"/>
                          </w:rPr>
                          <w:t xml:space="preserve">     </w:t>
                        </w:r>
                        <w:r w:rsidRPr="00CB652D">
                          <w:rPr>
                            <w:color w:val="000000" w:themeColor="dark1"/>
                            <w:sz w:val="20"/>
                            <w:szCs w:val="20"/>
                          </w:rPr>
                          <w:t>Nuosaikios inovatorės         Inovacijų šalininkės</w:t>
                        </w:r>
                      </w:p>
                      <w:p w:rsidR="00A03476" w:rsidRPr="00CB652D" w:rsidRDefault="00A03476" w:rsidP="002424B6">
                        <w:pPr>
                          <w:pStyle w:val="NormalWeb"/>
                          <w:rPr>
                            <w:sz w:val="20"/>
                            <w:szCs w:val="20"/>
                          </w:rPr>
                        </w:pPr>
                        <w:r w:rsidRPr="00CB652D">
                          <w:rPr>
                            <w:color w:val="000000" w:themeColor="dark1"/>
                            <w:sz w:val="20"/>
                            <w:szCs w:val="20"/>
                          </w:rPr>
                          <w:t xml:space="preserve">     Vidutinės inovatorės         </w:t>
                        </w:r>
                        <w:r>
                          <w:rPr>
                            <w:color w:val="000000" w:themeColor="dark1"/>
                            <w:sz w:val="20"/>
                            <w:szCs w:val="20"/>
                          </w:rPr>
                          <w:t xml:space="preserve">  </w:t>
                        </w:r>
                        <w:r w:rsidRPr="00CB652D">
                          <w:rPr>
                            <w:color w:val="000000" w:themeColor="dark1"/>
                            <w:sz w:val="20"/>
                            <w:szCs w:val="20"/>
                          </w:rPr>
                          <w:t xml:space="preserve"> Inovacijų lyderės</w:t>
                        </w:r>
                      </w:p>
                    </w:txbxContent>
                  </v:textbox>
                </v:shape>
                <v:rect id="Rectangle 3" o:spid="_x0000_s1056" style="position:absolute;left:1333;top:285;width:953;height:1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e1PcUA&#10;AADbAAAADwAAAGRycy9kb3ducmV2LnhtbESPQWvCQBSE7wX/w/KE3upGIaGNrqKCoSBSmrQHb4/s&#10;axKafRuy2yT9965Q6HGYmW+YzW4yrRiod41lBctFBIK4tLrhSsFHcXp6BuE8ssbWMin4JQe77exh&#10;g6m2I7/TkPtKBAi7FBXU3neplK6syaBb2I44eF+2N+iD7CupexwD3LRyFUWJNNhwWKixo2NN5Xf+&#10;YxScC384vGXZ6Rpn+vPlkh0Luc+VepxP+zUIT5P/D/+1X7WCOIH7l/AD5PY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B7U9xQAAANsAAAAPAAAAAAAAAAAAAAAAAJgCAABkcnMv&#10;ZG93bnJldi54bWxQSwUGAAAAAAQABAD1AAAAigMAAAAA&#10;" fillcolor="#e36c0a [2409]" stroked="f" strokeweight="2pt"/>
                <v:rect id="Rectangle 4" o:spid="_x0000_s1057" style="position:absolute;left:15430;top:285;width:953;height:1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Ges8cA&#10;AADbAAAADwAAAGRycy9kb3ducmV2LnhtbESP3WoCMRSE7wXfIRyhd5qt4E+3RhFFqFTErpXSu8Pm&#10;dLO4OVk2qW779E1B8HKYmW+Y2aK1lbhQ40vHCh4HCQji3OmSCwXvx01/CsIHZI2VY1LwQx4W825n&#10;hql2V36jSxYKESHsU1RgQqhTKX1uyKIfuJo4el+usRiibAqpG7xGuK3kMEnG0mLJccFgTStD+Tn7&#10;tgpO2Wm7H38cXqv10Tz9Ls12uqs/lXrotctnEIHacA/f2i9awWgC/1/iD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hhnrPHAAAA2wAAAA8AAAAAAAAAAAAAAAAAmAIAAGRy&#10;cy9kb3ducmV2LnhtbFBLBQYAAAAABAAEAPUAAACMAwAAAAA=&#10;" fillcolor="#c0e43c" stroked="f" strokeweight="2pt"/>
                <v:rect id="Rectangle 5" o:spid="_x0000_s1058" style="position:absolute;left:1333;top:2095;width:953;height:1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xBBb8A&#10;AADbAAAADwAAAGRycy9kb3ducmV2LnhtbERPy4rCMBTdC/5DuII7TXwyVKOoIAwIgjog7i7NtS02&#10;N6WJtfP3ZiG4PJz3ct3aUjRU+8KxhtFQgSBOnSk40/B32Q9+QPiAbLB0TBr+ycN61e0sMTHuxSdq&#10;ziETMYR9ghryEKpESp/mZNEPXUUcuburLYYI60yaGl8x3JZyrNRcWiw4NuRY0S6n9HF+Wg1X01wP&#10;E3UfP4772/Z2UWzmU9a632s3CxCB2vAVf9y/RsMsjo1f4g+Qqz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NjEEFvwAAANsAAAAPAAAAAAAAAAAAAAAAAJgCAABkcnMvZG93bnJl&#10;di54bWxQSwUGAAAAAAQABAD1AAAAhAMAAAAA&#10;" fillcolor="#9be5ef" stroked="f" strokeweight="2pt"/>
                <v:rect id="Rectangle 6" o:spid="_x0000_s1059" style="position:absolute;left:15430;top:2095;width:953;height:1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5UBOMMA&#10;AADbAAAADwAAAGRycy9kb3ducmV2LnhtbESPQWvCQBSE7wX/w/KEXopuLNba6CpaELyJsYccX7PP&#10;JJh9G3ZXk/57VxB6HGbmG2a57k0jbuR8bVnBZJyAIC6srrlU8HPajeYgfEDW2FgmBX/kYb0avCwx&#10;1bbjI92yUIoIYZ+igiqENpXSFxUZ9GPbEkfvbJ3BEKUrpXbYRbhp5HuSzKTBmuNChS19V1RcsqtR&#10;cMh3ny7xv3p72RQ2fzP5tummSr0O+80CRKA+/Ief7b1W8PEFjy/xB8jV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5UBOMMAAADbAAAADwAAAAAAAAAAAAAAAACYAgAAZHJzL2Rv&#10;d25yZXYueG1sUEsFBgAAAAAEAAQA9QAAAIgDAAAAAA==&#10;" fillcolor="#243f60 [1604]" stroked="f" strokeweight="2pt"/>
              </v:group>
            </w:pict>
          </mc:Fallback>
        </mc:AlternateContent>
      </w:r>
    </w:p>
    <w:p w:rsidR="001840E2" w:rsidRPr="00EC1AB2" w:rsidRDefault="004263E5" w:rsidP="007A02A8">
      <w:pPr>
        <w:autoSpaceDE w:val="0"/>
        <w:autoSpaceDN w:val="0"/>
        <w:adjustRightInd w:val="0"/>
        <w:spacing w:after="0" w:line="360" w:lineRule="auto"/>
        <w:ind w:firstLine="567"/>
        <w:jc w:val="both"/>
        <w:rPr>
          <w:rFonts w:ascii="Times New Roman" w:hAnsi="Times New Roman" w:cs="Times New Roman"/>
          <w:sz w:val="20"/>
          <w:szCs w:val="20"/>
        </w:rPr>
      </w:pPr>
      <w:r w:rsidRPr="00EC1AB2">
        <w:rPr>
          <w:rFonts w:ascii="Times New Roman" w:hAnsi="Times New Roman" w:cs="Times New Roman"/>
          <w:noProof/>
          <w:lang w:eastAsia="lt-LT"/>
        </w:rPr>
        <w:drawing>
          <wp:anchor distT="0" distB="0" distL="114300" distR="114300" simplePos="0" relativeHeight="251676672" behindDoc="1" locked="0" layoutInCell="1" allowOverlap="1" wp14:anchorId="2D48877B" wp14:editId="52824C67">
            <wp:simplePos x="0" y="0"/>
            <wp:positionH relativeFrom="column">
              <wp:posOffset>-33655</wp:posOffset>
            </wp:positionH>
            <wp:positionV relativeFrom="paragraph">
              <wp:posOffset>-81915</wp:posOffset>
            </wp:positionV>
            <wp:extent cx="5867400" cy="2752725"/>
            <wp:effectExtent l="0" t="0" r="0" b="0"/>
            <wp:wrapTopAndBottom/>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14:sizeRelH relativeFrom="page">
              <wp14:pctWidth>0</wp14:pctWidth>
            </wp14:sizeRelH>
            <wp14:sizeRelV relativeFrom="page">
              <wp14:pctHeight>0</wp14:pctHeight>
            </wp14:sizeRelV>
          </wp:anchor>
        </w:drawing>
      </w:r>
      <w:r w:rsidR="00222D14" w:rsidRPr="00EC1AB2">
        <w:rPr>
          <w:rFonts w:ascii="Times New Roman" w:hAnsi="Times New Roman" w:cs="Times New Roman"/>
          <w:b/>
          <w:sz w:val="20"/>
          <w:szCs w:val="20"/>
        </w:rPr>
        <w:t>Šaltinis:</w:t>
      </w:r>
      <w:r w:rsidR="00222D14" w:rsidRPr="00EC1AB2">
        <w:rPr>
          <w:rFonts w:ascii="Times New Roman" w:hAnsi="Times New Roman" w:cs="Times New Roman"/>
          <w:sz w:val="20"/>
          <w:szCs w:val="20"/>
        </w:rPr>
        <w:t xml:space="preserve"> sudaryta pagal Innovation Union Scoreboard</w:t>
      </w:r>
    </w:p>
    <w:p w:rsidR="00222D14" w:rsidRPr="00EC1AB2" w:rsidRDefault="00222D14" w:rsidP="007A02A8">
      <w:pPr>
        <w:autoSpaceDE w:val="0"/>
        <w:autoSpaceDN w:val="0"/>
        <w:adjustRightInd w:val="0"/>
        <w:spacing w:after="0" w:line="360" w:lineRule="auto"/>
        <w:jc w:val="center"/>
        <w:rPr>
          <w:rFonts w:ascii="Times New Roman" w:hAnsi="Times New Roman" w:cs="Times New Roman"/>
          <w:b/>
          <w:sz w:val="24"/>
          <w:szCs w:val="24"/>
        </w:rPr>
      </w:pPr>
      <w:r w:rsidRPr="00EC1AB2">
        <w:rPr>
          <w:rFonts w:ascii="Times New Roman" w:hAnsi="Times New Roman" w:cs="Times New Roman"/>
          <w:sz w:val="24"/>
          <w:szCs w:val="24"/>
        </w:rPr>
        <w:t xml:space="preserve">1 pav. </w:t>
      </w:r>
      <w:r w:rsidRPr="00EC1AB2">
        <w:rPr>
          <w:rFonts w:ascii="Times New Roman" w:hAnsi="Times New Roman" w:cs="Times New Roman"/>
          <w:b/>
          <w:sz w:val="24"/>
          <w:szCs w:val="24"/>
        </w:rPr>
        <w:t>Suminis inovatyvumo indeksas ES 2007-2010 m.</w:t>
      </w:r>
    </w:p>
    <w:p w:rsidR="00FA2427" w:rsidRPr="00EC1AB2" w:rsidRDefault="00FA2427" w:rsidP="007A02A8">
      <w:pPr>
        <w:autoSpaceDE w:val="0"/>
        <w:autoSpaceDN w:val="0"/>
        <w:adjustRightInd w:val="0"/>
        <w:spacing w:after="0" w:line="360" w:lineRule="auto"/>
        <w:rPr>
          <w:rFonts w:ascii="Times New Roman" w:hAnsi="Times New Roman" w:cs="Times New Roman"/>
          <w:sz w:val="24"/>
          <w:szCs w:val="24"/>
        </w:rPr>
      </w:pPr>
      <w:r w:rsidRPr="00EC1AB2">
        <w:rPr>
          <w:rFonts w:ascii="Times New Roman" w:hAnsi="Times New Roman" w:cs="Times New Roman"/>
          <w:sz w:val="24"/>
          <w:szCs w:val="24"/>
        </w:rPr>
        <w:br w:type="page"/>
      </w:r>
    </w:p>
    <w:p w:rsidR="00A52084" w:rsidRPr="00EC1AB2" w:rsidRDefault="00A52084" w:rsidP="007A02A8">
      <w:pPr>
        <w:autoSpaceDE w:val="0"/>
        <w:autoSpaceDN w:val="0"/>
        <w:adjustRightInd w:val="0"/>
        <w:spacing w:after="0" w:line="360" w:lineRule="auto"/>
        <w:ind w:firstLine="1296"/>
        <w:jc w:val="right"/>
        <w:rPr>
          <w:rFonts w:ascii="Times New Roman" w:hAnsi="Times New Roman" w:cs="Times New Roman"/>
          <w:b/>
          <w:sz w:val="24"/>
          <w:szCs w:val="24"/>
        </w:rPr>
      </w:pPr>
      <w:r w:rsidRPr="00EC1AB2">
        <w:rPr>
          <w:rFonts w:ascii="Times New Roman" w:hAnsi="Times New Roman" w:cs="Times New Roman"/>
          <w:b/>
          <w:sz w:val="24"/>
          <w:szCs w:val="24"/>
        </w:rPr>
        <w:lastRenderedPageBreak/>
        <w:t>2 PRIEDAS</w:t>
      </w:r>
    </w:p>
    <w:p w:rsidR="00A52084" w:rsidRPr="00EC1AB2" w:rsidRDefault="00A52084" w:rsidP="007A02A8">
      <w:pPr>
        <w:autoSpaceDE w:val="0"/>
        <w:autoSpaceDN w:val="0"/>
        <w:adjustRightInd w:val="0"/>
        <w:spacing w:after="0" w:line="360" w:lineRule="auto"/>
        <w:ind w:firstLine="1296"/>
        <w:jc w:val="right"/>
        <w:rPr>
          <w:rFonts w:ascii="Times New Roman" w:hAnsi="Times New Roman" w:cs="Times New Roman"/>
          <w:sz w:val="24"/>
          <w:szCs w:val="24"/>
        </w:rPr>
      </w:pPr>
    </w:p>
    <w:p w:rsidR="00FF76E0" w:rsidRPr="00EC1AB2" w:rsidRDefault="00FF76E0" w:rsidP="007A02A8">
      <w:pPr>
        <w:autoSpaceDE w:val="0"/>
        <w:autoSpaceDN w:val="0"/>
        <w:adjustRightInd w:val="0"/>
        <w:spacing w:after="0" w:line="360" w:lineRule="auto"/>
        <w:jc w:val="center"/>
        <w:rPr>
          <w:rFonts w:ascii="Times New Roman" w:hAnsi="Times New Roman" w:cs="Times New Roman"/>
          <w:sz w:val="24"/>
          <w:szCs w:val="24"/>
        </w:rPr>
      </w:pPr>
      <w:r w:rsidRPr="00EC1AB2">
        <w:rPr>
          <w:rFonts w:ascii="Times New Roman" w:hAnsi="Times New Roman" w:cs="Times New Roman"/>
          <w:sz w:val="24"/>
          <w:szCs w:val="24"/>
        </w:rPr>
        <w:t>SUMINIO INOVATYVUMO INDEKSO APSKAIČIAVIMO METODIKA</w:t>
      </w:r>
    </w:p>
    <w:p w:rsidR="00A52084" w:rsidRPr="00EC1AB2" w:rsidRDefault="00A52084" w:rsidP="007A02A8">
      <w:pPr>
        <w:autoSpaceDE w:val="0"/>
        <w:autoSpaceDN w:val="0"/>
        <w:adjustRightInd w:val="0"/>
        <w:spacing w:after="0" w:line="360" w:lineRule="auto"/>
        <w:ind w:firstLine="1296"/>
        <w:jc w:val="right"/>
        <w:rPr>
          <w:rFonts w:ascii="Times New Roman" w:hAnsi="Times New Roman" w:cs="Times New Roman"/>
          <w:sz w:val="24"/>
          <w:szCs w:val="24"/>
        </w:rPr>
      </w:pPr>
    </w:p>
    <w:p w:rsidR="00FF76E0" w:rsidRPr="00EC1AB2" w:rsidRDefault="00FF76E0" w:rsidP="007A02A8">
      <w:pPr>
        <w:autoSpaceDE w:val="0"/>
        <w:autoSpaceDN w:val="0"/>
        <w:adjustRightInd w:val="0"/>
        <w:spacing w:after="0" w:line="360" w:lineRule="auto"/>
        <w:jc w:val="center"/>
        <w:rPr>
          <w:rFonts w:ascii="Times New Roman" w:hAnsi="Times New Roman" w:cs="Times New Roman"/>
          <w:b/>
          <w:sz w:val="24"/>
          <w:szCs w:val="24"/>
        </w:rPr>
      </w:pPr>
      <w:r w:rsidRPr="00EC1AB2">
        <w:rPr>
          <w:rFonts w:ascii="Times New Roman" w:hAnsi="Times New Roman" w:cs="Times New Roman"/>
          <w:sz w:val="24"/>
          <w:szCs w:val="24"/>
        </w:rPr>
        <w:t xml:space="preserve">1 lentelė. </w:t>
      </w:r>
      <w:r w:rsidRPr="00EC1AB2">
        <w:rPr>
          <w:rFonts w:ascii="Times New Roman" w:hAnsi="Times New Roman" w:cs="Times New Roman"/>
          <w:b/>
          <w:sz w:val="24"/>
          <w:szCs w:val="24"/>
        </w:rPr>
        <w:t>Suminio inovatyvumo indekso apskaičiavimo metodika</w:t>
      </w:r>
    </w:p>
    <w:p w:rsidR="00FF76E0" w:rsidRPr="00EC1AB2" w:rsidRDefault="00FF76E0" w:rsidP="007A02A8">
      <w:pPr>
        <w:autoSpaceDE w:val="0"/>
        <w:autoSpaceDN w:val="0"/>
        <w:adjustRightInd w:val="0"/>
        <w:spacing w:after="0" w:line="360" w:lineRule="auto"/>
        <w:ind w:firstLine="1296"/>
        <w:jc w:val="center"/>
        <w:rPr>
          <w:rFonts w:ascii="Times New Roman" w:hAnsi="Times New Roman" w:cs="Times New Roman"/>
          <w:b/>
          <w:sz w:val="24"/>
          <w:szCs w:val="24"/>
        </w:rPr>
      </w:pPr>
    </w:p>
    <w:tbl>
      <w:tblPr>
        <w:tblStyle w:val="TableGrid"/>
        <w:tblW w:w="0" w:type="auto"/>
        <w:jc w:val="center"/>
        <w:tblLook w:val="04A0" w:firstRow="1" w:lastRow="0" w:firstColumn="1" w:lastColumn="0" w:noHBand="0" w:noVBand="1"/>
      </w:tblPr>
      <w:tblGrid>
        <w:gridCol w:w="8046"/>
        <w:gridCol w:w="1808"/>
      </w:tblGrid>
      <w:tr w:rsidR="00F25E1F" w:rsidRPr="00EC1AB2" w:rsidTr="00FF76E0">
        <w:trPr>
          <w:jc w:val="center"/>
        </w:trPr>
        <w:tc>
          <w:tcPr>
            <w:tcW w:w="8046" w:type="dxa"/>
          </w:tcPr>
          <w:p w:rsidR="00A52084" w:rsidRPr="00EC1AB2" w:rsidRDefault="00A52084" w:rsidP="007A02A8">
            <w:pPr>
              <w:autoSpaceDE w:val="0"/>
              <w:autoSpaceDN w:val="0"/>
              <w:adjustRightInd w:val="0"/>
              <w:spacing w:line="360" w:lineRule="auto"/>
              <w:jc w:val="center"/>
              <w:rPr>
                <w:rFonts w:ascii="Times New Roman" w:hAnsi="Times New Roman" w:cs="Times New Roman"/>
                <w:b/>
                <w:bCs/>
                <w:sz w:val="20"/>
                <w:szCs w:val="20"/>
              </w:rPr>
            </w:pPr>
            <w:r w:rsidRPr="00EC1AB2">
              <w:rPr>
                <w:rFonts w:ascii="Times New Roman" w:hAnsi="Times New Roman" w:cs="Times New Roman"/>
                <w:b/>
                <w:bCs/>
                <w:sz w:val="20"/>
                <w:szCs w:val="20"/>
              </w:rPr>
              <w:t>Rodiklis</w:t>
            </w:r>
          </w:p>
        </w:tc>
        <w:tc>
          <w:tcPr>
            <w:tcW w:w="1808" w:type="dxa"/>
          </w:tcPr>
          <w:p w:rsidR="00A52084" w:rsidRPr="00EC1AB2" w:rsidRDefault="00A52084" w:rsidP="007A02A8">
            <w:pPr>
              <w:autoSpaceDE w:val="0"/>
              <w:autoSpaceDN w:val="0"/>
              <w:adjustRightInd w:val="0"/>
              <w:spacing w:line="360" w:lineRule="auto"/>
              <w:jc w:val="center"/>
              <w:rPr>
                <w:rFonts w:ascii="Times New Roman" w:hAnsi="Times New Roman" w:cs="Times New Roman"/>
                <w:b/>
                <w:bCs/>
                <w:sz w:val="20"/>
                <w:szCs w:val="20"/>
              </w:rPr>
            </w:pPr>
            <w:r w:rsidRPr="00EC1AB2">
              <w:rPr>
                <w:rFonts w:ascii="Times New Roman" w:hAnsi="Times New Roman" w:cs="Times New Roman"/>
                <w:b/>
                <w:bCs/>
                <w:sz w:val="20"/>
                <w:szCs w:val="20"/>
              </w:rPr>
              <w:t>Duomenų šaltinis</w:t>
            </w:r>
          </w:p>
        </w:tc>
      </w:tr>
      <w:tr w:rsidR="00F25E1F" w:rsidRPr="00EC1AB2" w:rsidTr="00FF76E0">
        <w:trPr>
          <w:jc w:val="center"/>
        </w:trPr>
        <w:tc>
          <w:tcPr>
            <w:tcW w:w="8046" w:type="dxa"/>
          </w:tcPr>
          <w:p w:rsidR="00A52084" w:rsidRPr="00EC1AB2" w:rsidRDefault="00A52084" w:rsidP="007A02A8">
            <w:pPr>
              <w:autoSpaceDE w:val="0"/>
              <w:autoSpaceDN w:val="0"/>
              <w:adjustRightInd w:val="0"/>
              <w:spacing w:line="360" w:lineRule="auto"/>
              <w:rPr>
                <w:rFonts w:ascii="Times New Roman" w:hAnsi="Times New Roman" w:cs="Times New Roman"/>
                <w:b/>
                <w:bCs/>
                <w:sz w:val="20"/>
                <w:szCs w:val="20"/>
              </w:rPr>
            </w:pPr>
            <w:r w:rsidRPr="00EC1AB2">
              <w:rPr>
                <w:rFonts w:ascii="Times New Roman" w:hAnsi="Times New Roman" w:cs="Times New Roman"/>
                <w:b/>
                <w:bCs/>
                <w:sz w:val="20"/>
                <w:szCs w:val="20"/>
              </w:rPr>
              <w:t>PRIEMONĖS</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b/>
                <w:bCs/>
                <w:sz w:val="20"/>
                <w:szCs w:val="20"/>
              </w:rPr>
            </w:pPr>
          </w:p>
        </w:tc>
      </w:tr>
      <w:tr w:rsidR="00F25E1F" w:rsidRPr="00EC1AB2" w:rsidTr="00FF76E0">
        <w:trPr>
          <w:jc w:val="center"/>
        </w:trPr>
        <w:tc>
          <w:tcPr>
            <w:tcW w:w="8046" w:type="dxa"/>
          </w:tcPr>
          <w:p w:rsidR="00A52084" w:rsidRPr="00EC1AB2" w:rsidRDefault="00A52084" w:rsidP="007A02A8">
            <w:pPr>
              <w:autoSpaceDE w:val="0"/>
              <w:autoSpaceDN w:val="0"/>
              <w:adjustRightInd w:val="0"/>
              <w:spacing w:line="360" w:lineRule="auto"/>
              <w:rPr>
                <w:rFonts w:ascii="Times New Roman" w:hAnsi="Times New Roman" w:cs="Times New Roman"/>
                <w:b/>
                <w:bCs/>
                <w:sz w:val="20"/>
                <w:szCs w:val="20"/>
              </w:rPr>
            </w:pPr>
            <w:r w:rsidRPr="00EC1AB2">
              <w:rPr>
                <w:rFonts w:ascii="Times New Roman" w:hAnsi="Times New Roman" w:cs="Times New Roman"/>
                <w:b/>
                <w:bCs/>
                <w:sz w:val="20"/>
                <w:szCs w:val="20"/>
              </w:rPr>
              <w:t>Žmogiškieji ištekliai</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b/>
                <w:bCs/>
                <w:sz w:val="20"/>
                <w:szCs w:val="20"/>
              </w:rPr>
            </w:pPr>
          </w:p>
        </w:tc>
      </w:tr>
      <w:tr w:rsidR="00F25E1F" w:rsidRPr="00EC1AB2" w:rsidTr="00FF76E0">
        <w:trPr>
          <w:trHeight w:val="195"/>
          <w:jc w:val="center"/>
        </w:trPr>
        <w:tc>
          <w:tcPr>
            <w:tcW w:w="8046" w:type="dxa"/>
          </w:tcPr>
          <w:p w:rsidR="00A52084" w:rsidRPr="00EC1AB2" w:rsidRDefault="00A52084" w:rsidP="007A02A8">
            <w:pPr>
              <w:widowControl w:val="0"/>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1.1.1 Naujų daktaro laipsnį (ISCED 6) įgijusių asmenų, kurių amžius 25–</w:t>
            </w:r>
            <w:r w:rsidR="00FF76E0" w:rsidRPr="00EC1AB2">
              <w:rPr>
                <w:rFonts w:ascii="Times New Roman" w:hAnsi="Times New Roman" w:cs="Times New Roman"/>
                <w:sz w:val="20"/>
                <w:szCs w:val="20"/>
              </w:rPr>
              <w:t xml:space="preserve">34 m., </w:t>
            </w:r>
            <w:r w:rsidRPr="00EC1AB2">
              <w:rPr>
                <w:rFonts w:ascii="Times New Roman" w:hAnsi="Times New Roman" w:cs="Times New Roman"/>
                <w:sz w:val="20"/>
                <w:szCs w:val="20"/>
              </w:rPr>
              <w:t>1000 gyventojų</w:t>
            </w:r>
          </w:p>
        </w:tc>
        <w:tc>
          <w:tcPr>
            <w:tcW w:w="1808" w:type="dxa"/>
          </w:tcPr>
          <w:p w:rsidR="00A52084" w:rsidRPr="00EC1AB2" w:rsidRDefault="00FF76E0"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Eurostatas</w:t>
            </w:r>
          </w:p>
        </w:tc>
      </w:tr>
      <w:tr w:rsidR="00F25E1F" w:rsidRPr="00EC1AB2" w:rsidTr="00FF76E0">
        <w:trPr>
          <w:jc w:val="center"/>
        </w:trPr>
        <w:tc>
          <w:tcPr>
            <w:tcW w:w="8046"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1.1.2 Aukštąjį išsilavinimą turinčių gyventojų, kurių amžius 30–34 m., procentin</w:t>
            </w:r>
            <w:r w:rsidR="00FF76E0" w:rsidRPr="00EC1AB2">
              <w:rPr>
                <w:rFonts w:ascii="Times New Roman" w:hAnsi="Times New Roman" w:cs="Times New Roman"/>
                <w:sz w:val="20"/>
                <w:szCs w:val="20"/>
              </w:rPr>
              <w:t>ė dalis</w:t>
            </w:r>
          </w:p>
        </w:tc>
        <w:tc>
          <w:tcPr>
            <w:tcW w:w="1808" w:type="dxa"/>
          </w:tcPr>
          <w:p w:rsidR="00A52084" w:rsidRPr="00EC1AB2" w:rsidRDefault="00FF76E0"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Eurostatas</w:t>
            </w:r>
          </w:p>
        </w:tc>
      </w:tr>
      <w:tr w:rsidR="00F25E1F" w:rsidRPr="00EC1AB2" w:rsidTr="00FF76E0">
        <w:trPr>
          <w:jc w:val="center"/>
        </w:trPr>
        <w:tc>
          <w:tcPr>
            <w:tcW w:w="8046" w:type="dxa"/>
          </w:tcPr>
          <w:p w:rsidR="00A52084" w:rsidRPr="00EC1AB2" w:rsidRDefault="00A52084" w:rsidP="007A02A8">
            <w:pPr>
              <w:autoSpaceDE w:val="0"/>
              <w:autoSpaceDN w:val="0"/>
              <w:adjustRightInd w:val="0"/>
              <w:spacing w:line="360" w:lineRule="auto"/>
              <w:rPr>
                <w:rFonts w:ascii="Times New Roman" w:hAnsi="Times New Roman" w:cs="Times New Roman"/>
                <w:b/>
                <w:bCs/>
                <w:sz w:val="20"/>
                <w:szCs w:val="20"/>
              </w:rPr>
            </w:pPr>
            <w:r w:rsidRPr="00EC1AB2">
              <w:rPr>
                <w:rFonts w:ascii="Times New Roman" w:hAnsi="Times New Roman" w:cs="Times New Roman"/>
                <w:sz w:val="20"/>
                <w:szCs w:val="20"/>
              </w:rPr>
              <w:t>1.1.3 20–24 m. jaunuolių, įgijusių bent vidurinį išsilavinimą, procentinė dalis</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Eurostatas</w:t>
            </w:r>
          </w:p>
        </w:tc>
      </w:tr>
      <w:tr w:rsidR="00F25E1F" w:rsidRPr="00EC1AB2" w:rsidTr="00FF76E0">
        <w:trPr>
          <w:jc w:val="center"/>
        </w:trPr>
        <w:tc>
          <w:tcPr>
            <w:tcW w:w="8046" w:type="dxa"/>
          </w:tcPr>
          <w:p w:rsidR="00A52084" w:rsidRPr="00EC1AB2" w:rsidRDefault="00A52084" w:rsidP="007A02A8">
            <w:pPr>
              <w:autoSpaceDE w:val="0"/>
              <w:autoSpaceDN w:val="0"/>
              <w:adjustRightInd w:val="0"/>
              <w:spacing w:line="360" w:lineRule="auto"/>
              <w:rPr>
                <w:rFonts w:ascii="Times New Roman" w:hAnsi="Times New Roman" w:cs="Times New Roman"/>
                <w:b/>
                <w:bCs/>
                <w:sz w:val="20"/>
                <w:szCs w:val="20"/>
              </w:rPr>
            </w:pPr>
            <w:r w:rsidRPr="00EC1AB2">
              <w:rPr>
                <w:rFonts w:ascii="Times New Roman" w:hAnsi="Times New Roman" w:cs="Times New Roman"/>
                <w:b/>
                <w:bCs/>
                <w:sz w:val="20"/>
                <w:szCs w:val="20"/>
              </w:rPr>
              <w:t>Atviros, itin geros ir patrauklios mokslinių tyrimų sistemos</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b/>
                <w:bCs/>
                <w:sz w:val="20"/>
                <w:szCs w:val="20"/>
              </w:rPr>
            </w:pPr>
          </w:p>
        </w:tc>
      </w:tr>
      <w:tr w:rsidR="00F25E1F" w:rsidRPr="00EC1AB2" w:rsidTr="00FF76E0">
        <w:trPr>
          <w:jc w:val="center"/>
        </w:trPr>
        <w:tc>
          <w:tcPr>
            <w:tcW w:w="8046" w:type="dxa"/>
          </w:tcPr>
          <w:p w:rsidR="00A52084" w:rsidRPr="00EC1AB2" w:rsidRDefault="00A52084" w:rsidP="007A02A8">
            <w:pPr>
              <w:autoSpaceDE w:val="0"/>
              <w:autoSpaceDN w:val="0"/>
              <w:adjustRightInd w:val="0"/>
              <w:spacing w:line="360" w:lineRule="auto"/>
              <w:rPr>
                <w:rFonts w:ascii="Times New Roman" w:hAnsi="Times New Roman" w:cs="Times New Roman"/>
                <w:b/>
                <w:bCs/>
                <w:sz w:val="20"/>
                <w:szCs w:val="20"/>
              </w:rPr>
            </w:pPr>
            <w:r w:rsidRPr="00EC1AB2">
              <w:rPr>
                <w:rFonts w:ascii="Times New Roman" w:hAnsi="Times New Roman" w:cs="Times New Roman"/>
                <w:sz w:val="20"/>
                <w:szCs w:val="20"/>
              </w:rPr>
              <w:t xml:space="preserve">1.2.1 Tarptautinių mokslinių bendrų publikacijų </w:t>
            </w:r>
            <w:r w:rsidR="00B6764D" w:rsidRPr="00EC1AB2">
              <w:rPr>
                <w:rFonts w:ascii="Times New Roman" w:hAnsi="Times New Roman" w:cs="Times New Roman"/>
                <w:sz w:val="20"/>
                <w:szCs w:val="20"/>
              </w:rPr>
              <w:t xml:space="preserve">skaičius </w:t>
            </w:r>
            <w:r w:rsidRPr="00EC1AB2">
              <w:rPr>
                <w:rFonts w:ascii="Times New Roman" w:hAnsi="Times New Roman" w:cs="Times New Roman"/>
                <w:sz w:val="20"/>
                <w:szCs w:val="20"/>
              </w:rPr>
              <w:t>1 mln. gyventojų</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b/>
                <w:bCs/>
                <w:sz w:val="20"/>
                <w:szCs w:val="20"/>
              </w:rPr>
            </w:pPr>
            <w:r w:rsidRPr="00EC1AB2">
              <w:rPr>
                <w:rFonts w:ascii="Times New Roman" w:hAnsi="Times New Roman" w:cs="Times New Roman"/>
                <w:sz w:val="20"/>
                <w:szCs w:val="20"/>
              </w:rPr>
              <w:t>Thomson / Scopus</w:t>
            </w:r>
          </w:p>
        </w:tc>
      </w:tr>
      <w:tr w:rsidR="00F25E1F" w:rsidRPr="00EC1AB2" w:rsidTr="00FF76E0">
        <w:trPr>
          <w:jc w:val="center"/>
        </w:trPr>
        <w:tc>
          <w:tcPr>
            <w:tcW w:w="8046"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1.2.2 Mokslinių publikacijų tarp 10 % dažniausiai pasaulyje cituojamų mokslinių</w:t>
            </w:r>
          </w:p>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publikacijų procentinė dalis, lyginant su visomis šalies mokslinėmis publikacijomis</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b/>
                <w:bCs/>
                <w:sz w:val="20"/>
                <w:szCs w:val="20"/>
              </w:rPr>
            </w:pPr>
            <w:r w:rsidRPr="00EC1AB2">
              <w:rPr>
                <w:rFonts w:ascii="Times New Roman" w:hAnsi="Times New Roman" w:cs="Times New Roman"/>
                <w:sz w:val="20"/>
                <w:szCs w:val="20"/>
              </w:rPr>
              <w:t>Thomson / Scopus</w:t>
            </w:r>
          </w:p>
        </w:tc>
      </w:tr>
      <w:tr w:rsidR="00F25E1F" w:rsidRPr="00EC1AB2" w:rsidTr="00FF76E0">
        <w:trPr>
          <w:jc w:val="center"/>
        </w:trPr>
        <w:tc>
          <w:tcPr>
            <w:tcW w:w="8046"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1.2.3 Ne ES doktorantai</w:t>
            </w:r>
            <w:r w:rsidR="00C72BEC" w:rsidRPr="00EC1AB2">
              <w:rPr>
                <w:rFonts w:ascii="Times New Roman" w:hAnsi="Times New Roman" w:cs="Times New Roman"/>
                <w:sz w:val="13"/>
                <w:szCs w:val="13"/>
              </w:rPr>
              <w:t xml:space="preserve"> </w:t>
            </w:r>
            <w:r w:rsidRPr="00EC1AB2">
              <w:rPr>
                <w:rFonts w:ascii="Times New Roman" w:hAnsi="Times New Roman" w:cs="Times New Roman"/>
                <w:sz w:val="13"/>
                <w:szCs w:val="13"/>
              </w:rPr>
              <w:t xml:space="preserve"> </w:t>
            </w:r>
            <w:r w:rsidRPr="00EC1AB2">
              <w:rPr>
                <w:rFonts w:ascii="Times New Roman" w:hAnsi="Times New Roman" w:cs="Times New Roman"/>
                <w:sz w:val="20"/>
                <w:szCs w:val="20"/>
              </w:rPr>
              <w:t>milijonui gyventojų</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Eurostatas / EBPO</w:t>
            </w:r>
          </w:p>
        </w:tc>
      </w:tr>
      <w:tr w:rsidR="00F25E1F" w:rsidRPr="00EC1AB2" w:rsidTr="00FF76E0">
        <w:trPr>
          <w:jc w:val="center"/>
        </w:trPr>
        <w:tc>
          <w:tcPr>
            <w:tcW w:w="8046" w:type="dxa"/>
          </w:tcPr>
          <w:p w:rsidR="00A52084" w:rsidRPr="00EC1AB2" w:rsidRDefault="00A52084" w:rsidP="007A02A8">
            <w:pPr>
              <w:autoSpaceDE w:val="0"/>
              <w:autoSpaceDN w:val="0"/>
              <w:adjustRightInd w:val="0"/>
              <w:spacing w:line="360" w:lineRule="auto"/>
              <w:rPr>
                <w:rFonts w:ascii="Times New Roman" w:hAnsi="Times New Roman" w:cs="Times New Roman"/>
                <w:b/>
                <w:bCs/>
                <w:sz w:val="20"/>
                <w:szCs w:val="20"/>
              </w:rPr>
            </w:pPr>
            <w:r w:rsidRPr="00EC1AB2">
              <w:rPr>
                <w:rFonts w:ascii="Times New Roman" w:hAnsi="Times New Roman" w:cs="Times New Roman"/>
                <w:b/>
                <w:bCs/>
                <w:sz w:val="20"/>
                <w:szCs w:val="20"/>
              </w:rPr>
              <w:t>Finansavimas ir rėmimas</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p>
        </w:tc>
      </w:tr>
      <w:tr w:rsidR="00F25E1F" w:rsidRPr="00EC1AB2" w:rsidTr="00FF76E0">
        <w:trPr>
          <w:jc w:val="center"/>
        </w:trPr>
        <w:tc>
          <w:tcPr>
            <w:tcW w:w="8046" w:type="dxa"/>
          </w:tcPr>
          <w:p w:rsidR="00A52084" w:rsidRPr="00EC1AB2" w:rsidRDefault="00CA55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1.3.1 Valstybės išlaidos MTE</w:t>
            </w:r>
            <w:r w:rsidR="00A52084" w:rsidRPr="00EC1AB2">
              <w:rPr>
                <w:rFonts w:ascii="Times New Roman" w:hAnsi="Times New Roman" w:cs="Times New Roman"/>
                <w:sz w:val="20"/>
                <w:szCs w:val="20"/>
              </w:rPr>
              <w:t xml:space="preserve">P procentais nuo BVP </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Eurostatas</w:t>
            </w:r>
          </w:p>
        </w:tc>
      </w:tr>
      <w:tr w:rsidR="00F25E1F" w:rsidRPr="00EC1AB2" w:rsidTr="00FF76E0">
        <w:trPr>
          <w:jc w:val="center"/>
        </w:trPr>
        <w:tc>
          <w:tcPr>
            <w:tcW w:w="8046"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1.3.2 Rizikos kapitalas (ankstyvasis etapas, plėtra ir pakeitimas) procentais nuo BVP</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EVCA / Eurostatas</w:t>
            </w:r>
          </w:p>
        </w:tc>
      </w:tr>
      <w:tr w:rsidR="00F25E1F" w:rsidRPr="00EC1AB2" w:rsidTr="00FF76E0">
        <w:trPr>
          <w:jc w:val="center"/>
        </w:trPr>
        <w:tc>
          <w:tcPr>
            <w:tcW w:w="8046" w:type="dxa"/>
          </w:tcPr>
          <w:p w:rsidR="00A52084" w:rsidRPr="00EC1AB2" w:rsidRDefault="00A52084" w:rsidP="007A02A8">
            <w:pPr>
              <w:autoSpaceDE w:val="0"/>
              <w:autoSpaceDN w:val="0"/>
              <w:adjustRightInd w:val="0"/>
              <w:spacing w:line="360" w:lineRule="auto"/>
              <w:rPr>
                <w:rFonts w:ascii="Times New Roman" w:hAnsi="Times New Roman" w:cs="Times New Roman"/>
                <w:b/>
                <w:bCs/>
                <w:sz w:val="20"/>
                <w:szCs w:val="20"/>
              </w:rPr>
            </w:pPr>
            <w:r w:rsidRPr="00EC1AB2">
              <w:rPr>
                <w:rFonts w:ascii="Times New Roman" w:hAnsi="Times New Roman" w:cs="Times New Roman"/>
                <w:b/>
                <w:bCs/>
                <w:sz w:val="20"/>
                <w:szCs w:val="20"/>
              </w:rPr>
              <w:t>NUOLATINĖ VEIKLA</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p>
        </w:tc>
      </w:tr>
      <w:tr w:rsidR="00F25E1F" w:rsidRPr="00EC1AB2" w:rsidTr="00FF76E0">
        <w:trPr>
          <w:jc w:val="center"/>
        </w:trPr>
        <w:tc>
          <w:tcPr>
            <w:tcW w:w="8046" w:type="dxa"/>
          </w:tcPr>
          <w:p w:rsidR="00A52084" w:rsidRPr="00EC1AB2" w:rsidRDefault="00A52084" w:rsidP="007A02A8">
            <w:pPr>
              <w:autoSpaceDE w:val="0"/>
              <w:autoSpaceDN w:val="0"/>
              <w:adjustRightInd w:val="0"/>
              <w:spacing w:line="360" w:lineRule="auto"/>
              <w:rPr>
                <w:rFonts w:ascii="Times New Roman" w:hAnsi="Times New Roman" w:cs="Times New Roman"/>
                <w:b/>
                <w:bCs/>
                <w:sz w:val="20"/>
                <w:szCs w:val="20"/>
              </w:rPr>
            </w:pPr>
            <w:r w:rsidRPr="00EC1AB2">
              <w:rPr>
                <w:rFonts w:ascii="Times New Roman" w:hAnsi="Times New Roman" w:cs="Times New Roman"/>
                <w:b/>
                <w:bCs/>
                <w:sz w:val="20"/>
                <w:szCs w:val="20"/>
              </w:rPr>
              <w:t>Nuolatinės investicijos</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p>
        </w:tc>
      </w:tr>
      <w:tr w:rsidR="00F25E1F" w:rsidRPr="00EC1AB2" w:rsidTr="00FF76E0">
        <w:trPr>
          <w:jc w:val="center"/>
        </w:trPr>
        <w:tc>
          <w:tcPr>
            <w:tcW w:w="8046" w:type="dxa"/>
          </w:tcPr>
          <w:p w:rsidR="00A52084" w:rsidRPr="00EC1AB2" w:rsidRDefault="00CA55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2.1.1 Verslo išlaidos MTE</w:t>
            </w:r>
            <w:r w:rsidR="00A52084" w:rsidRPr="00EC1AB2">
              <w:rPr>
                <w:rFonts w:ascii="Times New Roman" w:hAnsi="Times New Roman" w:cs="Times New Roman"/>
                <w:sz w:val="20"/>
                <w:szCs w:val="20"/>
              </w:rPr>
              <w:t xml:space="preserve">P procentais nuo BVP </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Eurostatas</w:t>
            </w:r>
          </w:p>
        </w:tc>
      </w:tr>
      <w:tr w:rsidR="00F25E1F" w:rsidRPr="00EC1AB2" w:rsidTr="00FF76E0">
        <w:trPr>
          <w:jc w:val="center"/>
        </w:trPr>
        <w:tc>
          <w:tcPr>
            <w:tcW w:w="8046" w:type="dxa"/>
          </w:tcPr>
          <w:p w:rsidR="00A52084" w:rsidRPr="00EC1AB2" w:rsidRDefault="00CA55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2.1.2 Išlaidos ne MTE</w:t>
            </w:r>
            <w:r w:rsidR="00A52084" w:rsidRPr="00EC1AB2">
              <w:rPr>
                <w:rFonts w:ascii="Times New Roman" w:hAnsi="Times New Roman" w:cs="Times New Roman"/>
                <w:sz w:val="20"/>
                <w:szCs w:val="20"/>
              </w:rPr>
              <w:t xml:space="preserve">P inovacijoms procentais nuo apyvartos </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Eurostatas</w:t>
            </w:r>
          </w:p>
        </w:tc>
      </w:tr>
      <w:tr w:rsidR="00F25E1F" w:rsidRPr="00EC1AB2" w:rsidTr="00FF76E0">
        <w:trPr>
          <w:jc w:val="center"/>
        </w:trPr>
        <w:tc>
          <w:tcPr>
            <w:tcW w:w="8046" w:type="dxa"/>
          </w:tcPr>
          <w:p w:rsidR="00A52084" w:rsidRPr="00EC1AB2" w:rsidRDefault="00A52084" w:rsidP="007A02A8">
            <w:pPr>
              <w:spacing w:line="360" w:lineRule="auto"/>
              <w:rPr>
                <w:rFonts w:ascii="Times New Roman" w:hAnsi="Times New Roman" w:cs="Times New Roman"/>
              </w:rPr>
            </w:pPr>
            <w:r w:rsidRPr="00EC1AB2">
              <w:rPr>
                <w:rFonts w:ascii="Times New Roman" w:hAnsi="Times New Roman" w:cs="Times New Roman"/>
                <w:b/>
                <w:bCs/>
                <w:sz w:val="20"/>
                <w:szCs w:val="20"/>
              </w:rPr>
              <w:t>Bendradarbiavimas ir verslininkystė</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p>
        </w:tc>
      </w:tr>
      <w:tr w:rsidR="00F25E1F" w:rsidRPr="00EC1AB2" w:rsidTr="00FF76E0">
        <w:trPr>
          <w:jc w:val="center"/>
        </w:trPr>
        <w:tc>
          <w:tcPr>
            <w:tcW w:w="8046"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2.2.1 Inovacijas vietoje diegiančių MVĮ procentinė dalis, palyginti su visomis MVĮ</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Eurostatas</w:t>
            </w:r>
          </w:p>
        </w:tc>
      </w:tr>
      <w:tr w:rsidR="00F25E1F" w:rsidRPr="00EC1AB2" w:rsidTr="00FF76E0">
        <w:trPr>
          <w:jc w:val="center"/>
        </w:trPr>
        <w:tc>
          <w:tcPr>
            <w:tcW w:w="8046"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2.2.2 Novatoriškų bendradarbiaujančių MVĮ procentinė dalis, palyginti su visomis MVĮ</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Eurostatas</w:t>
            </w:r>
          </w:p>
        </w:tc>
      </w:tr>
      <w:tr w:rsidR="00F25E1F" w:rsidRPr="00EC1AB2" w:rsidTr="00FF76E0">
        <w:trPr>
          <w:jc w:val="center"/>
        </w:trPr>
        <w:tc>
          <w:tcPr>
            <w:tcW w:w="8046"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 xml:space="preserve">2.2.3 Viešų ir privačių bendrų publikacijų 1 mln. gyventojų </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Thomson / Scopus</w:t>
            </w:r>
          </w:p>
        </w:tc>
      </w:tr>
      <w:tr w:rsidR="00F25E1F" w:rsidRPr="00EC1AB2" w:rsidTr="00FF76E0">
        <w:trPr>
          <w:jc w:val="center"/>
        </w:trPr>
        <w:tc>
          <w:tcPr>
            <w:tcW w:w="8046" w:type="dxa"/>
          </w:tcPr>
          <w:p w:rsidR="00A52084" w:rsidRPr="00EC1AB2" w:rsidRDefault="00A52084" w:rsidP="007A02A8">
            <w:pPr>
              <w:autoSpaceDE w:val="0"/>
              <w:autoSpaceDN w:val="0"/>
              <w:adjustRightInd w:val="0"/>
              <w:spacing w:line="360" w:lineRule="auto"/>
              <w:rPr>
                <w:rFonts w:ascii="Times New Roman" w:hAnsi="Times New Roman" w:cs="Times New Roman"/>
                <w:b/>
                <w:bCs/>
                <w:sz w:val="20"/>
                <w:szCs w:val="20"/>
              </w:rPr>
            </w:pPr>
            <w:r w:rsidRPr="00EC1AB2">
              <w:rPr>
                <w:rFonts w:ascii="Times New Roman" w:hAnsi="Times New Roman" w:cs="Times New Roman"/>
                <w:b/>
                <w:bCs/>
                <w:sz w:val="20"/>
                <w:szCs w:val="20"/>
              </w:rPr>
              <w:t>Intelektinė nuosavybė</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p>
        </w:tc>
      </w:tr>
      <w:tr w:rsidR="00F25E1F" w:rsidRPr="00EC1AB2" w:rsidTr="00FF76E0">
        <w:trPr>
          <w:jc w:val="center"/>
        </w:trPr>
        <w:tc>
          <w:tcPr>
            <w:tcW w:w="8046"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2.3.1 Paraiškos patentui gauti pagal patentinės kooperacijos sutartį 1 mlrd. BVP (PGS EUR)</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Eurostatas</w:t>
            </w:r>
          </w:p>
        </w:tc>
      </w:tr>
      <w:tr w:rsidR="00F25E1F" w:rsidRPr="00EC1AB2" w:rsidTr="00FF76E0">
        <w:trPr>
          <w:jc w:val="center"/>
        </w:trPr>
        <w:tc>
          <w:tcPr>
            <w:tcW w:w="8046"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2.3.2 Paraiškos dėl patentų, susijusių su visuomenės problemomis, pagal patentinės</w:t>
            </w:r>
          </w:p>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kooperacijos sutartį 1 mlrd. BVP (PGS EUR) (klimato kaita, sveikatos reikalai)</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EBPO</w:t>
            </w:r>
          </w:p>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p>
        </w:tc>
      </w:tr>
      <w:tr w:rsidR="00F25E1F" w:rsidRPr="00EC1AB2" w:rsidTr="00FF76E0">
        <w:trPr>
          <w:jc w:val="center"/>
        </w:trPr>
        <w:tc>
          <w:tcPr>
            <w:tcW w:w="8046"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 xml:space="preserve">2.3.3 Bendrijos prekių ženklų 1 mlrd. BVP (PGS EUR) </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OHIM / Eurostatas</w:t>
            </w:r>
          </w:p>
        </w:tc>
      </w:tr>
      <w:tr w:rsidR="00F25E1F" w:rsidRPr="00EC1AB2" w:rsidTr="00FF76E0">
        <w:trPr>
          <w:jc w:val="center"/>
        </w:trPr>
        <w:tc>
          <w:tcPr>
            <w:tcW w:w="8046"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 xml:space="preserve">2.3.4 Bendrijos pramoninio dizaino registravimas 1 mlrd. BVP (PGS EUR) </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OHIM / Eurostatas</w:t>
            </w:r>
          </w:p>
        </w:tc>
      </w:tr>
    </w:tbl>
    <w:p w:rsidR="00442ED1" w:rsidRPr="00EC1AB2" w:rsidRDefault="00442ED1">
      <w:pPr>
        <w:rPr>
          <w:rFonts w:ascii="Times New Roman" w:hAnsi="Times New Roman" w:cs="Times New Roman"/>
        </w:rPr>
      </w:pPr>
    </w:p>
    <w:p w:rsidR="00442ED1" w:rsidRPr="00EC1AB2" w:rsidRDefault="00442ED1">
      <w:pPr>
        <w:rPr>
          <w:rFonts w:ascii="Times New Roman" w:hAnsi="Times New Roman" w:cs="Times New Roman"/>
        </w:rPr>
      </w:pPr>
    </w:p>
    <w:p w:rsidR="00442ED1" w:rsidRPr="00EC1AB2" w:rsidRDefault="00442ED1" w:rsidP="00442ED1">
      <w:pPr>
        <w:jc w:val="right"/>
        <w:rPr>
          <w:rFonts w:ascii="Times New Roman" w:hAnsi="Times New Roman" w:cs="Times New Roman"/>
          <w:sz w:val="24"/>
          <w:szCs w:val="24"/>
        </w:rPr>
      </w:pPr>
      <w:r w:rsidRPr="00EC1AB2">
        <w:rPr>
          <w:rFonts w:ascii="Times New Roman" w:hAnsi="Times New Roman" w:cs="Times New Roman"/>
          <w:sz w:val="24"/>
          <w:szCs w:val="24"/>
        </w:rPr>
        <w:t>2 priedo tęsinys kitame puslapyje</w:t>
      </w:r>
      <w:r w:rsidRPr="00EC1AB2">
        <w:rPr>
          <w:rFonts w:ascii="Times New Roman" w:hAnsi="Times New Roman" w:cs="Times New Roman"/>
          <w:sz w:val="24"/>
          <w:szCs w:val="24"/>
        </w:rPr>
        <w:br w:type="page"/>
      </w:r>
    </w:p>
    <w:p w:rsidR="00442ED1" w:rsidRPr="00EC1AB2" w:rsidRDefault="00471654" w:rsidP="00442ED1">
      <w:pPr>
        <w:jc w:val="right"/>
        <w:rPr>
          <w:rFonts w:ascii="Times New Roman" w:hAnsi="Times New Roman" w:cs="Times New Roman"/>
          <w:sz w:val="24"/>
          <w:szCs w:val="24"/>
        </w:rPr>
      </w:pPr>
      <w:r w:rsidRPr="00EC1AB2">
        <w:rPr>
          <w:rFonts w:ascii="Times New Roman" w:hAnsi="Times New Roman" w:cs="Times New Roman"/>
          <w:sz w:val="24"/>
          <w:szCs w:val="24"/>
        </w:rPr>
        <w:lastRenderedPageBreak/>
        <w:t>2 priedo tęsinys</w:t>
      </w:r>
    </w:p>
    <w:tbl>
      <w:tblPr>
        <w:tblStyle w:val="TableGrid"/>
        <w:tblW w:w="0" w:type="auto"/>
        <w:jc w:val="center"/>
        <w:tblLook w:val="04A0" w:firstRow="1" w:lastRow="0" w:firstColumn="1" w:lastColumn="0" w:noHBand="0" w:noVBand="1"/>
      </w:tblPr>
      <w:tblGrid>
        <w:gridCol w:w="8046"/>
        <w:gridCol w:w="1808"/>
      </w:tblGrid>
      <w:tr w:rsidR="00F25E1F" w:rsidRPr="00EC1AB2" w:rsidTr="00FF76E0">
        <w:trPr>
          <w:jc w:val="center"/>
        </w:trPr>
        <w:tc>
          <w:tcPr>
            <w:tcW w:w="8046" w:type="dxa"/>
          </w:tcPr>
          <w:p w:rsidR="00A52084" w:rsidRPr="00EC1AB2" w:rsidRDefault="00A52084" w:rsidP="007A02A8">
            <w:pPr>
              <w:autoSpaceDE w:val="0"/>
              <w:autoSpaceDN w:val="0"/>
              <w:adjustRightInd w:val="0"/>
              <w:spacing w:line="360" w:lineRule="auto"/>
              <w:rPr>
                <w:rFonts w:ascii="Times New Roman" w:hAnsi="Times New Roman" w:cs="Times New Roman"/>
                <w:b/>
                <w:bCs/>
                <w:sz w:val="20"/>
                <w:szCs w:val="20"/>
              </w:rPr>
            </w:pPr>
            <w:r w:rsidRPr="00EC1AB2">
              <w:rPr>
                <w:rFonts w:ascii="Times New Roman" w:hAnsi="Times New Roman" w:cs="Times New Roman"/>
                <w:b/>
                <w:bCs/>
                <w:sz w:val="20"/>
                <w:szCs w:val="20"/>
              </w:rPr>
              <w:t>REZULTATAI</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p>
        </w:tc>
      </w:tr>
      <w:tr w:rsidR="00F25E1F" w:rsidRPr="00EC1AB2" w:rsidTr="00FF76E0">
        <w:trPr>
          <w:jc w:val="center"/>
        </w:trPr>
        <w:tc>
          <w:tcPr>
            <w:tcW w:w="8046" w:type="dxa"/>
          </w:tcPr>
          <w:p w:rsidR="00A52084" w:rsidRPr="00EC1AB2" w:rsidRDefault="00A52084" w:rsidP="007A02A8">
            <w:pPr>
              <w:spacing w:line="360" w:lineRule="auto"/>
              <w:rPr>
                <w:rFonts w:ascii="Times New Roman" w:hAnsi="Times New Roman" w:cs="Times New Roman"/>
              </w:rPr>
            </w:pPr>
            <w:r w:rsidRPr="00EC1AB2">
              <w:rPr>
                <w:rFonts w:ascii="Times New Roman" w:hAnsi="Times New Roman" w:cs="Times New Roman"/>
                <w:b/>
                <w:bCs/>
                <w:sz w:val="20"/>
                <w:szCs w:val="20"/>
              </w:rPr>
              <w:t>Inovacijų kūrėjai</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p>
        </w:tc>
      </w:tr>
      <w:tr w:rsidR="00F25E1F" w:rsidRPr="00EC1AB2" w:rsidTr="00FF76E0">
        <w:trPr>
          <w:jc w:val="center"/>
        </w:trPr>
        <w:tc>
          <w:tcPr>
            <w:tcW w:w="8046"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3.1.1 Daugiau nei 10 darbuotojų turinčių MVĮ, kuriančių novatoriškus produktus ar</w:t>
            </w:r>
          </w:p>
          <w:p w:rsidR="00A52084" w:rsidRPr="00EC1AB2" w:rsidRDefault="00A52084" w:rsidP="007A02A8">
            <w:pPr>
              <w:spacing w:line="360" w:lineRule="auto"/>
              <w:rPr>
                <w:rFonts w:ascii="Times New Roman" w:hAnsi="Times New Roman" w:cs="Times New Roman"/>
                <w:b/>
                <w:bCs/>
                <w:sz w:val="20"/>
                <w:szCs w:val="20"/>
              </w:rPr>
            </w:pPr>
            <w:r w:rsidRPr="00EC1AB2">
              <w:rPr>
                <w:rFonts w:ascii="Times New Roman" w:hAnsi="Times New Roman" w:cs="Times New Roman"/>
                <w:sz w:val="20"/>
                <w:szCs w:val="20"/>
              </w:rPr>
              <w:t>procesus, procentinė dalis, palyginti su visomis MVĮ</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Eurostatas</w:t>
            </w:r>
          </w:p>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p>
        </w:tc>
      </w:tr>
      <w:tr w:rsidR="00F25E1F" w:rsidRPr="00EC1AB2" w:rsidTr="00FF76E0">
        <w:trPr>
          <w:jc w:val="center"/>
        </w:trPr>
        <w:tc>
          <w:tcPr>
            <w:tcW w:w="8046"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3.1.2 Daugiau nei 10 darbuotojų turinčių MVĮ, diegiančių rinkodaros ar</w:t>
            </w:r>
          </w:p>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organizacines inovacijas, procentinė dalis, palyginti su visomis MVĮ</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Eurostatas</w:t>
            </w:r>
          </w:p>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p>
        </w:tc>
      </w:tr>
      <w:tr w:rsidR="00F25E1F" w:rsidRPr="00EC1AB2" w:rsidTr="00FF76E0">
        <w:trPr>
          <w:jc w:val="center"/>
        </w:trPr>
        <w:tc>
          <w:tcPr>
            <w:tcW w:w="8046" w:type="dxa"/>
          </w:tcPr>
          <w:p w:rsidR="00A52084" w:rsidRPr="00EC1AB2" w:rsidRDefault="00A52084" w:rsidP="007A02A8">
            <w:pPr>
              <w:autoSpaceDE w:val="0"/>
              <w:autoSpaceDN w:val="0"/>
              <w:adjustRightInd w:val="0"/>
              <w:spacing w:line="360" w:lineRule="auto"/>
              <w:rPr>
                <w:rFonts w:ascii="Times New Roman" w:hAnsi="Times New Roman" w:cs="Times New Roman"/>
                <w:b/>
                <w:bCs/>
                <w:sz w:val="20"/>
                <w:szCs w:val="20"/>
              </w:rPr>
            </w:pPr>
            <w:r w:rsidRPr="00EC1AB2">
              <w:rPr>
                <w:rFonts w:ascii="Times New Roman" w:hAnsi="Times New Roman" w:cs="Times New Roman"/>
                <w:b/>
                <w:bCs/>
                <w:sz w:val="20"/>
                <w:szCs w:val="20"/>
              </w:rPr>
              <w:t>Ekonominis poveikis</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p>
        </w:tc>
      </w:tr>
      <w:tr w:rsidR="00F25E1F" w:rsidRPr="00EC1AB2" w:rsidTr="00FF76E0">
        <w:trPr>
          <w:jc w:val="center"/>
        </w:trPr>
        <w:tc>
          <w:tcPr>
            <w:tcW w:w="8046"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3.2.1 Užimtumo daug žinių reikalaujančiuose sektoriuose (ŽRS) (gamyba ir paslaugos) procentinė dalis, palyginti su visu užimtumu</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Eurostatas</w:t>
            </w:r>
          </w:p>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p>
        </w:tc>
      </w:tr>
      <w:tr w:rsidR="00F25E1F" w:rsidRPr="00EC1AB2" w:rsidTr="00FF76E0">
        <w:trPr>
          <w:jc w:val="center"/>
        </w:trPr>
        <w:tc>
          <w:tcPr>
            <w:tcW w:w="8046"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3.2.2 Vidutinių ir pažangiųjų technologijų gamybos eksporto procentinė dalis,</w:t>
            </w:r>
          </w:p>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palyginti su visu produktų eksportu</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JT / Eurostatas</w:t>
            </w:r>
          </w:p>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p>
        </w:tc>
      </w:tr>
      <w:tr w:rsidR="00F25E1F" w:rsidRPr="00EC1AB2" w:rsidTr="00FF76E0">
        <w:trPr>
          <w:jc w:val="center"/>
        </w:trPr>
        <w:tc>
          <w:tcPr>
            <w:tcW w:w="8046"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3.2.3 Daug žinių reikalaujančių paslaugų (ŽRP) eksporto procentinė dalis, palyginti</w:t>
            </w:r>
          </w:p>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su visu paslaugų eksportu</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JT / Eurostatas</w:t>
            </w:r>
          </w:p>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p>
        </w:tc>
      </w:tr>
      <w:tr w:rsidR="00F25E1F" w:rsidRPr="00EC1AB2" w:rsidTr="00FF76E0">
        <w:trPr>
          <w:jc w:val="center"/>
        </w:trPr>
        <w:tc>
          <w:tcPr>
            <w:tcW w:w="8046"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 xml:space="preserve">3.2.4 Naujų inovacijų pardavimas rinkai ir įmonėms procentais nuo apyvartos </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Eurostatas</w:t>
            </w:r>
          </w:p>
        </w:tc>
      </w:tr>
      <w:tr w:rsidR="00A52084" w:rsidRPr="00EC1AB2" w:rsidTr="00FF76E0">
        <w:trPr>
          <w:jc w:val="center"/>
        </w:trPr>
        <w:tc>
          <w:tcPr>
            <w:tcW w:w="8046"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 xml:space="preserve">3.2.5 Su licencijomis ir patentais susijusios pajamos iš užsienio procentais nuo BVP </w:t>
            </w:r>
          </w:p>
        </w:tc>
        <w:tc>
          <w:tcPr>
            <w:tcW w:w="1808" w:type="dxa"/>
          </w:tcPr>
          <w:p w:rsidR="00A52084" w:rsidRPr="00EC1AB2" w:rsidRDefault="00A52084" w:rsidP="007A02A8">
            <w:pPr>
              <w:autoSpaceDE w:val="0"/>
              <w:autoSpaceDN w:val="0"/>
              <w:adjustRightInd w:val="0"/>
              <w:spacing w:line="360" w:lineRule="auto"/>
              <w:rPr>
                <w:rFonts w:ascii="Times New Roman" w:hAnsi="Times New Roman" w:cs="Times New Roman"/>
                <w:sz w:val="20"/>
                <w:szCs w:val="20"/>
              </w:rPr>
            </w:pPr>
            <w:r w:rsidRPr="00EC1AB2">
              <w:rPr>
                <w:rFonts w:ascii="Times New Roman" w:hAnsi="Times New Roman" w:cs="Times New Roman"/>
                <w:sz w:val="20"/>
                <w:szCs w:val="20"/>
              </w:rPr>
              <w:t>Eurostatas</w:t>
            </w:r>
          </w:p>
        </w:tc>
      </w:tr>
    </w:tbl>
    <w:p w:rsidR="00A52084" w:rsidRPr="00EC1AB2" w:rsidRDefault="00A52084" w:rsidP="007A02A8">
      <w:pPr>
        <w:autoSpaceDE w:val="0"/>
        <w:autoSpaceDN w:val="0"/>
        <w:adjustRightInd w:val="0"/>
        <w:spacing w:after="0" w:line="360" w:lineRule="auto"/>
        <w:rPr>
          <w:rFonts w:ascii="Times New Roman" w:hAnsi="Times New Roman" w:cs="Times New Roman"/>
          <w:sz w:val="24"/>
          <w:szCs w:val="24"/>
        </w:rPr>
      </w:pPr>
    </w:p>
    <w:p w:rsidR="00FF76E0" w:rsidRPr="00EC1AB2" w:rsidRDefault="00FF76E0" w:rsidP="007A02A8">
      <w:pPr>
        <w:autoSpaceDE w:val="0"/>
        <w:autoSpaceDN w:val="0"/>
        <w:adjustRightInd w:val="0"/>
        <w:spacing w:after="0" w:line="360" w:lineRule="auto"/>
        <w:ind w:firstLine="1296"/>
        <w:jc w:val="center"/>
        <w:rPr>
          <w:rFonts w:ascii="Times New Roman" w:hAnsi="Times New Roman" w:cs="Times New Roman"/>
          <w:sz w:val="20"/>
          <w:szCs w:val="20"/>
        </w:rPr>
      </w:pPr>
      <w:r w:rsidRPr="00EC1AB2">
        <w:rPr>
          <w:rFonts w:ascii="Times New Roman" w:hAnsi="Times New Roman" w:cs="Times New Roman"/>
          <w:b/>
          <w:sz w:val="20"/>
          <w:szCs w:val="20"/>
        </w:rPr>
        <w:t>Šaltinis:</w:t>
      </w:r>
      <w:r w:rsidRPr="00EC1AB2">
        <w:rPr>
          <w:rFonts w:ascii="Times New Roman" w:hAnsi="Times New Roman" w:cs="Times New Roman"/>
          <w:sz w:val="20"/>
          <w:szCs w:val="20"/>
        </w:rPr>
        <w:t xml:space="preserve"> Strategijos „Europa 2020“ pavyzdinė iniciatyva „Inovacijų sąjunga“, 2010</w:t>
      </w:r>
    </w:p>
    <w:p w:rsidR="00A552BD" w:rsidRPr="00EC1AB2" w:rsidRDefault="00A552BD" w:rsidP="007A02A8">
      <w:pPr>
        <w:autoSpaceDE w:val="0"/>
        <w:autoSpaceDN w:val="0"/>
        <w:adjustRightInd w:val="0"/>
        <w:spacing w:after="0" w:line="360" w:lineRule="auto"/>
        <w:ind w:firstLine="1296"/>
        <w:jc w:val="right"/>
        <w:rPr>
          <w:rFonts w:ascii="Times New Roman" w:hAnsi="Times New Roman" w:cs="Times New Roman"/>
          <w:sz w:val="20"/>
          <w:szCs w:val="20"/>
        </w:rPr>
      </w:pPr>
    </w:p>
    <w:p w:rsidR="00A552BD" w:rsidRPr="00EC1AB2" w:rsidRDefault="00A552BD" w:rsidP="007A02A8">
      <w:pPr>
        <w:autoSpaceDE w:val="0"/>
        <w:autoSpaceDN w:val="0"/>
        <w:adjustRightInd w:val="0"/>
        <w:spacing w:after="0" w:line="360" w:lineRule="auto"/>
        <w:ind w:firstLine="1296"/>
        <w:jc w:val="right"/>
        <w:rPr>
          <w:rFonts w:ascii="Times New Roman" w:hAnsi="Times New Roman" w:cs="Times New Roman"/>
          <w:sz w:val="20"/>
          <w:szCs w:val="20"/>
        </w:rPr>
      </w:pPr>
    </w:p>
    <w:p w:rsidR="00FA2427" w:rsidRPr="00EC1AB2" w:rsidRDefault="00FA2427" w:rsidP="007A02A8">
      <w:pPr>
        <w:autoSpaceDE w:val="0"/>
        <w:autoSpaceDN w:val="0"/>
        <w:adjustRightInd w:val="0"/>
        <w:spacing w:after="0" w:line="360" w:lineRule="auto"/>
        <w:ind w:firstLine="1296"/>
        <w:jc w:val="right"/>
        <w:rPr>
          <w:rFonts w:ascii="Times New Roman" w:hAnsi="Times New Roman" w:cs="Times New Roman"/>
          <w:b/>
          <w:sz w:val="24"/>
          <w:szCs w:val="24"/>
        </w:rPr>
      </w:pPr>
      <w:r w:rsidRPr="00EC1AB2">
        <w:rPr>
          <w:rFonts w:ascii="Times New Roman" w:hAnsi="Times New Roman" w:cs="Times New Roman"/>
          <w:b/>
          <w:sz w:val="24"/>
          <w:szCs w:val="24"/>
        </w:rPr>
        <w:br w:type="page"/>
      </w:r>
    </w:p>
    <w:p w:rsidR="00FF76E0" w:rsidRPr="00EC1AB2" w:rsidRDefault="001D19A8" w:rsidP="007A02A8">
      <w:pPr>
        <w:autoSpaceDE w:val="0"/>
        <w:autoSpaceDN w:val="0"/>
        <w:adjustRightInd w:val="0"/>
        <w:spacing w:after="0" w:line="360" w:lineRule="auto"/>
        <w:ind w:firstLine="1296"/>
        <w:jc w:val="right"/>
        <w:rPr>
          <w:rFonts w:ascii="Times New Roman" w:hAnsi="Times New Roman" w:cs="Times New Roman"/>
          <w:b/>
          <w:sz w:val="24"/>
          <w:szCs w:val="24"/>
        </w:rPr>
      </w:pPr>
      <w:r w:rsidRPr="00EC1AB2">
        <w:rPr>
          <w:rFonts w:ascii="Times New Roman" w:hAnsi="Times New Roman" w:cs="Times New Roman"/>
          <w:b/>
          <w:sz w:val="24"/>
          <w:szCs w:val="24"/>
        </w:rPr>
        <w:lastRenderedPageBreak/>
        <w:t>3 PRIEDAS</w:t>
      </w:r>
    </w:p>
    <w:p w:rsidR="001D19A8" w:rsidRPr="00EC1AB2" w:rsidRDefault="001D19A8" w:rsidP="007A02A8">
      <w:pPr>
        <w:autoSpaceDE w:val="0"/>
        <w:autoSpaceDN w:val="0"/>
        <w:adjustRightInd w:val="0"/>
        <w:spacing w:after="0" w:line="360" w:lineRule="auto"/>
        <w:ind w:firstLine="1296"/>
        <w:jc w:val="right"/>
        <w:rPr>
          <w:rFonts w:ascii="Times New Roman" w:hAnsi="Times New Roman" w:cs="Times New Roman"/>
          <w:sz w:val="20"/>
          <w:szCs w:val="20"/>
        </w:rPr>
      </w:pPr>
    </w:p>
    <w:p w:rsidR="00303EB6" w:rsidRPr="00EC1AB2" w:rsidRDefault="00035D45" w:rsidP="007A02A8">
      <w:pPr>
        <w:autoSpaceDE w:val="0"/>
        <w:autoSpaceDN w:val="0"/>
        <w:adjustRightInd w:val="0"/>
        <w:spacing w:after="0" w:line="360" w:lineRule="auto"/>
        <w:jc w:val="center"/>
        <w:rPr>
          <w:rFonts w:ascii="Times New Roman" w:hAnsi="Times New Roman" w:cs="Times New Roman"/>
          <w:sz w:val="24"/>
          <w:szCs w:val="24"/>
        </w:rPr>
      </w:pPr>
      <w:r w:rsidRPr="00EC1AB2">
        <w:rPr>
          <w:rFonts w:ascii="Times New Roman" w:hAnsi="Times New Roman" w:cs="Times New Roman"/>
          <w:noProof/>
          <w:sz w:val="24"/>
          <w:szCs w:val="24"/>
          <w:lang w:eastAsia="lt-LT"/>
        </w:rPr>
        <w:drawing>
          <wp:anchor distT="0" distB="0" distL="114300" distR="114300" simplePos="0" relativeHeight="251684864" behindDoc="0" locked="0" layoutInCell="1" allowOverlap="1" wp14:anchorId="6BB9F9A3" wp14:editId="58AAC378">
            <wp:simplePos x="0" y="0"/>
            <wp:positionH relativeFrom="column">
              <wp:posOffset>-52705</wp:posOffset>
            </wp:positionH>
            <wp:positionV relativeFrom="paragraph">
              <wp:posOffset>3423285</wp:posOffset>
            </wp:positionV>
            <wp:extent cx="5867400" cy="3276600"/>
            <wp:effectExtent l="0" t="0" r="0" b="0"/>
            <wp:wrapTopAndBottom/>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14:sizeRelH relativeFrom="page">
              <wp14:pctWidth>0</wp14:pctWidth>
            </wp14:sizeRelH>
            <wp14:sizeRelV relativeFrom="page">
              <wp14:pctHeight>0</wp14:pctHeight>
            </wp14:sizeRelV>
          </wp:anchor>
        </w:drawing>
      </w:r>
      <w:r w:rsidRPr="00EC1AB2">
        <w:rPr>
          <w:rFonts w:ascii="Times New Roman" w:hAnsi="Times New Roman" w:cs="Times New Roman"/>
          <w:noProof/>
          <w:sz w:val="24"/>
          <w:szCs w:val="24"/>
          <w:lang w:eastAsia="lt-LT"/>
        </w:rPr>
        <w:drawing>
          <wp:anchor distT="0" distB="0" distL="114300" distR="114300" simplePos="0" relativeHeight="251683840" behindDoc="0" locked="0" layoutInCell="1" allowOverlap="1" wp14:anchorId="2A19CA1B" wp14:editId="3A6B3CC9">
            <wp:simplePos x="0" y="0"/>
            <wp:positionH relativeFrom="column">
              <wp:posOffset>-52705</wp:posOffset>
            </wp:positionH>
            <wp:positionV relativeFrom="paragraph">
              <wp:posOffset>422910</wp:posOffset>
            </wp:positionV>
            <wp:extent cx="5867400" cy="3276600"/>
            <wp:effectExtent l="0" t="0" r="0" b="0"/>
            <wp:wrapTopAndBottom/>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14:sizeRelH relativeFrom="page">
              <wp14:pctWidth>0</wp14:pctWidth>
            </wp14:sizeRelH>
            <wp14:sizeRelV relativeFrom="page">
              <wp14:pctHeight>0</wp14:pctHeight>
            </wp14:sizeRelV>
          </wp:anchor>
        </w:drawing>
      </w:r>
      <w:r w:rsidR="000268D5" w:rsidRPr="00EC1AB2">
        <w:rPr>
          <w:rFonts w:ascii="Times New Roman" w:hAnsi="Times New Roman" w:cs="Times New Roman"/>
          <w:sz w:val="24"/>
          <w:szCs w:val="24"/>
        </w:rPr>
        <w:t>SUMINIS</w:t>
      </w:r>
      <w:r w:rsidR="00303EB6" w:rsidRPr="00EC1AB2">
        <w:rPr>
          <w:rFonts w:ascii="Times New Roman" w:hAnsi="Times New Roman" w:cs="Times New Roman"/>
          <w:sz w:val="24"/>
          <w:szCs w:val="24"/>
        </w:rPr>
        <w:t xml:space="preserve"> INOVAT</w:t>
      </w:r>
      <w:r w:rsidR="000268D5" w:rsidRPr="00EC1AB2">
        <w:rPr>
          <w:rFonts w:ascii="Times New Roman" w:hAnsi="Times New Roman" w:cs="Times New Roman"/>
          <w:sz w:val="24"/>
          <w:szCs w:val="24"/>
        </w:rPr>
        <w:t>YVUMO INDEKSAS PAGAL RODIKLIŲ GRUPES</w:t>
      </w:r>
      <w:r w:rsidR="009751BE" w:rsidRPr="00EC1AB2">
        <w:rPr>
          <w:rFonts w:ascii="Times New Roman" w:hAnsi="Times New Roman" w:cs="Times New Roman"/>
          <w:sz w:val="24"/>
          <w:szCs w:val="24"/>
        </w:rPr>
        <w:t xml:space="preserve"> ES 2011 M.</w:t>
      </w:r>
    </w:p>
    <w:p w:rsidR="004F15D8" w:rsidRPr="00EC1AB2" w:rsidRDefault="004F15D8" w:rsidP="007A02A8">
      <w:pPr>
        <w:autoSpaceDE w:val="0"/>
        <w:autoSpaceDN w:val="0"/>
        <w:adjustRightInd w:val="0"/>
        <w:spacing w:after="0" w:line="360" w:lineRule="auto"/>
        <w:ind w:firstLine="1296"/>
        <w:rPr>
          <w:rFonts w:ascii="Times New Roman" w:hAnsi="Times New Roman" w:cs="Times New Roman"/>
          <w:sz w:val="20"/>
          <w:szCs w:val="20"/>
        </w:rPr>
      </w:pPr>
    </w:p>
    <w:p w:rsidR="004F15D8" w:rsidRPr="00EC1AB2" w:rsidRDefault="00840A0D" w:rsidP="007A02A8">
      <w:pPr>
        <w:autoSpaceDE w:val="0"/>
        <w:autoSpaceDN w:val="0"/>
        <w:adjustRightInd w:val="0"/>
        <w:spacing w:after="0" w:line="360" w:lineRule="auto"/>
        <w:ind w:firstLine="1296"/>
        <w:rPr>
          <w:rFonts w:ascii="Times New Roman" w:hAnsi="Times New Roman" w:cs="Times New Roman"/>
          <w:sz w:val="20"/>
          <w:szCs w:val="20"/>
        </w:rPr>
      </w:pPr>
      <w:r w:rsidRPr="00EC1AB2">
        <w:rPr>
          <w:rFonts w:ascii="Times New Roman" w:hAnsi="Times New Roman" w:cs="Times New Roman"/>
          <w:noProof/>
          <w:sz w:val="24"/>
          <w:szCs w:val="24"/>
          <w:lang w:eastAsia="lt-LT"/>
        </w:rPr>
        <mc:AlternateContent>
          <mc:Choice Requires="wpg">
            <w:drawing>
              <wp:anchor distT="0" distB="0" distL="114300" distR="114300" simplePos="0" relativeHeight="251956224" behindDoc="0" locked="0" layoutInCell="1" allowOverlap="1" wp14:anchorId="3F07AFBB" wp14:editId="24ED6211">
                <wp:simplePos x="0" y="0"/>
                <wp:positionH relativeFrom="column">
                  <wp:posOffset>423545</wp:posOffset>
                </wp:positionH>
                <wp:positionV relativeFrom="paragraph">
                  <wp:posOffset>-257175</wp:posOffset>
                </wp:positionV>
                <wp:extent cx="3286125" cy="495300"/>
                <wp:effectExtent l="0" t="0" r="0" b="0"/>
                <wp:wrapNone/>
                <wp:docPr id="196" name="Group 196"/>
                <wp:cNvGraphicFramePr/>
                <a:graphic xmlns:a="http://schemas.openxmlformats.org/drawingml/2006/main">
                  <a:graphicData uri="http://schemas.microsoft.com/office/word/2010/wordprocessingGroup">
                    <wpg:wgp>
                      <wpg:cNvGrpSpPr/>
                      <wpg:grpSpPr>
                        <a:xfrm>
                          <a:off x="0" y="0"/>
                          <a:ext cx="3286125" cy="495300"/>
                          <a:chOff x="0" y="0"/>
                          <a:chExt cx="3286125" cy="495300"/>
                        </a:xfrm>
                      </wpg:grpSpPr>
                      <wps:wsp>
                        <wps:cNvPr id="197" name="TextBox 2"/>
                        <wps:cNvSpPr txBox="1"/>
                        <wps:spPr>
                          <a:xfrm>
                            <a:off x="0" y="0"/>
                            <a:ext cx="3286125" cy="495300"/>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rsidR="00EC1AB2" w:rsidRPr="00CB652D" w:rsidRDefault="00EC1AB2" w:rsidP="00840A0D">
                              <w:pPr>
                                <w:pStyle w:val="NormalWeb"/>
                                <w:rPr>
                                  <w:sz w:val="20"/>
                                  <w:szCs w:val="20"/>
                                </w:rPr>
                              </w:pPr>
                              <w:r>
                                <w:rPr>
                                  <w:rFonts w:asciiTheme="minorHAnsi" w:hAnsi="Calibri" w:cstheme="minorBidi"/>
                                  <w:color w:val="000000" w:themeColor="dark1"/>
                                  <w:sz w:val="22"/>
                                  <w:szCs w:val="22"/>
                                </w:rPr>
                                <w:t xml:space="preserve">     </w:t>
                              </w:r>
                              <w:r w:rsidRPr="00CB652D">
                                <w:rPr>
                                  <w:color w:val="000000" w:themeColor="dark1"/>
                                  <w:sz w:val="20"/>
                                  <w:szCs w:val="20"/>
                                </w:rPr>
                                <w:t>Nuosaikios inovatorės         Inovacijų šalininkės</w:t>
                              </w:r>
                            </w:p>
                            <w:p w:rsidR="00EC1AB2" w:rsidRPr="00CB652D" w:rsidRDefault="00EC1AB2" w:rsidP="00840A0D">
                              <w:pPr>
                                <w:pStyle w:val="NormalWeb"/>
                                <w:rPr>
                                  <w:sz w:val="20"/>
                                  <w:szCs w:val="20"/>
                                </w:rPr>
                              </w:pPr>
                              <w:r w:rsidRPr="00CB652D">
                                <w:rPr>
                                  <w:color w:val="000000" w:themeColor="dark1"/>
                                  <w:sz w:val="20"/>
                                  <w:szCs w:val="20"/>
                                </w:rPr>
                                <w:t xml:space="preserve">     Vidutinės inovatorės         </w:t>
                              </w:r>
                              <w:r>
                                <w:rPr>
                                  <w:color w:val="000000" w:themeColor="dark1"/>
                                  <w:sz w:val="20"/>
                                  <w:szCs w:val="20"/>
                                </w:rPr>
                                <w:t xml:space="preserve">  </w:t>
                              </w:r>
                              <w:r w:rsidRPr="00CB652D">
                                <w:rPr>
                                  <w:color w:val="000000" w:themeColor="dark1"/>
                                  <w:sz w:val="20"/>
                                  <w:szCs w:val="20"/>
                                </w:rPr>
                                <w:t xml:space="preserve"> Inovacijų lyderės</w:t>
                              </w:r>
                            </w:p>
                          </w:txbxContent>
                        </wps:txbx>
                        <wps:bodyPr vertOverflow="clip" horzOverflow="clip" wrap="square" rtlCol="0" anchor="t">
                          <a:noAutofit/>
                        </wps:bodyPr>
                      </wps:wsp>
                      <wps:wsp>
                        <wps:cNvPr id="198" name="Rectangle 3"/>
                        <wps:cNvSpPr/>
                        <wps:spPr>
                          <a:xfrm>
                            <a:off x="133350" y="28575"/>
                            <a:ext cx="95250" cy="10477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wps:wsp>
                        <wps:cNvPr id="199" name="Rectangle 4"/>
                        <wps:cNvSpPr/>
                        <wps:spPr>
                          <a:xfrm>
                            <a:off x="1543050" y="28575"/>
                            <a:ext cx="95250" cy="104775"/>
                          </a:xfrm>
                          <a:prstGeom prst="rect">
                            <a:avLst/>
                          </a:prstGeom>
                          <a:solidFill>
                            <a:srgbClr val="C0E43C"/>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wps:wsp>
                        <wps:cNvPr id="200" name="Rectangle 5"/>
                        <wps:cNvSpPr/>
                        <wps:spPr>
                          <a:xfrm>
                            <a:off x="133350" y="209550"/>
                            <a:ext cx="95250" cy="104775"/>
                          </a:xfrm>
                          <a:prstGeom prst="rect">
                            <a:avLst/>
                          </a:prstGeom>
                          <a:solidFill>
                            <a:srgbClr val="9BE5E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wps:wsp>
                        <wps:cNvPr id="201" name="Rectangle 6"/>
                        <wps:cNvSpPr/>
                        <wps:spPr>
                          <a:xfrm>
                            <a:off x="1543050" y="209550"/>
                            <a:ext cx="95250" cy="104775"/>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id="Group 196" o:spid="_x0000_s1060" style="position:absolute;left:0;text-align:left;margin-left:33.35pt;margin-top:-20.25pt;width:258.75pt;height:39pt;z-index:251956224;mso-height-relative:margin" coordsize="32861,49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">
                <v:shape id="_x0000_s1061" type="#_x0000_t202" style="position:absolute;width:32861;height:49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MSE8EA&#10;AADcAAAADwAAAGRycy9kb3ducmV2LnhtbERPTYvCMBC9C/6HMIK3NXFRd+0aZVEET4ruKuxtaMa2&#10;2ExKE23990ZY8DaP9zmzRWtLcaPaF441DAcKBHHqTMGZht+f9dsnCB+QDZaOScOdPCzm3c4ME+Ma&#10;3tPtEDIRQ9gnqCEPoUqk9GlOFv3AVcSRO7vaYoiwzqSpsYnhtpTvSk2kxYJjQ44VLXNKL4er1XDc&#10;nv9OI7XLVnZcNa5Vku1Uat3vtd9fIAK14SX+d29MnD/9gOcz8QI5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uzEhPBAAAA3AAAAA8AAAAAAAAAAAAAAAAAmAIAAGRycy9kb3du&#10;cmV2LnhtbFBLBQYAAAAABAAEAPUAAACGAwAAAAA=&#10;" filled="f" stroked="f">
                  <v:textbox>
                    <w:txbxContent>
                      <w:p w:rsidR="00A03476" w:rsidRPr="00CB652D" w:rsidRDefault="00A03476" w:rsidP="00840A0D">
                        <w:pPr>
                          <w:pStyle w:val="NormalWeb"/>
                          <w:rPr>
                            <w:sz w:val="20"/>
                            <w:szCs w:val="20"/>
                          </w:rPr>
                        </w:pPr>
                        <w:r>
                          <w:rPr>
                            <w:rFonts w:asciiTheme="minorHAnsi" w:hAnsi="Calibri" w:cstheme="minorBidi"/>
                            <w:color w:val="000000" w:themeColor="dark1"/>
                            <w:sz w:val="22"/>
                            <w:szCs w:val="22"/>
                          </w:rPr>
                          <w:t xml:space="preserve">     </w:t>
                        </w:r>
                        <w:r w:rsidRPr="00CB652D">
                          <w:rPr>
                            <w:color w:val="000000" w:themeColor="dark1"/>
                            <w:sz w:val="20"/>
                            <w:szCs w:val="20"/>
                          </w:rPr>
                          <w:t>Nuosaikios inovatorės         Inovacijų šalininkės</w:t>
                        </w:r>
                      </w:p>
                      <w:p w:rsidR="00A03476" w:rsidRPr="00CB652D" w:rsidRDefault="00A03476" w:rsidP="00840A0D">
                        <w:pPr>
                          <w:pStyle w:val="NormalWeb"/>
                          <w:rPr>
                            <w:sz w:val="20"/>
                            <w:szCs w:val="20"/>
                          </w:rPr>
                        </w:pPr>
                        <w:r w:rsidRPr="00CB652D">
                          <w:rPr>
                            <w:color w:val="000000" w:themeColor="dark1"/>
                            <w:sz w:val="20"/>
                            <w:szCs w:val="20"/>
                          </w:rPr>
                          <w:t xml:space="preserve">     Vidutinės inovatorės         </w:t>
                        </w:r>
                        <w:r>
                          <w:rPr>
                            <w:color w:val="000000" w:themeColor="dark1"/>
                            <w:sz w:val="20"/>
                            <w:szCs w:val="20"/>
                          </w:rPr>
                          <w:t xml:space="preserve">  </w:t>
                        </w:r>
                        <w:r w:rsidRPr="00CB652D">
                          <w:rPr>
                            <w:color w:val="000000" w:themeColor="dark1"/>
                            <w:sz w:val="20"/>
                            <w:szCs w:val="20"/>
                          </w:rPr>
                          <w:t xml:space="preserve"> Inovacijų lyderės</w:t>
                        </w:r>
                      </w:p>
                    </w:txbxContent>
                  </v:textbox>
                </v:shape>
                <v:rect id="Rectangle 3" o:spid="_x0000_s1062" style="position:absolute;left:1333;top:285;width:953;height:1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PQ08YA&#10;AADcAAAADwAAAGRycy9kb3ducmV2LnhtbESPQWvCQBCF7wX/wzJCb3VToVJTV1HBUBApTerB25Cd&#10;JqHZ2ZBdNf33zkHwNsN78943i9XgWnWhPjSeDbxOElDEpbcNVwZ+it3LO6gQkS22nsnAPwVYLUdP&#10;C0ytv/I3XfJYKQnhkKKBOsYu1TqUNTkME98Ri/bre4dR1r7StserhLtWT5Nkph02LA01drStqfzL&#10;z87AvoibzVeW7U5vmT3OD9m20OvcmOfxsP4AFWmID/P9+tMK/lxo5RmZQC9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sPQ08YAAADcAAAADwAAAAAAAAAAAAAAAACYAgAAZHJz&#10;L2Rvd25yZXYueG1sUEsFBgAAAAAEAAQA9QAAAIsDAAAAAA==&#10;" fillcolor="#e36c0a [2409]" stroked="f" strokeweight="2pt"/>
                <v:rect id="Rectangle 4" o:spid="_x0000_s1063" style="position:absolute;left:15430;top:285;width:953;height:1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XUacQA&#10;AADcAAAADwAAAGRycy9kb3ducmV2LnhtbERPTWvCQBC9F/oflhF6qxt7EBNdRSyFSqVoVMTbkB2z&#10;wexsyG419td3C4K3ebzPmcw6W4sLtb5yrGDQT0AQF05XXCrYbT9eRyB8QNZYOyYFN/Iwmz4/TTDT&#10;7sobuuShFDGEfYYKTAhNJqUvDFn0fdcQR+7kWoshwraUusVrDLe1fEuSobRYcWww2NDCUHHOf6yC&#10;fb5ffg8P66/6fWvS37lZjlbNUamXXjcfgwjUhYf47v7UcX6awv8z8QI5/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r11GnEAAAA3AAAAA8AAAAAAAAAAAAAAAAAmAIAAGRycy9k&#10;b3ducmV2LnhtbFBLBQYAAAAABAAEAPUAAACJAwAAAAA=&#10;" fillcolor="#c0e43c" stroked="f" strokeweight="2pt"/>
                <v:rect id="Rectangle 5" o:spid="_x0000_s1064" style="position:absolute;left:1333;top:2095;width:953;height:1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xBw8MA&#10;AADcAAAADwAAAGRycy9kb3ducmV2LnhtbESPQWvCQBSE7wX/w/KE3uqusQSJrkEFQSgUGgXx9sg+&#10;k2D2bciuMf333UKhx2FmvmHW+WhbMVDvG8ca5jMFgrh0puFKw/l0eFuC8AHZYOuYNHyTh3wzeVlj&#10;ZtyTv2goQiUihH2GGuoQukxKX9Zk0c9cRxy9m+sthij7SpoenxFuW5kolUqLDceFGjva11Tei4fV&#10;cDHD5WOhbsn983DdXU+KTfrOWr9Ox+0KRKAx/If/2kejIRLh90w8AnL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9xBw8MAAADcAAAADwAAAAAAAAAAAAAAAACYAgAAZHJzL2Rv&#10;d25yZXYueG1sUEsFBgAAAAAEAAQA9QAAAIgDAAAAAA==&#10;" fillcolor="#9be5ef" stroked="f" strokeweight="2pt"/>
                <v:rect id="Rectangle 6" o:spid="_x0000_s1065" style="position:absolute;left:15430;top:2095;width:953;height:1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ybccMA&#10;AADcAAAADwAAAGRycy9kb3ducmV2LnhtbESPQWsCMRSE7wX/Q3hCL0UTRaqsRtGC4K1UPezxuXnu&#10;Lm5eliS6679vhEKPw8x8w6w2vW3Eg3yoHWuYjBUI4sKZmksN59N+tAARIrLBxjFpeFKAzXrwtsLM&#10;uI5/6HGMpUgQDhlqqGJsMylDUZHFMHYtcfKuzluMSfpSGo9dgttGTpX6lBZrTgsVtvRVUXE73q2G&#10;73w/9ypczO62LVz+YfNd0820fh/22yWISH38D/+1D0bDVE3gdSYdAb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bybccMAAADcAAAADwAAAAAAAAAAAAAAAACYAgAAZHJzL2Rv&#10;d25yZXYueG1sUEsFBgAAAAAEAAQA9QAAAIgDAAAAAA==&#10;" fillcolor="#243f60 [1604]" stroked="f" strokeweight="2pt"/>
              </v:group>
            </w:pict>
          </mc:Fallback>
        </mc:AlternateContent>
      </w:r>
    </w:p>
    <w:p w:rsidR="004F15D8" w:rsidRPr="00EC1AB2" w:rsidRDefault="004F15D8" w:rsidP="007A02A8">
      <w:pPr>
        <w:autoSpaceDE w:val="0"/>
        <w:autoSpaceDN w:val="0"/>
        <w:adjustRightInd w:val="0"/>
        <w:spacing w:after="0" w:line="360" w:lineRule="auto"/>
        <w:ind w:firstLine="1296"/>
        <w:rPr>
          <w:rFonts w:ascii="Times New Roman" w:hAnsi="Times New Roman" w:cs="Times New Roman"/>
          <w:sz w:val="20"/>
          <w:szCs w:val="20"/>
        </w:rPr>
      </w:pPr>
    </w:p>
    <w:p w:rsidR="004F15D8" w:rsidRPr="00EC1AB2" w:rsidRDefault="004F15D8" w:rsidP="007A02A8">
      <w:pPr>
        <w:autoSpaceDE w:val="0"/>
        <w:autoSpaceDN w:val="0"/>
        <w:adjustRightInd w:val="0"/>
        <w:spacing w:after="0" w:line="360" w:lineRule="auto"/>
        <w:ind w:firstLine="1296"/>
        <w:rPr>
          <w:rFonts w:ascii="Times New Roman" w:hAnsi="Times New Roman" w:cs="Times New Roman"/>
          <w:sz w:val="20"/>
          <w:szCs w:val="20"/>
        </w:rPr>
      </w:pPr>
    </w:p>
    <w:p w:rsidR="004F15D8" w:rsidRPr="00EC1AB2" w:rsidRDefault="004F15D8" w:rsidP="007A02A8">
      <w:pPr>
        <w:autoSpaceDE w:val="0"/>
        <w:autoSpaceDN w:val="0"/>
        <w:adjustRightInd w:val="0"/>
        <w:spacing w:after="0" w:line="360" w:lineRule="auto"/>
        <w:ind w:firstLine="1296"/>
        <w:rPr>
          <w:rFonts w:ascii="Times New Roman" w:hAnsi="Times New Roman" w:cs="Times New Roman"/>
          <w:sz w:val="20"/>
          <w:szCs w:val="20"/>
        </w:rPr>
      </w:pPr>
    </w:p>
    <w:p w:rsidR="00840A0D" w:rsidRPr="00EC1AB2" w:rsidRDefault="00840A0D" w:rsidP="00442ED1">
      <w:pPr>
        <w:autoSpaceDE w:val="0"/>
        <w:autoSpaceDN w:val="0"/>
        <w:adjustRightInd w:val="0"/>
        <w:spacing w:after="0" w:line="360" w:lineRule="auto"/>
        <w:rPr>
          <w:rFonts w:ascii="Times New Roman" w:hAnsi="Times New Roman" w:cs="Times New Roman"/>
          <w:sz w:val="20"/>
          <w:szCs w:val="20"/>
        </w:rPr>
      </w:pPr>
    </w:p>
    <w:p w:rsidR="004F15D8" w:rsidRPr="00EC1AB2" w:rsidRDefault="004F15D8" w:rsidP="007A02A8">
      <w:pPr>
        <w:autoSpaceDE w:val="0"/>
        <w:autoSpaceDN w:val="0"/>
        <w:adjustRightInd w:val="0"/>
        <w:spacing w:after="0" w:line="360" w:lineRule="auto"/>
        <w:ind w:firstLine="1296"/>
        <w:jc w:val="right"/>
        <w:rPr>
          <w:rFonts w:ascii="Times New Roman" w:hAnsi="Times New Roman" w:cs="Times New Roman"/>
          <w:sz w:val="24"/>
          <w:szCs w:val="24"/>
        </w:rPr>
      </w:pPr>
      <w:r w:rsidRPr="00EC1AB2">
        <w:rPr>
          <w:rFonts w:ascii="Times New Roman" w:hAnsi="Times New Roman" w:cs="Times New Roman"/>
          <w:sz w:val="24"/>
          <w:szCs w:val="24"/>
        </w:rPr>
        <w:t>3 priedo tęsinys kitame puslapyje</w:t>
      </w:r>
    </w:p>
    <w:p w:rsidR="004F15D8" w:rsidRPr="00EC1AB2" w:rsidRDefault="00840A0D" w:rsidP="007A02A8">
      <w:pPr>
        <w:autoSpaceDE w:val="0"/>
        <w:autoSpaceDN w:val="0"/>
        <w:adjustRightInd w:val="0"/>
        <w:spacing w:after="0" w:line="360" w:lineRule="auto"/>
        <w:ind w:firstLine="1296"/>
        <w:jc w:val="right"/>
        <w:rPr>
          <w:rFonts w:ascii="Times New Roman" w:hAnsi="Times New Roman" w:cs="Times New Roman"/>
          <w:sz w:val="24"/>
          <w:szCs w:val="24"/>
        </w:rPr>
      </w:pPr>
      <w:r w:rsidRPr="00EC1AB2">
        <w:rPr>
          <w:rFonts w:ascii="Times New Roman" w:hAnsi="Times New Roman" w:cs="Times New Roman"/>
          <w:noProof/>
          <w:lang w:eastAsia="lt-LT"/>
        </w:rPr>
        <w:lastRenderedPageBreak/>
        <w:drawing>
          <wp:anchor distT="0" distB="0" distL="114300" distR="114300" simplePos="0" relativeHeight="251685888" behindDoc="0" locked="0" layoutInCell="1" allowOverlap="1" wp14:anchorId="41D7E471" wp14:editId="12639AB8">
            <wp:simplePos x="0" y="0"/>
            <wp:positionH relativeFrom="column">
              <wp:posOffset>-128905</wp:posOffset>
            </wp:positionH>
            <wp:positionV relativeFrom="paragraph">
              <wp:posOffset>346710</wp:posOffset>
            </wp:positionV>
            <wp:extent cx="5868035" cy="3275330"/>
            <wp:effectExtent l="0" t="0" r="0" b="0"/>
            <wp:wrapTopAndBottom/>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14:sizeRelH relativeFrom="page">
              <wp14:pctWidth>0</wp14:pctWidth>
            </wp14:sizeRelH>
            <wp14:sizeRelV relativeFrom="page">
              <wp14:pctHeight>0</wp14:pctHeight>
            </wp14:sizeRelV>
          </wp:anchor>
        </w:drawing>
      </w:r>
      <w:r w:rsidR="00A567B6" w:rsidRPr="00EC1AB2">
        <w:rPr>
          <w:rFonts w:ascii="Times New Roman" w:hAnsi="Times New Roman" w:cs="Times New Roman"/>
          <w:sz w:val="24"/>
          <w:szCs w:val="24"/>
        </w:rPr>
        <w:t>3 priedo tęsinys</w:t>
      </w:r>
    </w:p>
    <w:p w:rsidR="004F15D8" w:rsidRPr="00EC1AB2" w:rsidRDefault="004F15D8" w:rsidP="007A02A8">
      <w:pPr>
        <w:autoSpaceDE w:val="0"/>
        <w:autoSpaceDN w:val="0"/>
        <w:adjustRightInd w:val="0"/>
        <w:spacing w:after="0" w:line="360" w:lineRule="auto"/>
        <w:ind w:firstLine="1296"/>
        <w:rPr>
          <w:rFonts w:ascii="Times New Roman" w:hAnsi="Times New Roman" w:cs="Times New Roman"/>
          <w:sz w:val="20"/>
          <w:szCs w:val="20"/>
        </w:rPr>
      </w:pPr>
    </w:p>
    <w:p w:rsidR="00F5128B" w:rsidRPr="00EC1AB2" w:rsidRDefault="00F5128B" w:rsidP="007A02A8">
      <w:pPr>
        <w:autoSpaceDE w:val="0"/>
        <w:autoSpaceDN w:val="0"/>
        <w:adjustRightInd w:val="0"/>
        <w:spacing w:after="0" w:line="360" w:lineRule="auto"/>
        <w:ind w:firstLine="1296"/>
        <w:rPr>
          <w:rFonts w:ascii="Times New Roman" w:hAnsi="Times New Roman" w:cs="Times New Roman"/>
          <w:sz w:val="20"/>
          <w:szCs w:val="20"/>
        </w:rPr>
      </w:pPr>
      <w:r w:rsidRPr="00EC1AB2">
        <w:rPr>
          <w:rFonts w:ascii="Times New Roman" w:hAnsi="Times New Roman" w:cs="Times New Roman"/>
          <w:noProof/>
          <w:lang w:eastAsia="lt-LT"/>
        </w:rPr>
        <w:drawing>
          <wp:anchor distT="0" distB="0" distL="114300" distR="114300" simplePos="0" relativeHeight="251694080" behindDoc="0" locked="0" layoutInCell="1" allowOverlap="1" wp14:anchorId="12334C41" wp14:editId="5501110F">
            <wp:simplePos x="0" y="0"/>
            <wp:positionH relativeFrom="column">
              <wp:posOffset>-52705</wp:posOffset>
            </wp:positionH>
            <wp:positionV relativeFrom="paragraph">
              <wp:posOffset>401320</wp:posOffset>
            </wp:positionV>
            <wp:extent cx="5867400" cy="3276600"/>
            <wp:effectExtent l="0" t="0" r="0" b="0"/>
            <wp:wrapTopAndBottom/>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14:sizeRelH relativeFrom="page">
              <wp14:pctWidth>0</wp14:pctWidth>
            </wp14:sizeRelH>
            <wp14:sizeRelV relativeFrom="page">
              <wp14:pctHeight>0</wp14:pctHeight>
            </wp14:sizeRelV>
          </wp:anchor>
        </w:drawing>
      </w:r>
      <w:r w:rsidR="00A567B6" w:rsidRPr="00EC1AB2">
        <w:rPr>
          <w:rFonts w:ascii="Times New Roman" w:hAnsi="Times New Roman" w:cs="Times New Roman"/>
          <w:noProof/>
          <w:lang w:eastAsia="lt-LT"/>
        </w:rPr>
        <w:drawing>
          <wp:anchor distT="0" distB="0" distL="114300" distR="114300" simplePos="0" relativeHeight="251686912" behindDoc="1" locked="0" layoutInCell="1" allowOverlap="1" wp14:anchorId="24F8562D" wp14:editId="660EBB23">
            <wp:simplePos x="0" y="0"/>
            <wp:positionH relativeFrom="column">
              <wp:posOffset>-167640</wp:posOffset>
            </wp:positionH>
            <wp:positionV relativeFrom="paragraph">
              <wp:posOffset>3175</wp:posOffset>
            </wp:positionV>
            <wp:extent cx="5867400" cy="3276600"/>
            <wp:effectExtent l="0" t="0" r="0" b="0"/>
            <wp:wrapThrough wrapText="bothSides">
              <wp:wrapPolygon edited="0">
                <wp:start x="8345" y="502"/>
                <wp:lineTo x="842" y="2135"/>
                <wp:lineTo x="842" y="6656"/>
                <wp:lineTo x="421" y="7158"/>
                <wp:lineTo x="210" y="7660"/>
                <wp:lineTo x="842" y="8791"/>
                <wp:lineTo x="842" y="10423"/>
                <wp:lineTo x="1122" y="10926"/>
                <wp:lineTo x="842" y="11051"/>
                <wp:lineTo x="1192" y="12809"/>
                <wp:lineTo x="2034" y="14819"/>
                <wp:lineTo x="1964" y="15195"/>
                <wp:lineTo x="2384" y="16828"/>
                <wp:lineTo x="12203" y="17205"/>
                <wp:lineTo x="15008" y="19088"/>
                <wp:lineTo x="15148" y="19591"/>
                <wp:lineTo x="15569" y="19591"/>
                <wp:lineTo x="15569" y="18837"/>
                <wp:lineTo x="17953" y="18837"/>
                <wp:lineTo x="19075" y="18209"/>
                <wp:lineTo x="19005" y="16828"/>
                <wp:lineTo x="20057" y="16828"/>
                <wp:lineTo x="21109" y="15823"/>
                <wp:lineTo x="21249" y="13186"/>
                <wp:lineTo x="1613" y="8791"/>
                <wp:lineTo x="10730" y="6781"/>
                <wp:lineTo x="1683" y="4772"/>
                <wp:lineTo x="1683" y="2763"/>
                <wp:lineTo x="12764" y="1507"/>
                <wp:lineTo x="13255" y="1130"/>
                <wp:lineTo x="12694" y="502"/>
                <wp:lineTo x="8345" y="502"/>
              </wp:wrapPolygon>
            </wp:wrapThrough>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14:sizeRelH relativeFrom="page">
              <wp14:pctWidth>0</wp14:pctWidth>
            </wp14:sizeRelH>
            <wp14:sizeRelV relativeFrom="page">
              <wp14:pctHeight>0</wp14:pctHeight>
            </wp14:sizeRelV>
          </wp:anchor>
        </w:drawing>
      </w:r>
    </w:p>
    <w:p w:rsidR="00F575AA" w:rsidRPr="00EC1AB2" w:rsidRDefault="00F575AA" w:rsidP="007A02A8">
      <w:pPr>
        <w:autoSpaceDE w:val="0"/>
        <w:autoSpaceDN w:val="0"/>
        <w:adjustRightInd w:val="0"/>
        <w:spacing w:after="0" w:line="360" w:lineRule="auto"/>
        <w:ind w:firstLine="1296"/>
        <w:jc w:val="right"/>
        <w:rPr>
          <w:rFonts w:ascii="Times New Roman" w:hAnsi="Times New Roman" w:cs="Times New Roman"/>
          <w:sz w:val="20"/>
          <w:szCs w:val="20"/>
        </w:rPr>
      </w:pPr>
    </w:p>
    <w:p w:rsidR="00F575AA" w:rsidRPr="00EC1AB2" w:rsidRDefault="00594304" w:rsidP="007A02A8">
      <w:pPr>
        <w:autoSpaceDE w:val="0"/>
        <w:autoSpaceDN w:val="0"/>
        <w:adjustRightInd w:val="0"/>
        <w:spacing w:after="0" w:line="360" w:lineRule="auto"/>
        <w:ind w:firstLine="1296"/>
        <w:jc w:val="right"/>
        <w:rPr>
          <w:rFonts w:ascii="Times New Roman" w:hAnsi="Times New Roman" w:cs="Times New Roman"/>
          <w:sz w:val="20"/>
          <w:szCs w:val="20"/>
        </w:rPr>
      </w:pPr>
      <w:r w:rsidRPr="00EC1AB2">
        <w:rPr>
          <w:rFonts w:ascii="Times New Roman" w:hAnsi="Times New Roman" w:cs="Times New Roman"/>
          <w:noProof/>
          <w:sz w:val="24"/>
          <w:szCs w:val="24"/>
          <w:lang w:eastAsia="lt-LT"/>
        </w:rPr>
        <mc:AlternateContent>
          <mc:Choice Requires="wpg">
            <w:drawing>
              <wp:anchor distT="0" distB="0" distL="114300" distR="114300" simplePos="0" relativeHeight="251960320" behindDoc="0" locked="0" layoutInCell="1" allowOverlap="1" wp14:anchorId="5E2E0FCB" wp14:editId="2820D609">
                <wp:simplePos x="0" y="0"/>
                <wp:positionH relativeFrom="column">
                  <wp:posOffset>575945</wp:posOffset>
                </wp:positionH>
                <wp:positionV relativeFrom="paragraph">
                  <wp:posOffset>-441960</wp:posOffset>
                </wp:positionV>
                <wp:extent cx="3286125" cy="495300"/>
                <wp:effectExtent l="0" t="0" r="0" b="0"/>
                <wp:wrapNone/>
                <wp:docPr id="310" name="Group 310"/>
                <wp:cNvGraphicFramePr/>
                <a:graphic xmlns:a="http://schemas.openxmlformats.org/drawingml/2006/main">
                  <a:graphicData uri="http://schemas.microsoft.com/office/word/2010/wordprocessingGroup">
                    <wpg:wgp>
                      <wpg:cNvGrpSpPr/>
                      <wpg:grpSpPr>
                        <a:xfrm>
                          <a:off x="0" y="0"/>
                          <a:ext cx="3286125" cy="495300"/>
                          <a:chOff x="0" y="0"/>
                          <a:chExt cx="3286125" cy="495300"/>
                        </a:xfrm>
                      </wpg:grpSpPr>
                      <wps:wsp>
                        <wps:cNvPr id="311" name="TextBox 2"/>
                        <wps:cNvSpPr txBox="1"/>
                        <wps:spPr>
                          <a:xfrm>
                            <a:off x="0" y="0"/>
                            <a:ext cx="3286125" cy="495300"/>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rsidR="00EC1AB2" w:rsidRPr="00CB652D" w:rsidRDefault="00EC1AB2" w:rsidP="00594304">
                              <w:pPr>
                                <w:pStyle w:val="NormalWeb"/>
                                <w:rPr>
                                  <w:sz w:val="20"/>
                                  <w:szCs w:val="20"/>
                                </w:rPr>
                              </w:pPr>
                              <w:r>
                                <w:rPr>
                                  <w:rFonts w:asciiTheme="minorHAnsi" w:hAnsi="Calibri" w:cstheme="minorBidi"/>
                                  <w:color w:val="000000" w:themeColor="dark1"/>
                                  <w:sz w:val="22"/>
                                  <w:szCs w:val="22"/>
                                </w:rPr>
                                <w:t xml:space="preserve">     </w:t>
                              </w:r>
                              <w:r w:rsidRPr="00CB652D">
                                <w:rPr>
                                  <w:color w:val="000000" w:themeColor="dark1"/>
                                  <w:sz w:val="20"/>
                                  <w:szCs w:val="20"/>
                                </w:rPr>
                                <w:t>Nuosaikios inovatorės         Inovacijų šalininkės</w:t>
                              </w:r>
                            </w:p>
                            <w:p w:rsidR="00EC1AB2" w:rsidRPr="00CB652D" w:rsidRDefault="00EC1AB2" w:rsidP="00594304">
                              <w:pPr>
                                <w:pStyle w:val="NormalWeb"/>
                                <w:rPr>
                                  <w:sz w:val="20"/>
                                  <w:szCs w:val="20"/>
                                </w:rPr>
                              </w:pPr>
                              <w:r w:rsidRPr="00CB652D">
                                <w:rPr>
                                  <w:color w:val="000000" w:themeColor="dark1"/>
                                  <w:sz w:val="20"/>
                                  <w:szCs w:val="20"/>
                                </w:rPr>
                                <w:t xml:space="preserve">     Vidutinės inovatorės         </w:t>
                              </w:r>
                              <w:r>
                                <w:rPr>
                                  <w:color w:val="000000" w:themeColor="dark1"/>
                                  <w:sz w:val="20"/>
                                  <w:szCs w:val="20"/>
                                </w:rPr>
                                <w:t xml:space="preserve">  </w:t>
                              </w:r>
                              <w:r w:rsidRPr="00CB652D">
                                <w:rPr>
                                  <w:color w:val="000000" w:themeColor="dark1"/>
                                  <w:sz w:val="20"/>
                                  <w:szCs w:val="20"/>
                                </w:rPr>
                                <w:t xml:space="preserve"> Inovacijų lyderės</w:t>
                              </w:r>
                            </w:p>
                          </w:txbxContent>
                        </wps:txbx>
                        <wps:bodyPr vertOverflow="clip" horzOverflow="clip" wrap="square" rtlCol="0" anchor="t">
                          <a:noAutofit/>
                        </wps:bodyPr>
                      </wps:wsp>
                      <wps:wsp>
                        <wps:cNvPr id="312" name="Rectangle 3"/>
                        <wps:cNvSpPr/>
                        <wps:spPr>
                          <a:xfrm>
                            <a:off x="133350" y="28575"/>
                            <a:ext cx="95250" cy="10477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wps:wsp>
                        <wps:cNvPr id="313" name="Rectangle 4"/>
                        <wps:cNvSpPr/>
                        <wps:spPr>
                          <a:xfrm>
                            <a:off x="1543050" y="28575"/>
                            <a:ext cx="95250" cy="104775"/>
                          </a:xfrm>
                          <a:prstGeom prst="rect">
                            <a:avLst/>
                          </a:prstGeom>
                          <a:solidFill>
                            <a:srgbClr val="C0E43C"/>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wps:wsp>
                        <wps:cNvPr id="314" name="Rectangle 5"/>
                        <wps:cNvSpPr/>
                        <wps:spPr>
                          <a:xfrm>
                            <a:off x="133350" y="209550"/>
                            <a:ext cx="95250" cy="104775"/>
                          </a:xfrm>
                          <a:prstGeom prst="rect">
                            <a:avLst/>
                          </a:prstGeom>
                          <a:solidFill>
                            <a:srgbClr val="9BE5E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wps:wsp>
                        <wps:cNvPr id="315" name="Rectangle 6"/>
                        <wps:cNvSpPr/>
                        <wps:spPr>
                          <a:xfrm>
                            <a:off x="1543050" y="209550"/>
                            <a:ext cx="95250" cy="104775"/>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id="Group 310" o:spid="_x0000_s1066" style="position:absolute;left:0;text-align:left;margin-left:45.35pt;margin-top:-34.8pt;width:258.75pt;height:39pt;z-index:251960320;mso-height-relative:margin" coordsize="32861,49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">
                <v:shape id="_x0000_s1067" type="#_x0000_t202" style="position:absolute;width:32861;height:49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FCR8QA&#10;AADcAAAADwAAAGRycy9kb3ducmV2LnhtbESPQWvCQBSE74X+h+UVequ7sSpt6iaIInhS1LbQ2yP7&#10;TEKzb0N2NfHfu0Khx2FmvmHm+WAbcaHO1441JCMFgrhwpuZSw+dx/fIGwgdkg41j0nAlD3n2+DDH&#10;1Lie93Q5hFJECPsUNVQhtKmUvqjIoh+5ljh6J9dZDFF2pTQd9hFuGzlWaiYt1hwXKmxpWVHxezhb&#10;DV/b08/3RO3KlZ22vRuUZPsutX5+GhYfIAIN4T/8194YDa9JAvcz8QjI7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BQkfEAAAA3AAAAA8AAAAAAAAAAAAAAAAAmAIAAGRycy9k&#10;b3ducmV2LnhtbFBLBQYAAAAABAAEAPUAAACJAwAAAAA=&#10;" filled="f" stroked="f">
                  <v:textbox>
                    <w:txbxContent>
                      <w:p w:rsidR="00A03476" w:rsidRPr="00CB652D" w:rsidRDefault="00A03476" w:rsidP="00594304">
                        <w:pPr>
                          <w:pStyle w:val="NormalWeb"/>
                          <w:rPr>
                            <w:sz w:val="20"/>
                            <w:szCs w:val="20"/>
                          </w:rPr>
                        </w:pPr>
                        <w:r>
                          <w:rPr>
                            <w:rFonts w:asciiTheme="minorHAnsi" w:hAnsi="Calibri" w:cstheme="minorBidi"/>
                            <w:color w:val="000000" w:themeColor="dark1"/>
                            <w:sz w:val="22"/>
                            <w:szCs w:val="22"/>
                          </w:rPr>
                          <w:t xml:space="preserve">     </w:t>
                        </w:r>
                        <w:r w:rsidRPr="00CB652D">
                          <w:rPr>
                            <w:color w:val="000000" w:themeColor="dark1"/>
                            <w:sz w:val="20"/>
                            <w:szCs w:val="20"/>
                          </w:rPr>
                          <w:t>Nuosaikios inovatorės         Inovacijų šalininkės</w:t>
                        </w:r>
                      </w:p>
                      <w:p w:rsidR="00A03476" w:rsidRPr="00CB652D" w:rsidRDefault="00A03476" w:rsidP="00594304">
                        <w:pPr>
                          <w:pStyle w:val="NormalWeb"/>
                          <w:rPr>
                            <w:sz w:val="20"/>
                            <w:szCs w:val="20"/>
                          </w:rPr>
                        </w:pPr>
                        <w:r w:rsidRPr="00CB652D">
                          <w:rPr>
                            <w:color w:val="000000" w:themeColor="dark1"/>
                            <w:sz w:val="20"/>
                            <w:szCs w:val="20"/>
                          </w:rPr>
                          <w:t xml:space="preserve">     Vidutinės inovatorės         </w:t>
                        </w:r>
                        <w:r>
                          <w:rPr>
                            <w:color w:val="000000" w:themeColor="dark1"/>
                            <w:sz w:val="20"/>
                            <w:szCs w:val="20"/>
                          </w:rPr>
                          <w:t xml:space="preserve">  </w:t>
                        </w:r>
                        <w:r w:rsidRPr="00CB652D">
                          <w:rPr>
                            <w:color w:val="000000" w:themeColor="dark1"/>
                            <w:sz w:val="20"/>
                            <w:szCs w:val="20"/>
                          </w:rPr>
                          <w:t xml:space="preserve"> Inovacijų lyderės</w:t>
                        </w:r>
                      </w:p>
                    </w:txbxContent>
                  </v:textbox>
                </v:shape>
                <v:rect id="Rectangle 3" o:spid="_x0000_s1068" style="position:absolute;left:1333;top:285;width:953;height:1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yKgsYA&#10;AADcAAAADwAAAGRycy9kb3ducmV2LnhtbESPQWvCQBSE70L/w/IK3sxGS6VNsxEVDIUi0qQ99PbI&#10;viah2bchu2r8925B8DjMzDdMuhpNJ040uNaygnkUgyCurG65VvBV7mYvIJxH1thZJgUXcrDKHiYp&#10;Jtqe+ZNOha9FgLBLUEHjfZ9I6aqGDLrI9sTB+7WDQR/kUEs94DnATScXcbyUBlsOCw32tG2o+iuO&#10;RsFH6TebQ57vfp5z/f26z7elXBdKTR/H9RsIT6O/h2/td63gab6A/zPhCMjs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zyKgsYAAADcAAAADwAAAAAAAAAAAAAAAACYAgAAZHJz&#10;L2Rvd25yZXYueG1sUEsFBgAAAAAEAAQA9QAAAIsDAAAAAA==&#10;" fillcolor="#e36c0a [2409]" stroked="f" strokeweight="2pt"/>
                <v:rect id="Rectangle 4" o:spid="_x0000_s1069" style="position:absolute;left:15430;top:285;width:953;height:1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qOOMcA&#10;AADcAAAADwAAAGRycy9kb3ducmV2LnhtbESPQWsCMRSE74L/ITyhN81aQXQ1irQUKi1iV0W8PTbP&#10;zdLNy7JJddtfbwShx2FmvmHmy9ZW4kKNLx0rGA4SEMS50yUXCva7t/4EhA/IGivHpOCXPCwX3c4c&#10;U+2u/EWXLBQiQtinqMCEUKdS+tyQRT9wNXH0zq6xGKJsCqkbvEa4reRzkoylxZLjgsGaXgzl39mP&#10;VXDIDuvN+Lj9qF53Zvq3MuvJZ31S6qnXrmYgArXhP/xov2sFo+EI7mfiEZC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sKjjjHAAAA3AAAAA8AAAAAAAAAAAAAAAAAmAIAAGRy&#10;cy9kb3ducmV2LnhtbFBLBQYAAAAABAAEAPUAAACMAwAAAAA=&#10;" fillcolor="#c0e43c" stroked="f" strokeweight="2pt"/>
                <v:rect id="Rectangle 5" o:spid="_x0000_s1070" style="position:absolute;left:1333;top:2095;width:953;height:1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9/egMQA&#10;AADcAAAADwAAAGRycy9kb3ducmV2LnhtbESPQWvCQBSE70L/w/IKvemuJohEV2kLQqFQMAri7ZF9&#10;JsHs25DdJum/7wqCx2FmvmE2u9E2oqfO1441zGcKBHHhTM2lhtNxP12B8AHZYOOYNPyRh932ZbLB&#10;zLiBD9TnoRQRwj5DDVUIbSalLyqy6GeuJY7e1XUWQ5RdKU2HQ4TbRi6UWkqLNceFClv6rKi45b9W&#10;w9n05+9EXRe3n/3l43JUbJYpa/32Or6vQQQawzP8aH8ZDck8hfuZeATk9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Pf3oDEAAAA3AAAAA8AAAAAAAAAAAAAAAAAmAIAAGRycy9k&#10;b3ducmV2LnhtbFBLBQYAAAAABAAEAPUAAACJAwAAAAA=&#10;" fillcolor="#9be5ef" stroked="f" strokeweight="2pt"/>
                <v:rect id="Rectangle 6" o:spid="_x0000_s1071" style="position:absolute;left:15430;top:2095;width:953;height:1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8EMsUA&#10;AADcAAAADwAAAGRycy9kb3ducmV2LnhtbESPzWrDMBCE74W8g9hCLyWR0zY/uJFDUgjkVuL24OPG&#10;2tjG1spISuy+fRUo9DjMzDfMZjuaTtzI+caygvksAUFcWt1wpeD76zBdg/ABWWNnmRT8kIdtNnnY&#10;YKrtwCe65aESEcI+RQV1CH0qpS9rMuhntieO3sU6gyFKV0ntcIhw08mXJFlKgw3HhRp7+qipbPOr&#10;UfBZHFYu8We9b3elLZ5Nse+GN6WeHsfdO4hAY/gP/7WPWsHrfAH3M/EIyO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vwQyxQAAANwAAAAPAAAAAAAAAAAAAAAAAJgCAABkcnMv&#10;ZG93bnJldi54bWxQSwUGAAAAAAQABAD1AAAAigMAAAAA&#10;" fillcolor="#243f60 [1604]" stroked="f" strokeweight="2pt"/>
              </v:group>
            </w:pict>
          </mc:Fallback>
        </mc:AlternateContent>
      </w:r>
    </w:p>
    <w:p w:rsidR="00F575AA" w:rsidRPr="00EC1AB2" w:rsidRDefault="00F575AA" w:rsidP="00A86B78">
      <w:pPr>
        <w:autoSpaceDE w:val="0"/>
        <w:autoSpaceDN w:val="0"/>
        <w:adjustRightInd w:val="0"/>
        <w:spacing w:after="0" w:line="360" w:lineRule="auto"/>
        <w:rPr>
          <w:rFonts w:ascii="Times New Roman" w:hAnsi="Times New Roman" w:cs="Times New Roman"/>
          <w:sz w:val="20"/>
          <w:szCs w:val="20"/>
        </w:rPr>
      </w:pPr>
    </w:p>
    <w:p w:rsidR="00A86B78" w:rsidRPr="00EC1AB2" w:rsidRDefault="00A86B78" w:rsidP="00A86B78">
      <w:pPr>
        <w:autoSpaceDE w:val="0"/>
        <w:autoSpaceDN w:val="0"/>
        <w:adjustRightInd w:val="0"/>
        <w:spacing w:after="0" w:line="360" w:lineRule="auto"/>
        <w:rPr>
          <w:rFonts w:ascii="Times New Roman" w:hAnsi="Times New Roman" w:cs="Times New Roman"/>
          <w:sz w:val="20"/>
          <w:szCs w:val="20"/>
        </w:rPr>
      </w:pPr>
    </w:p>
    <w:p w:rsidR="00F575AA" w:rsidRPr="00EC1AB2" w:rsidRDefault="00F575AA" w:rsidP="007A02A8">
      <w:pPr>
        <w:autoSpaceDE w:val="0"/>
        <w:autoSpaceDN w:val="0"/>
        <w:adjustRightInd w:val="0"/>
        <w:spacing w:after="0" w:line="360" w:lineRule="auto"/>
        <w:ind w:firstLine="1296"/>
        <w:jc w:val="right"/>
        <w:rPr>
          <w:rFonts w:ascii="Times New Roman" w:hAnsi="Times New Roman" w:cs="Times New Roman"/>
          <w:sz w:val="20"/>
          <w:szCs w:val="20"/>
        </w:rPr>
      </w:pPr>
    </w:p>
    <w:p w:rsidR="009211FC" w:rsidRPr="00EC1AB2" w:rsidRDefault="009211FC" w:rsidP="00A86B78">
      <w:pPr>
        <w:autoSpaceDE w:val="0"/>
        <w:autoSpaceDN w:val="0"/>
        <w:adjustRightInd w:val="0"/>
        <w:spacing w:after="0" w:line="360" w:lineRule="auto"/>
        <w:ind w:firstLine="1296"/>
        <w:jc w:val="right"/>
        <w:rPr>
          <w:rFonts w:ascii="Times New Roman" w:hAnsi="Times New Roman" w:cs="Times New Roman"/>
          <w:sz w:val="24"/>
          <w:szCs w:val="24"/>
        </w:rPr>
      </w:pPr>
      <w:r w:rsidRPr="00EC1AB2">
        <w:rPr>
          <w:rFonts w:ascii="Times New Roman" w:hAnsi="Times New Roman" w:cs="Times New Roman"/>
          <w:sz w:val="24"/>
          <w:szCs w:val="24"/>
        </w:rPr>
        <w:t>3 priedo tęsinys kitame puslapyje</w:t>
      </w:r>
      <w:r w:rsidR="00A86B78" w:rsidRPr="00EC1AB2">
        <w:rPr>
          <w:rFonts w:ascii="Times New Roman" w:hAnsi="Times New Roman" w:cs="Times New Roman"/>
          <w:sz w:val="24"/>
          <w:szCs w:val="24"/>
        </w:rPr>
        <w:br w:type="page"/>
      </w:r>
    </w:p>
    <w:p w:rsidR="009211FC" w:rsidRPr="00EC1AB2" w:rsidRDefault="009211FC" w:rsidP="007A02A8">
      <w:pPr>
        <w:autoSpaceDE w:val="0"/>
        <w:autoSpaceDN w:val="0"/>
        <w:adjustRightInd w:val="0"/>
        <w:spacing w:after="0" w:line="360" w:lineRule="auto"/>
        <w:ind w:firstLine="1296"/>
        <w:jc w:val="right"/>
        <w:rPr>
          <w:rFonts w:ascii="Times New Roman" w:hAnsi="Times New Roman" w:cs="Times New Roman"/>
          <w:sz w:val="24"/>
          <w:szCs w:val="24"/>
        </w:rPr>
      </w:pPr>
      <w:r w:rsidRPr="00EC1AB2">
        <w:rPr>
          <w:rFonts w:ascii="Times New Roman" w:hAnsi="Times New Roman" w:cs="Times New Roman"/>
          <w:sz w:val="24"/>
          <w:szCs w:val="24"/>
        </w:rPr>
        <w:lastRenderedPageBreak/>
        <w:t>3 priedo tęsinys</w:t>
      </w:r>
    </w:p>
    <w:p w:rsidR="009211FC" w:rsidRPr="00EC1AB2" w:rsidRDefault="009211FC" w:rsidP="007A02A8">
      <w:pPr>
        <w:tabs>
          <w:tab w:val="left" w:pos="8853"/>
        </w:tabs>
        <w:spacing w:after="0" w:line="360" w:lineRule="auto"/>
        <w:rPr>
          <w:rFonts w:ascii="Times New Roman" w:hAnsi="Times New Roman" w:cs="Times New Roman"/>
          <w:sz w:val="20"/>
          <w:szCs w:val="20"/>
        </w:rPr>
      </w:pPr>
    </w:p>
    <w:p w:rsidR="009211FC" w:rsidRPr="00EC1AB2" w:rsidRDefault="00C630AC" w:rsidP="007A02A8">
      <w:pPr>
        <w:tabs>
          <w:tab w:val="left" w:pos="8853"/>
        </w:tabs>
        <w:spacing w:after="0" w:line="360" w:lineRule="auto"/>
        <w:rPr>
          <w:rFonts w:ascii="Times New Roman" w:hAnsi="Times New Roman" w:cs="Times New Roman"/>
          <w:sz w:val="20"/>
          <w:szCs w:val="20"/>
        </w:rPr>
      </w:pPr>
      <w:r w:rsidRPr="00EC1AB2">
        <w:rPr>
          <w:rFonts w:ascii="Times New Roman" w:hAnsi="Times New Roman" w:cs="Times New Roman"/>
          <w:noProof/>
          <w:lang w:eastAsia="lt-LT"/>
        </w:rPr>
        <w:drawing>
          <wp:inline distT="0" distB="0" distL="0" distR="0" wp14:anchorId="0EBFD158" wp14:editId="6FCEC7AD">
            <wp:extent cx="5867401" cy="3438525"/>
            <wp:effectExtent l="0" t="0" r="0" b="0"/>
            <wp:docPr id="64" name="Chart 64"/>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CF1CEB" w:rsidRPr="00EC1AB2" w:rsidRDefault="002424B6" w:rsidP="007A02A8">
      <w:pPr>
        <w:tabs>
          <w:tab w:val="left" w:pos="8853"/>
        </w:tabs>
        <w:spacing w:after="0" w:line="360" w:lineRule="auto"/>
        <w:rPr>
          <w:rFonts w:ascii="Times New Roman" w:hAnsi="Times New Roman" w:cs="Times New Roman"/>
          <w:sz w:val="20"/>
          <w:szCs w:val="20"/>
        </w:rPr>
      </w:pPr>
      <w:r w:rsidRPr="00EC1AB2">
        <w:rPr>
          <w:rFonts w:ascii="Times New Roman" w:hAnsi="Times New Roman" w:cs="Times New Roman"/>
          <w:noProof/>
          <w:sz w:val="20"/>
          <w:szCs w:val="20"/>
          <w:lang w:eastAsia="lt-LT"/>
        </w:rPr>
        <mc:AlternateContent>
          <mc:Choice Requires="wps">
            <w:drawing>
              <wp:anchor distT="0" distB="0" distL="114300" distR="114300" simplePos="0" relativeHeight="251717632" behindDoc="0" locked="0" layoutInCell="1" allowOverlap="1" wp14:anchorId="6ACF2637" wp14:editId="27F9FB40">
                <wp:simplePos x="0" y="0"/>
                <wp:positionH relativeFrom="column">
                  <wp:posOffset>1809750</wp:posOffset>
                </wp:positionH>
                <wp:positionV relativeFrom="paragraph">
                  <wp:posOffset>3072130</wp:posOffset>
                </wp:positionV>
                <wp:extent cx="95250" cy="104775"/>
                <wp:effectExtent l="0" t="0" r="0" b="9525"/>
                <wp:wrapNone/>
                <wp:docPr id="54" name="Rectangle 6"/>
                <wp:cNvGraphicFramePr/>
                <a:graphic xmlns:a="http://schemas.openxmlformats.org/drawingml/2006/main">
                  <a:graphicData uri="http://schemas.microsoft.com/office/word/2010/wordprocessingShape">
                    <wps:wsp>
                      <wps:cNvSpPr/>
                      <wps:spPr>
                        <a:xfrm>
                          <a:off x="0" y="0"/>
                          <a:ext cx="95250" cy="104775"/>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rect id="Rectangle 6" o:spid="_x0000_s1026" style="position:absolute;margin-left:142.5pt;margin-top:241.9pt;width:7.5pt;height:8.25pt;z-index:2517176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" fillcolor="#243f60 [1604]" stroked="f" strokeweight="2pt"/>
            </w:pict>
          </mc:Fallback>
        </mc:AlternateContent>
      </w:r>
      <w:r w:rsidRPr="00EC1AB2">
        <w:rPr>
          <w:rFonts w:ascii="Times New Roman" w:hAnsi="Times New Roman" w:cs="Times New Roman"/>
          <w:noProof/>
          <w:sz w:val="20"/>
          <w:szCs w:val="20"/>
          <w:lang w:eastAsia="lt-LT"/>
        </w:rPr>
        <mc:AlternateContent>
          <mc:Choice Requires="wps">
            <w:drawing>
              <wp:anchor distT="0" distB="0" distL="114300" distR="114300" simplePos="0" relativeHeight="251716608" behindDoc="0" locked="0" layoutInCell="1" allowOverlap="1" wp14:anchorId="3C28960D" wp14:editId="7C11355B">
                <wp:simplePos x="0" y="0"/>
                <wp:positionH relativeFrom="column">
                  <wp:posOffset>400050</wp:posOffset>
                </wp:positionH>
                <wp:positionV relativeFrom="paragraph">
                  <wp:posOffset>3072130</wp:posOffset>
                </wp:positionV>
                <wp:extent cx="95250" cy="104775"/>
                <wp:effectExtent l="0" t="0" r="0" b="9525"/>
                <wp:wrapNone/>
                <wp:docPr id="53" name="Rectangle 5"/>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9BE5E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rect id="Rectangle 5" o:spid="_x0000_s1026" style="position:absolute;margin-left:31.5pt;margin-top:241.9pt;width:7.5pt;height:8.25pt;z-index:2517166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" fillcolor="#9be5ef" stroked="f" strokeweight="2pt"/>
            </w:pict>
          </mc:Fallback>
        </mc:AlternateContent>
      </w:r>
      <w:r w:rsidRPr="00EC1AB2">
        <w:rPr>
          <w:rFonts w:ascii="Times New Roman" w:hAnsi="Times New Roman" w:cs="Times New Roman"/>
          <w:noProof/>
          <w:sz w:val="20"/>
          <w:szCs w:val="20"/>
          <w:lang w:eastAsia="lt-LT"/>
        </w:rPr>
        <mc:AlternateContent>
          <mc:Choice Requires="wps">
            <w:drawing>
              <wp:anchor distT="0" distB="0" distL="114300" distR="114300" simplePos="0" relativeHeight="251715584" behindDoc="0" locked="0" layoutInCell="1" allowOverlap="1" wp14:anchorId="3B38CC96" wp14:editId="0D0D58F5">
                <wp:simplePos x="0" y="0"/>
                <wp:positionH relativeFrom="column">
                  <wp:posOffset>1809750</wp:posOffset>
                </wp:positionH>
                <wp:positionV relativeFrom="paragraph">
                  <wp:posOffset>2891155</wp:posOffset>
                </wp:positionV>
                <wp:extent cx="95250" cy="104775"/>
                <wp:effectExtent l="0" t="0" r="0" b="9525"/>
                <wp:wrapNone/>
                <wp:docPr id="52" name="Rectangle 4"/>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C0E43C"/>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rect id="Rectangle 4" o:spid="_x0000_s1026" style="position:absolute;margin-left:142.5pt;margin-top:227.65pt;width:7.5pt;height:8.25pt;z-index:2517155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" fillcolor="#c0e43c" stroked="f" strokeweight="2pt"/>
            </w:pict>
          </mc:Fallback>
        </mc:AlternateContent>
      </w:r>
      <w:r w:rsidRPr="00EC1AB2">
        <w:rPr>
          <w:rFonts w:ascii="Times New Roman" w:hAnsi="Times New Roman" w:cs="Times New Roman"/>
          <w:noProof/>
          <w:sz w:val="20"/>
          <w:szCs w:val="20"/>
          <w:lang w:eastAsia="lt-LT"/>
        </w:rPr>
        <mc:AlternateContent>
          <mc:Choice Requires="wps">
            <w:drawing>
              <wp:anchor distT="0" distB="0" distL="114300" distR="114300" simplePos="0" relativeHeight="251714560" behindDoc="0" locked="0" layoutInCell="1" allowOverlap="1" wp14:anchorId="541A66E6" wp14:editId="13EA72BA">
                <wp:simplePos x="0" y="0"/>
                <wp:positionH relativeFrom="column">
                  <wp:posOffset>400050</wp:posOffset>
                </wp:positionH>
                <wp:positionV relativeFrom="paragraph">
                  <wp:posOffset>2891155</wp:posOffset>
                </wp:positionV>
                <wp:extent cx="95250" cy="104775"/>
                <wp:effectExtent l="0" t="0" r="0" b="9525"/>
                <wp:wrapNone/>
                <wp:docPr id="51" name="Rectangle 3"/>
                <wp:cNvGraphicFramePr/>
                <a:graphic xmlns:a="http://schemas.openxmlformats.org/drawingml/2006/main">
                  <a:graphicData uri="http://schemas.microsoft.com/office/word/2010/wordprocessingShape">
                    <wps:wsp>
                      <wps:cNvSpPr/>
                      <wps:spPr>
                        <a:xfrm>
                          <a:off x="0" y="0"/>
                          <a:ext cx="95250" cy="10477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rect id="Rectangle 3" o:spid="_x0000_s1026" style="position:absolute;margin-left:31.5pt;margin-top:227.65pt;width:7.5pt;height:8.25pt;z-index:2517145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" fillcolor="#e36c0a [2409]" stroked="f" strokeweight="2pt"/>
            </w:pict>
          </mc:Fallback>
        </mc:AlternateContent>
      </w:r>
      <w:r w:rsidRPr="00EC1AB2">
        <w:rPr>
          <w:rFonts w:ascii="Times New Roman" w:hAnsi="Times New Roman" w:cs="Times New Roman"/>
          <w:noProof/>
          <w:sz w:val="20"/>
          <w:szCs w:val="20"/>
          <w:lang w:eastAsia="lt-LT"/>
        </w:rPr>
        <mc:AlternateContent>
          <mc:Choice Requires="wps">
            <w:drawing>
              <wp:anchor distT="0" distB="0" distL="114300" distR="114300" simplePos="0" relativeHeight="251713536" behindDoc="0" locked="0" layoutInCell="1" allowOverlap="1" wp14:anchorId="24401600" wp14:editId="4998BBF7">
                <wp:simplePos x="0" y="0"/>
                <wp:positionH relativeFrom="column">
                  <wp:posOffset>272415</wp:posOffset>
                </wp:positionH>
                <wp:positionV relativeFrom="paragraph">
                  <wp:posOffset>2865120</wp:posOffset>
                </wp:positionV>
                <wp:extent cx="3286125" cy="495300"/>
                <wp:effectExtent l="0" t="0" r="0" b="0"/>
                <wp:wrapNone/>
                <wp:docPr id="50" name="TextBox 2"/>
                <wp:cNvGraphicFramePr/>
                <a:graphic xmlns:a="http://schemas.openxmlformats.org/drawingml/2006/main">
                  <a:graphicData uri="http://schemas.microsoft.com/office/word/2010/wordprocessingShape">
                    <wps:wsp>
                      <wps:cNvSpPr txBox="1"/>
                      <wps:spPr>
                        <a:xfrm>
                          <a:off x="0" y="0"/>
                          <a:ext cx="3286125" cy="495300"/>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rsidR="00EC1AB2" w:rsidRPr="00CB652D" w:rsidRDefault="00EC1AB2" w:rsidP="002424B6">
                            <w:pPr>
                              <w:pStyle w:val="NormalWeb"/>
                              <w:rPr>
                                <w:sz w:val="20"/>
                                <w:szCs w:val="20"/>
                              </w:rPr>
                            </w:pPr>
                            <w:r>
                              <w:rPr>
                                <w:rFonts w:asciiTheme="minorHAnsi" w:hAnsi="Calibri" w:cstheme="minorBidi"/>
                                <w:color w:val="000000" w:themeColor="dark1"/>
                                <w:sz w:val="22"/>
                                <w:szCs w:val="22"/>
                              </w:rPr>
                              <w:t xml:space="preserve">     </w:t>
                            </w:r>
                            <w:r w:rsidRPr="00CB652D">
                              <w:rPr>
                                <w:color w:val="000000" w:themeColor="dark1"/>
                                <w:sz w:val="20"/>
                                <w:szCs w:val="20"/>
                              </w:rPr>
                              <w:t>Nuosaikios inovatorės         Inovacijų šalininkės</w:t>
                            </w:r>
                          </w:p>
                          <w:p w:rsidR="00EC1AB2" w:rsidRPr="00CB652D" w:rsidRDefault="00EC1AB2" w:rsidP="002424B6">
                            <w:pPr>
                              <w:pStyle w:val="NormalWeb"/>
                              <w:rPr>
                                <w:sz w:val="20"/>
                                <w:szCs w:val="20"/>
                              </w:rPr>
                            </w:pPr>
                            <w:r w:rsidRPr="00CB652D">
                              <w:rPr>
                                <w:color w:val="000000" w:themeColor="dark1"/>
                                <w:sz w:val="20"/>
                                <w:szCs w:val="20"/>
                              </w:rPr>
                              <w:t xml:space="preserve">     Vidutinės inovatorės         </w:t>
                            </w:r>
                            <w:r>
                              <w:rPr>
                                <w:color w:val="000000" w:themeColor="dark1"/>
                                <w:sz w:val="20"/>
                                <w:szCs w:val="20"/>
                              </w:rPr>
                              <w:t xml:space="preserve">  </w:t>
                            </w:r>
                            <w:r w:rsidRPr="00CB652D">
                              <w:rPr>
                                <w:color w:val="000000" w:themeColor="dark1"/>
                                <w:sz w:val="20"/>
                                <w:szCs w:val="20"/>
                              </w:rPr>
                              <w:t xml:space="preserve"> Inovacijų lyderės</w:t>
                            </w:r>
                          </w:p>
                        </w:txbxContent>
                      </wps:txbx>
                      <wps:bodyPr vertOverflow="clip" horzOverflow="clip" wrap="square" rtlCol="0" anchor="t">
                        <a:noAutofit/>
                      </wps:bodyPr>
                    </wps:wsp>
                  </a:graphicData>
                </a:graphic>
                <wp14:sizeRelV relativeFrom="margin">
                  <wp14:pctHeight>0</wp14:pctHeight>
                </wp14:sizeRelV>
              </wp:anchor>
            </w:drawing>
          </mc:Choice>
          <mc:Fallback>
            <w:pict>
              <v:shape id="_x0000_s1072" type="#_x0000_t202" style="position:absolute;margin-left:21.45pt;margin-top:225.6pt;width:258.75pt;height:39pt;z-index:2517135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" filled="f" stroked="f">
                <v:textbox>
                  <w:txbxContent>
                    <w:p w:rsidR="00A03476" w:rsidRPr="00CB652D" w:rsidRDefault="00A03476" w:rsidP="002424B6">
                      <w:pPr>
                        <w:pStyle w:val="NormalWeb"/>
                        <w:rPr>
                          <w:sz w:val="20"/>
                          <w:szCs w:val="20"/>
                        </w:rPr>
                      </w:pPr>
                      <w:r>
                        <w:rPr>
                          <w:rFonts w:asciiTheme="minorHAnsi" w:hAnsi="Calibri" w:cstheme="minorBidi"/>
                          <w:color w:val="000000" w:themeColor="dark1"/>
                          <w:sz w:val="22"/>
                          <w:szCs w:val="22"/>
                        </w:rPr>
                        <w:t xml:space="preserve">     </w:t>
                      </w:r>
                      <w:r w:rsidRPr="00CB652D">
                        <w:rPr>
                          <w:color w:val="000000" w:themeColor="dark1"/>
                          <w:sz w:val="20"/>
                          <w:szCs w:val="20"/>
                        </w:rPr>
                        <w:t>Nuosaikios inovatorės         Inovacijų šalininkės</w:t>
                      </w:r>
                    </w:p>
                    <w:p w:rsidR="00A03476" w:rsidRPr="00CB652D" w:rsidRDefault="00A03476" w:rsidP="002424B6">
                      <w:pPr>
                        <w:pStyle w:val="NormalWeb"/>
                        <w:rPr>
                          <w:sz w:val="20"/>
                          <w:szCs w:val="20"/>
                        </w:rPr>
                      </w:pPr>
                      <w:r w:rsidRPr="00CB652D">
                        <w:rPr>
                          <w:color w:val="000000" w:themeColor="dark1"/>
                          <w:sz w:val="20"/>
                          <w:szCs w:val="20"/>
                        </w:rPr>
                        <w:t xml:space="preserve">     Vidutinės inovatorės         </w:t>
                      </w:r>
                      <w:r>
                        <w:rPr>
                          <w:color w:val="000000" w:themeColor="dark1"/>
                          <w:sz w:val="20"/>
                          <w:szCs w:val="20"/>
                        </w:rPr>
                        <w:t xml:space="preserve">  </w:t>
                      </w:r>
                      <w:r w:rsidRPr="00CB652D">
                        <w:rPr>
                          <w:color w:val="000000" w:themeColor="dark1"/>
                          <w:sz w:val="20"/>
                          <w:szCs w:val="20"/>
                        </w:rPr>
                        <w:t xml:space="preserve"> Inovacijų lyderės</w:t>
                      </w:r>
                    </w:p>
                  </w:txbxContent>
                </v:textbox>
              </v:shape>
            </w:pict>
          </mc:Fallback>
        </mc:AlternateContent>
      </w:r>
      <w:r w:rsidR="00C630AC" w:rsidRPr="00EC1AB2">
        <w:rPr>
          <w:rFonts w:ascii="Times New Roman" w:hAnsi="Times New Roman" w:cs="Times New Roman"/>
          <w:noProof/>
          <w:lang w:eastAsia="lt-LT"/>
        </w:rPr>
        <w:drawing>
          <wp:inline distT="0" distB="0" distL="0" distR="0" wp14:anchorId="036FD4E4" wp14:editId="7446E05A">
            <wp:extent cx="5867401" cy="3276600"/>
            <wp:effectExtent l="0" t="0" r="0" b="0"/>
            <wp:docPr id="62" name="Chart 62"/>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FB2C33" w:rsidRPr="00EC1AB2" w:rsidRDefault="00FB2C33" w:rsidP="007A02A8">
      <w:pPr>
        <w:tabs>
          <w:tab w:val="left" w:pos="8853"/>
        </w:tabs>
        <w:spacing w:after="0" w:line="360" w:lineRule="auto"/>
        <w:rPr>
          <w:rFonts w:ascii="Times New Roman" w:hAnsi="Times New Roman" w:cs="Times New Roman"/>
          <w:sz w:val="20"/>
          <w:szCs w:val="20"/>
        </w:rPr>
      </w:pPr>
    </w:p>
    <w:p w:rsidR="00FB2C33" w:rsidRPr="00EC1AB2" w:rsidRDefault="00FB2C33" w:rsidP="007A02A8">
      <w:pPr>
        <w:tabs>
          <w:tab w:val="left" w:pos="8853"/>
        </w:tabs>
        <w:spacing w:after="0" w:line="360" w:lineRule="auto"/>
        <w:rPr>
          <w:rFonts w:ascii="Times New Roman" w:hAnsi="Times New Roman" w:cs="Times New Roman"/>
          <w:sz w:val="20"/>
          <w:szCs w:val="20"/>
        </w:rPr>
      </w:pPr>
    </w:p>
    <w:p w:rsidR="005911F2" w:rsidRPr="00EC1AB2" w:rsidRDefault="005911F2" w:rsidP="007A02A8">
      <w:pPr>
        <w:autoSpaceDE w:val="0"/>
        <w:autoSpaceDN w:val="0"/>
        <w:adjustRightInd w:val="0"/>
        <w:spacing w:after="0" w:line="360" w:lineRule="auto"/>
        <w:ind w:firstLine="1296"/>
        <w:jc w:val="right"/>
        <w:rPr>
          <w:rFonts w:ascii="Times New Roman" w:hAnsi="Times New Roman" w:cs="Times New Roman"/>
          <w:sz w:val="24"/>
          <w:szCs w:val="24"/>
        </w:rPr>
      </w:pPr>
    </w:p>
    <w:p w:rsidR="00A86B78" w:rsidRPr="00EC1AB2" w:rsidRDefault="00FB2C33" w:rsidP="007A02A8">
      <w:pPr>
        <w:autoSpaceDE w:val="0"/>
        <w:autoSpaceDN w:val="0"/>
        <w:adjustRightInd w:val="0"/>
        <w:spacing w:after="0" w:line="360" w:lineRule="auto"/>
        <w:ind w:firstLine="1296"/>
        <w:jc w:val="right"/>
        <w:rPr>
          <w:rFonts w:ascii="Times New Roman" w:hAnsi="Times New Roman" w:cs="Times New Roman"/>
          <w:sz w:val="24"/>
          <w:szCs w:val="24"/>
        </w:rPr>
      </w:pPr>
      <w:r w:rsidRPr="00EC1AB2">
        <w:rPr>
          <w:rFonts w:ascii="Times New Roman" w:hAnsi="Times New Roman" w:cs="Times New Roman"/>
          <w:sz w:val="24"/>
          <w:szCs w:val="24"/>
        </w:rPr>
        <w:t>3 priedo tęsinys kitame puslapyje</w:t>
      </w:r>
      <w:r w:rsidR="00A86B78" w:rsidRPr="00EC1AB2">
        <w:rPr>
          <w:rFonts w:ascii="Times New Roman" w:hAnsi="Times New Roman" w:cs="Times New Roman"/>
          <w:sz w:val="24"/>
          <w:szCs w:val="24"/>
        </w:rPr>
        <w:br w:type="page"/>
      </w:r>
    </w:p>
    <w:p w:rsidR="00A86B78" w:rsidRPr="00EC1AB2" w:rsidRDefault="00A86B78" w:rsidP="00A86B78">
      <w:pPr>
        <w:autoSpaceDE w:val="0"/>
        <w:autoSpaceDN w:val="0"/>
        <w:adjustRightInd w:val="0"/>
        <w:spacing w:after="0" w:line="360" w:lineRule="auto"/>
        <w:rPr>
          <w:rFonts w:ascii="Times New Roman" w:hAnsi="Times New Roman" w:cs="Times New Roman"/>
          <w:sz w:val="24"/>
          <w:szCs w:val="24"/>
        </w:rPr>
      </w:pPr>
    </w:p>
    <w:p w:rsidR="00FB2C33" w:rsidRPr="00EC1AB2" w:rsidRDefault="00FB2C33" w:rsidP="007A02A8">
      <w:pPr>
        <w:autoSpaceDE w:val="0"/>
        <w:autoSpaceDN w:val="0"/>
        <w:adjustRightInd w:val="0"/>
        <w:spacing w:after="0" w:line="360" w:lineRule="auto"/>
        <w:ind w:firstLine="1296"/>
        <w:jc w:val="right"/>
        <w:rPr>
          <w:rFonts w:ascii="Times New Roman" w:hAnsi="Times New Roman" w:cs="Times New Roman"/>
          <w:sz w:val="24"/>
          <w:szCs w:val="24"/>
        </w:rPr>
      </w:pPr>
      <w:r w:rsidRPr="00EC1AB2">
        <w:rPr>
          <w:rFonts w:ascii="Times New Roman" w:hAnsi="Times New Roman" w:cs="Times New Roman"/>
          <w:sz w:val="24"/>
          <w:szCs w:val="24"/>
        </w:rPr>
        <w:t>3 priedo tęsinys</w:t>
      </w:r>
    </w:p>
    <w:p w:rsidR="00FB2C33" w:rsidRPr="00EC1AB2" w:rsidRDefault="00AA6329" w:rsidP="007A02A8">
      <w:pPr>
        <w:tabs>
          <w:tab w:val="left" w:pos="8853"/>
        </w:tabs>
        <w:spacing w:after="0" w:line="360" w:lineRule="auto"/>
        <w:rPr>
          <w:rFonts w:ascii="Times New Roman" w:hAnsi="Times New Roman" w:cs="Times New Roman"/>
          <w:sz w:val="20"/>
          <w:szCs w:val="20"/>
        </w:rPr>
      </w:pPr>
      <w:r w:rsidRPr="00EC1AB2">
        <w:rPr>
          <w:rFonts w:ascii="Times New Roman" w:hAnsi="Times New Roman" w:cs="Times New Roman"/>
          <w:noProof/>
          <w:lang w:eastAsia="lt-LT"/>
        </w:rPr>
        <w:drawing>
          <wp:inline distT="0" distB="0" distL="0" distR="0" wp14:anchorId="5E19DF5E" wp14:editId="219B10F6">
            <wp:extent cx="5867401" cy="3438525"/>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EE48BA" w:rsidRPr="00EC1AB2" w:rsidRDefault="0035368D" w:rsidP="007A02A8">
      <w:pPr>
        <w:tabs>
          <w:tab w:val="left" w:pos="8853"/>
        </w:tabs>
        <w:spacing w:after="0" w:line="360" w:lineRule="auto"/>
        <w:rPr>
          <w:rFonts w:ascii="Times New Roman" w:hAnsi="Times New Roman" w:cs="Times New Roman"/>
          <w:sz w:val="20"/>
          <w:szCs w:val="20"/>
        </w:rPr>
      </w:pPr>
      <w:r w:rsidRPr="00EC1AB2">
        <w:rPr>
          <w:rFonts w:ascii="Times New Roman" w:hAnsi="Times New Roman" w:cs="Times New Roman"/>
          <w:noProof/>
          <w:sz w:val="20"/>
          <w:szCs w:val="20"/>
          <w:lang w:eastAsia="lt-LT"/>
        </w:rPr>
        <mc:AlternateContent>
          <mc:Choice Requires="wps">
            <w:drawing>
              <wp:anchor distT="0" distB="0" distL="114300" distR="114300" simplePos="0" relativeHeight="251688960" behindDoc="0" locked="0" layoutInCell="1" allowOverlap="1" wp14:anchorId="54E671DA" wp14:editId="27AA92C9">
                <wp:simplePos x="0" y="0"/>
                <wp:positionH relativeFrom="column">
                  <wp:posOffset>272415</wp:posOffset>
                </wp:positionH>
                <wp:positionV relativeFrom="paragraph">
                  <wp:posOffset>2778760</wp:posOffset>
                </wp:positionV>
                <wp:extent cx="3286125" cy="495300"/>
                <wp:effectExtent l="0" t="0" r="0" b="0"/>
                <wp:wrapNone/>
                <wp:docPr id="42" name="TextBox 2"/>
                <wp:cNvGraphicFramePr/>
                <a:graphic xmlns:a="http://schemas.openxmlformats.org/drawingml/2006/main">
                  <a:graphicData uri="http://schemas.microsoft.com/office/word/2010/wordprocessingShape">
                    <wps:wsp>
                      <wps:cNvSpPr txBox="1"/>
                      <wps:spPr>
                        <a:xfrm>
                          <a:off x="0" y="0"/>
                          <a:ext cx="3286125" cy="495300"/>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rsidR="00EC1AB2" w:rsidRPr="00CB652D" w:rsidRDefault="00EC1AB2" w:rsidP="0035368D">
                            <w:pPr>
                              <w:pStyle w:val="NormalWeb"/>
                              <w:rPr>
                                <w:sz w:val="20"/>
                                <w:szCs w:val="20"/>
                              </w:rPr>
                            </w:pPr>
                            <w:r>
                              <w:rPr>
                                <w:rFonts w:asciiTheme="minorHAnsi" w:hAnsi="Calibri" w:cstheme="minorBidi"/>
                                <w:color w:val="000000" w:themeColor="dark1"/>
                                <w:sz w:val="22"/>
                                <w:szCs w:val="22"/>
                              </w:rPr>
                              <w:t xml:space="preserve">     </w:t>
                            </w:r>
                            <w:r w:rsidRPr="00CB652D">
                              <w:rPr>
                                <w:color w:val="000000" w:themeColor="dark1"/>
                                <w:sz w:val="20"/>
                                <w:szCs w:val="20"/>
                              </w:rPr>
                              <w:t>Nuosaikios inovatorės         Inovacijų šalininkės</w:t>
                            </w:r>
                          </w:p>
                          <w:p w:rsidR="00EC1AB2" w:rsidRPr="00CB652D" w:rsidRDefault="00EC1AB2" w:rsidP="0035368D">
                            <w:pPr>
                              <w:pStyle w:val="NormalWeb"/>
                              <w:rPr>
                                <w:sz w:val="20"/>
                                <w:szCs w:val="20"/>
                              </w:rPr>
                            </w:pPr>
                            <w:r w:rsidRPr="00CB652D">
                              <w:rPr>
                                <w:color w:val="000000" w:themeColor="dark1"/>
                                <w:sz w:val="20"/>
                                <w:szCs w:val="20"/>
                              </w:rPr>
                              <w:t xml:space="preserve">     Vidutinės inovatorės         </w:t>
                            </w:r>
                            <w:r>
                              <w:rPr>
                                <w:color w:val="000000" w:themeColor="dark1"/>
                                <w:sz w:val="20"/>
                                <w:szCs w:val="20"/>
                              </w:rPr>
                              <w:t xml:space="preserve">  </w:t>
                            </w:r>
                            <w:r w:rsidRPr="00CB652D">
                              <w:rPr>
                                <w:color w:val="000000" w:themeColor="dark1"/>
                                <w:sz w:val="20"/>
                                <w:szCs w:val="20"/>
                              </w:rPr>
                              <w:t xml:space="preserve"> Inovacijų lyderės</w:t>
                            </w:r>
                          </w:p>
                        </w:txbxContent>
                      </wps:txbx>
                      <wps:bodyPr vertOverflow="clip" horzOverflow="clip" wrap="square" rtlCol="0" anchor="t">
                        <a:noAutofit/>
                      </wps:bodyPr>
                    </wps:wsp>
                  </a:graphicData>
                </a:graphic>
                <wp14:sizeRelV relativeFrom="margin">
                  <wp14:pctHeight>0</wp14:pctHeight>
                </wp14:sizeRelV>
              </wp:anchor>
            </w:drawing>
          </mc:Choice>
          <mc:Fallback>
            <w:pict>
              <v:shape id="_x0000_s1073" type="#_x0000_t202" style="position:absolute;margin-left:21.45pt;margin-top:218.8pt;width:258.75pt;height:39pt;z-index:2516889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" filled="f" stroked="f">
                <v:textbox>
                  <w:txbxContent>
                    <w:p w:rsidR="00A03476" w:rsidRPr="00CB652D" w:rsidRDefault="00A03476" w:rsidP="0035368D">
                      <w:pPr>
                        <w:pStyle w:val="NormalWeb"/>
                        <w:rPr>
                          <w:sz w:val="20"/>
                          <w:szCs w:val="20"/>
                        </w:rPr>
                      </w:pPr>
                      <w:r>
                        <w:rPr>
                          <w:rFonts w:asciiTheme="minorHAnsi" w:hAnsi="Calibri" w:cstheme="minorBidi"/>
                          <w:color w:val="000000" w:themeColor="dark1"/>
                          <w:sz w:val="22"/>
                          <w:szCs w:val="22"/>
                        </w:rPr>
                        <w:t xml:space="preserve">     </w:t>
                      </w:r>
                      <w:r w:rsidRPr="00CB652D">
                        <w:rPr>
                          <w:color w:val="000000" w:themeColor="dark1"/>
                          <w:sz w:val="20"/>
                          <w:szCs w:val="20"/>
                        </w:rPr>
                        <w:t>Nuosaikios inovatorės         Inovacijų šalininkės</w:t>
                      </w:r>
                    </w:p>
                    <w:p w:rsidR="00A03476" w:rsidRPr="00CB652D" w:rsidRDefault="00A03476" w:rsidP="0035368D">
                      <w:pPr>
                        <w:pStyle w:val="NormalWeb"/>
                        <w:rPr>
                          <w:sz w:val="20"/>
                          <w:szCs w:val="20"/>
                        </w:rPr>
                      </w:pPr>
                      <w:r w:rsidRPr="00CB652D">
                        <w:rPr>
                          <w:color w:val="000000" w:themeColor="dark1"/>
                          <w:sz w:val="20"/>
                          <w:szCs w:val="20"/>
                        </w:rPr>
                        <w:t xml:space="preserve">     Vidutinės inovatorės         </w:t>
                      </w:r>
                      <w:r>
                        <w:rPr>
                          <w:color w:val="000000" w:themeColor="dark1"/>
                          <w:sz w:val="20"/>
                          <w:szCs w:val="20"/>
                        </w:rPr>
                        <w:t xml:space="preserve">  </w:t>
                      </w:r>
                      <w:r w:rsidRPr="00CB652D">
                        <w:rPr>
                          <w:color w:val="000000" w:themeColor="dark1"/>
                          <w:sz w:val="20"/>
                          <w:szCs w:val="20"/>
                        </w:rPr>
                        <w:t xml:space="preserve"> Inovacijų lyderės</w:t>
                      </w:r>
                    </w:p>
                  </w:txbxContent>
                </v:textbox>
              </v:shape>
            </w:pict>
          </mc:Fallback>
        </mc:AlternateContent>
      </w:r>
      <w:r w:rsidRPr="00EC1AB2">
        <w:rPr>
          <w:rFonts w:ascii="Times New Roman" w:hAnsi="Times New Roman" w:cs="Times New Roman"/>
          <w:noProof/>
          <w:sz w:val="20"/>
          <w:szCs w:val="20"/>
          <w:lang w:eastAsia="lt-LT"/>
        </w:rPr>
        <mc:AlternateContent>
          <mc:Choice Requires="wps">
            <w:drawing>
              <wp:anchor distT="0" distB="0" distL="114300" distR="114300" simplePos="0" relativeHeight="251689984" behindDoc="0" locked="0" layoutInCell="1" allowOverlap="1" wp14:anchorId="55CDF3A6" wp14:editId="5908FDD8">
                <wp:simplePos x="0" y="0"/>
                <wp:positionH relativeFrom="column">
                  <wp:posOffset>400050</wp:posOffset>
                </wp:positionH>
                <wp:positionV relativeFrom="paragraph">
                  <wp:posOffset>2804795</wp:posOffset>
                </wp:positionV>
                <wp:extent cx="95250" cy="104775"/>
                <wp:effectExtent l="0" t="0" r="0" b="9525"/>
                <wp:wrapNone/>
                <wp:docPr id="43" name="Rectangle 3"/>
                <wp:cNvGraphicFramePr/>
                <a:graphic xmlns:a="http://schemas.openxmlformats.org/drawingml/2006/main">
                  <a:graphicData uri="http://schemas.microsoft.com/office/word/2010/wordprocessingShape">
                    <wps:wsp>
                      <wps:cNvSpPr/>
                      <wps:spPr>
                        <a:xfrm>
                          <a:off x="0" y="0"/>
                          <a:ext cx="95250" cy="10477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rect id="Rectangle 3" o:spid="_x0000_s1026" style="position:absolute;margin-left:31.5pt;margin-top:220.85pt;width:7.5pt;height:8.25pt;z-index:251689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" fillcolor="#e36c0a [2409]" stroked="f" strokeweight="2pt"/>
            </w:pict>
          </mc:Fallback>
        </mc:AlternateContent>
      </w:r>
      <w:r w:rsidRPr="00EC1AB2">
        <w:rPr>
          <w:rFonts w:ascii="Times New Roman" w:hAnsi="Times New Roman" w:cs="Times New Roman"/>
          <w:noProof/>
          <w:sz w:val="20"/>
          <w:szCs w:val="20"/>
          <w:lang w:eastAsia="lt-LT"/>
        </w:rPr>
        <mc:AlternateContent>
          <mc:Choice Requires="wps">
            <w:drawing>
              <wp:anchor distT="0" distB="0" distL="114300" distR="114300" simplePos="0" relativeHeight="251691008" behindDoc="0" locked="0" layoutInCell="1" allowOverlap="1" wp14:anchorId="48FF3FCE" wp14:editId="033F90BD">
                <wp:simplePos x="0" y="0"/>
                <wp:positionH relativeFrom="column">
                  <wp:posOffset>1809750</wp:posOffset>
                </wp:positionH>
                <wp:positionV relativeFrom="paragraph">
                  <wp:posOffset>2804795</wp:posOffset>
                </wp:positionV>
                <wp:extent cx="95250" cy="104775"/>
                <wp:effectExtent l="0" t="0" r="0" b="9525"/>
                <wp:wrapNone/>
                <wp:docPr id="44" name="Rectangle 4"/>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C0E43C"/>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rect id="Rectangle 4" o:spid="_x0000_s1026" style="position:absolute;margin-left:142.5pt;margin-top:220.85pt;width:7.5pt;height:8.25pt;z-index:251691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" fillcolor="#c0e43c" stroked="f" strokeweight="2pt"/>
            </w:pict>
          </mc:Fallback>
        </mc:AlternateContent>
      </w:r>
      <w:r w:rsidRPr="00EC1AB2">
        <w:rPr>
          <w:rFonts w:ascii="Times New Roman" w:hAnsi="Times New Roman" w:cs="Times New Roman"/>
          <w:noProof/>
          <w:sz w:val="20"/>
          <w:szCs w:val="20"/>
          <w:lang w:eastAsia="lt-LT"/>
        </w:rPr>
        <mc:AlternateContent>
          <mc:Choice Requires="wps">
            <w:drawing>
              <wp:anchor distT="0" distB="0" distL="114300" distR="114300" simplePos="0" relativeHeight="251692032" behindDoc="0" locked="0" layoutInCell="1" allowOverlap="1" wp14:anchorId="38A06067" wp14:editId="7B9F1CAB">
                <wp:simplePos x="0" y="0"/>
                <wp:positionH relativeFrom="column">
                  <wp:posOffset>400050</wp:posOffset>
                </wp:positionH>
                <wp:positionV relativeFrom="paragraph">
                  <wp:posOffset>2985770</wp:posOffset>
                </wp:positionV>
                <wp:extent cx="95250" cy="104775"/>
                <wp:effectExtent l="0" t="0" r="0" b="9525"/>
                <wp:wrapNone/>
                <wp:docPr id="45" name="Rectangle 5"/>
                <wp:cNvGraphicFramePr/>
                <a:graphic xmlns:a="http://schemas.openxmlformats.org/drawingml/2006/main">
                  <a:graphicData uri="http://schemas.microsoft.com/office/word/2010/wordprocessingShape">
                    <wps:wsp>
                      <wps:cNvSpPr/>
                      <wps:spPr>
                        <a:xfrm>
                          <a:off x="0" y="0"/>
                          <a:ext cx="95250" cy="104775"/>
                        </a:xfrm>
                        <a:prstGeom prst="rect">
                          <a:avLst/>
                        </a:prstGeom>
                        <a:solidFill>
                          <a:srgbClr val="9BE5E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rect id="Rectangle 5" o:spid="_x0000_s1026" style="position:absolute;margin-left:31.5pt;margin-top:235.1pt;width:7.5pt;height:8.25pt;z-index:2516920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" fillcolor="#9be5ef" stroked="f" strokeweight="2pt"/>
            </w:pict>
          </mc:Fallback>
        </mc:AlternateContent>
      </w:r>
      <w:r w:rsidRPr="00EC1AB2">
        <w:rPr>
          <w:rFonts w:ascii="Times New Roman" w:hAnsi="Times New Roman" w:cs="Times New Roman"/>
          <w:noProof/>
          <w:sz w:val="20"/>
          <w:szCs w:val="20"/>
          <w:lang w:eastAsia="lt-LT"/>
        </w:rPr>
        <mc:AlternateContent>
          <mc:Choice Requires="wps">
            <w:drawing>
              <wp:anchor distT="0" distB="0" distL="114300" distR="114300" simplePos="0" relativeHeight="251693056" behindDoc="0" locked="0" layoutInCell="1" allowOverlap="1" wp14:anchorId="221BC761" wp14:editId="1EBCA670">
                <wp:simplePos x="0" y="0"/>
                <wp:positionH relativeFrom="column">
                  <wp:posOffset>1809750</wp:posOffset>
                </wp:positionH>
                <wp:positionV relativeFrom="paragraph">
                  <wp:posOffset>2985853</wp:posOffset>
                </wp:positionV>
                <wp:extent cx="95250" cy="104775"/>
                <wp:effectExtent l="0" t="0" r="0" b="9525"/>
                <wp:wrapNone/>
                <wp:docPr id="46" name="Rectangle 6"/>
                <wp:cNvGraphicFramePr/>
                <a:graphic xmlns:a="http://schemas.openxmlformats.org/drawingml/2006/main">
                  <a:graphicData uri="http://schemas.microsoft.com/office/word/2010/wordprocessingShape">
                    <wps:wsp>
                      <wps:cNvSpPr/>
                      <wps:spPr>
                        <a:xfrm>
                          <a:off x="0" y="0"/>
                          <a:ext cx="95250" cy="104775"/>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rect id="Rectangle 6" o:spid="_x0000_s1026" style="position:absolute;margin-left:142.5pt;margin-top:235.1pt;width:7.5pt;height:8.25pt;z-index:251693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" fillcolor="#243f60 [1604]" stroked="f" strokeweight="2pt"/>
            </w:pict>
          </mc:Fallback>
        </mc:AlternateContent>
      </w:r>
      <w:r w:rsidR="00EE48BA" w:rsidRPr="00EC1AB2">
        <w:rPr>
          <w:rFonts w:ascii="Times New Roman" w:hAnsi="Times New Roman" w:cs="Times New Roman"/>
          <w:noProof/>
          <w:lang w:eastAsia="lt-LT"/>
        </w:rPr>
        <w:drawing>
          <wp:inline distT="0" distB="0" distL="0" distR="0" wp14:anchorId="4649D421" wp14:editId="195BCDBB">
            <wp:extent cx="5867401" cy="3276600"/>
            <wp:effectExtent l="0" t="0" r="0" b="0"/>
            <wp:docPr id="36" name="Chart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35368D" w:rsidRPr="00EC1AB2" w:rsidRDefault="0035368D" w:rsidP="007A02A8">
      <w:pPr>
        <w:tabs>
          <w:tab w:val="left" w:pos="8853"/>
        </w:tabs>
        <w:spacing w:after="0" w:line="360" w:lineRule="auto"/>
        <w:rPr>
          <w:rFonts w:ascii="Times New Roman" w:hAnsi="Times New Roman" w:cs="Times New Roman"/>
          <w:sz w:val="20"/>
          <w:szCs w:val="20"/>
        </w:rPr>
      </w:pPr>
    </w:p>
    <w:p w:rsidR="00771642" w:rsidRPr="00EC1AB2" w:rsidRDefault="00771642" w:rsidP="007A02A8">
      <w:pPr>
        <w:tabs>
          <w:tab w:val="left" w:pos="8853"/>
        </w:tabs>
        <w:spacing w:after="0" w:line="360" w:lineRule="auto"/>
        <w:ind w:firstLine="567"/>
        <w:rPr>
          <w:rFonts w:ascii="Times New Roman" w:hAnsi="Times New Roman" w:cs="Times New Roman"/>
          <w:sz w:val="20"/>
          <w:szCs w:val="20"/>
        </w:rPr>
      </w:pPr>
      <w:r w:rsidRPr="00EC1AB2">
        <w:rPr>
          <w:rFonts w:ascii="Times New Roman" w:hAnsi="Times New Roman" w:cs="Times New Roman"/>
          <w:b/>
          <w:sz w:val="20"/>
          <w:szCs w:val="20"/>
        </w:rPr>
        <w:t>Šaltinis:</w:t>
      </w:r>
      <w:r w:rsidRPr="00EC1AB2">
        <w:rPr>
          <w:rFonts w:ascii="Times New Roman" w:hAnsi="Times New Roman" w:cs="Times New Roman"/>
          <w:sz w:val="20"/>
          <w:szCs w:val="20"/>
        </w:rPr>
        <w:t xml:space="preserve"> sudaryta pagal Innovation Union Scoreboard</w:t>
      </w:r>
    </w:p>
    <w:p w:rsidR="00771642" w:rsidRPr="00EC1AB2" w:rsidRDefault="00771642" w:rsidP="007A02A8">
      <w:pPr>
        <w:tabs>
          <w:tab w:val="left" w:pos="8853"/>
        </w:tabs>
        <w:spacing w:after="0" w:line="360" w:lineRule="auto"/>
        <w:jc w:val="center"/>
        <w:rPr>
          <w:rFonts w:ascii="Times New Roman" w:hAnsi="Times New Roman" w:cs="Times New Roman"/>
          <w:b/>
          <w:sz w:val="24"/>
          <w:szCs w:val="24"/>
        </w:rPr>
      </w:pPr>
      <w:r w:rsidRPr="00EC1AB2">
        <w:rPr>
          <w:rFonts w:ascii="Times New Roman" w:hAnsi="Times New Roman" w:cs="Times New Roman"/>
          <w:sz w:val="24"/>
          <w:szCs w:val="24"/>
        </w:rPr>
        <w:t xml:space="preserve">3 pav. </w:t>
      </w:r>
      <w:r w:rsidR="00C81169" w:rsidRPr="00EC1AB2">
        <w:rPr>
          <w:rFonts w:ascii="Times New Roman" w:hAnsi="Times New Roman" w:cs="Times New Roman"/>
          <w:b/>
          <w:sz w:val="24"/>
          <w:szCs w:val="24"/>
        </w:rPr>
        <w:t>Suminis inovatyvumo indeksas pagal rodiklių grupes</w:t>
      </w:r>
      <w:r w:rsidRPr="00EC1AB2">
        <w:rPr>
          <w:rFonts w:ascii="Times New Roman" w:hAnsi="Times New Roman" w:cs="Times New Roman"/>
          <w:b/>
          <w:sz w:val="24"/>
          <w:szCs w:val="24"/>
        </w:rPr>
        <w:t xml:space="preserve"> ES 2011 m.</w:t>
      </w:r>
    </w:p>
    <w:p w:rsidR="00FA2427" w:rsidRPr="00EC1AB2" w:rsidRDefault="00FA2427" w:rsidP="007A02A8">
      <w:pPr>
        <w:tabs>
          <w:tab w:val="left" w:pos="8853"/>
        </w:tabs>
        <w:spacing w:after="0" w:line="360" w:lineRule="auto"/>
        <w:jc w:val="center"/>
        <w:rPr>
          <w:rFonts w:ascii="Times New Roman" w:hAnsi="Times New Roman" w:cs="Times New Roman"/>
          <w:b/>
          <w:sz w:val="24"/>
          <w:szCs w:val="24"/>
        </w:rPr>
      </w:pPr>
      <w:r w:rsidRPr="00EC1AB2">
        <w:rPr>
          <w:rFonts w:ascii="Times New Roman" w:hAnsi="Times New Roman" w:cs="Times New Roman"/>
          <w:b/>
          <w:sz w:val="24"/>
          <w:szCs w:val="24"/>
        </w:rPr>
        <w:br w:type="page"/>
      </w:r>
    </w:p>
    <w:p w:rsidR="00E10377" w:rsidRPr="00EC1AB2" w:rsidRDefault="00E10377" w:rsidP="005911F2">
      <w:pPr>
        <w:tabs>
          <w:tab w:val="left" w:pos="8853"/>
        </w:tabs>
        <w:spacing w:after="0" w:line="360" w:lineRule="auto"/>
        <w:jc w:val="right"/>
        <w:rPr>
          <w:rFonts w:ascii="Times New Roman" w:hAnsi="Times New Roman" w:cs="Times New Roman"/>
          <w:b/>
          <w:sz w:val="24"/>
          <w:szCs w:val="24"/>
        </w:rPr>
      </w:pPr>
      <w:r w:rsidRPr="00EC1AB2">
        <w:rPr>
          <w:rFonts w:ascii="Times New Roman" w:hAnsi="Times New Roman" w:cs="Times New Roman"/>
          <w:b/>
          <w:sz w:val="24"/>
          <w:szCs w:val="24"/>
        </w:rPr>
        <w:lastRenderedPageBreak/>
        <w:t>4 PRIEDAS</w:t>
      </w:r>
    </w:p>
    <w:p w:rsidR="00833306" w:rsidRPr="00EC1AB2" w:rsidRDefault="00B87F87" w:rsidP="007A02A8">
      <w:pPr>
        <w:tabs>
          <w:tab w:val="left" w:pos="8853"/>
        </w:tabs>
        <w:spacing w:after="0" w:line="360" w:lineRule="auto"/>
        <w:jc w:val="center"/>
        <w:rPr>
          <w:rFonts w:ascii="Times New Roman" w:hAnsi="Times New Roman" w:cs="Times New Roman"/>
          <w:sz w:val="24"/>
          <w:szCs w:val="24"/>
        </w:rPr>
      </w:pPr>
      <w:r w:rsidRPr="00EC1AB2">
        <w:rPr>
          <w:rFonts w:ascii="Times New Roman" w:hAnsi="Times New Roman" w:cs="Times New Roman"/>
          <w:sz w:val="24"/>
          <w:szCs w:val="24"/>
        </w:rPr>
        <w:t>2011 M. PRAMONINĖS NUOSAVYBĖS TEISIŲ APSAUGOS PROJEKTAI</w:t>
      </w:r>
    </w:p>
    <w:p w:rsidR="00B87F87" w:rsidRPr="00EC1AB2" w:rsidRDefault="007255DC" w:rsidP="007A02A8">
      <w:pPr>
        <w:tabs>
          <w:tab w:val="left" w:pos="8853"/>
        </w:tabs>
        <w:spacing w:after="0" w:line="360" w:lineRule="auto"/>
        <w:jc w:val="center"/>
        <w:rPr>
          <w:rFonts w:ascii="Times New Roman" w:hAnsi="Times New Roman" w:cs="Times New Roman"/>
          <w:b/>
          <w:sz w:val="24"/>
          <w:szCs w:val="24"/>
        </w:rPr>
      </w:pPr>
      <w:r w:rsidRPr="00EC1AB2">
        <w:rPr>
          <w:rFonts w:ascii="Times New Roman" w:hAnsi="Times New Roman" w:cs="Times New Roman"/>
          <w:sz w:val="24"/>
          <w:szCs w:val="24"/>
        </w:rPr>
        <w:t xml:space="preserve">1 lentelė. </w:t>
      </w:r>
      <w:r w:rsidR="000262C7" w:rsidRPr="00EC1AB2">
        <w:rPr>
          <w:rFonts w:ascii="Times New Roman" w:hAnsi="Times New Roman" w:cs="Times New Roman"/>
          <w:b/>
          <w:sz w:val="24"/>
          <w:szCs w:val="24"/>
        </w:rPr>
        <w:t>2011 m. pramoninės nuosavybės teisių apsaugos projektai</w:t>
      </w:r>
    </w:p>
    <w:p w:rsidR="00201CA9" w:rsidRPr="00EC1AB2" w:rsidRDefault="00201CA9" w:rsidP="007A02A8">
      <w:pPr>
        <w:tabs>
          <w:tab w:val="left" w:pos="8853"/>
        </w:tabs>
        <w:spacing w:after="0" w:line="360" w:lineRule="auto"/>
        <w:jc w:val="center"/>
        <w:rPr>
          <w:rFonts w:ascii="Times New Roman" w:hAnsi="Times New Roman" w:cs="Times New Roman"/>
          <w:b/>
          <w:sz w:val="24"/>
          <w:szCs w:val="24"/>
        </w:rPr>
      </w:pPr>
    </w:p>
    <w:tbl>
      <w:tblPr>
        <w:tblStyle w:val="TableGrid"/>
        <w:tblW w:w="0" w:type="auto"/>
        <w:tblInd w:w="108" w:type="dxa"/>
        <w:tblLayout w:type="fixed"/>
        <w:tblLook w:val="04A0" w:firstRow="1" w:lastRow="0" w:firstColumn="1" w:lastColumn="0" w:noHBand="0" w:noVBand="1"/>
      </w:tblPr>
      <w:tblGrid>
        <w:gridCol w:w="567"/>
        <w:gridCol w:w="2127"/>
        <w:gridCol w:w="3685"/>
        <w:gridCol w:w="1559"/>
        <w:gridCol w:w="1418"/>
      </w:tblGrid>
      <w:tr w:rsidR="00F25E1F" w:rsidRPr="00EC1AB2" w:rsidTr="00E9448D">
        <w:tc>
          <w:tcPr>
            <w:tcW w:w="567" w:type="dxa"/>
            <w:vAlign w:val="center"/>
          </w:tcPr>
          <w:p w:rsidR="00833306" w:rsidRPr="00EC1AB2" w:rsidRDefault="00833306" w:rsidP="00E9448D">
            <w:pPr>
              <w:spacing w:line="276" w:lineRule="auto"/>
              <w:jc w:val="center"/>
              <w:rPr>
                <w:rFonts w:ascii="Times New Roman" w:hAnsi="Times New Roman" w:cs="Times New Roman"/>
                <w:b/>
                <w:bCs/>
                <w:sz w:val="20"/>
                <w:szCs w:val="20"/>
              </w:rPr>
            </w:pPr>
            <w:r w:rsidRPr="00EC1AB2">
              <w:rPr>
                <w:rFonts w:ascii="Times New Roman" w:hAnsi="Times New Roman" w:cs="Times New Roman"/>
                <w:b/>
                <w:bCs/>
                <w:sz w:val="20"/>
                <w:szCs w:val="20"/>
              </w:rPr>
              <w:t>Nr.</w:t>
            </w:r>
          </w:p>
        </w:tc>
        <w:tc>
          <w:tcPr>
            <w:tcW w:w="2127" w:type="dxa"/>
            <w:vAlign w:val="center"/>
          </w:tcPr>
          <w:p w:rsidR="00833306" w:rsidRPr="00EC1AB2" w:rsidRDefault="00833306" w:rsidP="00E9448D">
            <w:pPr>
              <w:spacing w:line="276" w:lineRule="auto"/>
              <w:jc w:val="center"/>
              <w:rPr>
                <w:rFonts w:ascii="Times New Roman" w:hAnsi="Times New Roman" w:cs="Times New Roman"/>
                <w:b/>
                <w:bCs/>
                <w:sz w:val="20"/>
                <w:szCs w:val="20"/>
              </w:rPr>
            </w:pPr>
            <w:r w:rsidRPr="00EC1AB2">
              <w:rPr>
                <w:rFonts w:ascii="Times New Roman" w:hAnsi="Times New Roman" w:cs="Times New Roman"/>
                <w:b/>
                <w:bCs/>
                <w:sz w:val="20"/>
                <w:szCs w:val="20"/>
              </w:rPr>
              <w:t>Lėšų gavėjas</w:t>
            </w:r>
          </w:p>
        </w:tc>
        <w:tc>
          <w:tcPr>
            <w:tcW w:w="3685" w:type="dxa"/>
            <w:vAlign w:val="center"/>
          </w:tcPr>
          <w:p w:rsidR="00833306" w:rsidRPr="00EC1AB2" w:rsidRDefault="00833306" w:rsidP="00E9448D">
            <w:pPr>
              <w:spacing w:line="276" w:lineRule="auto"/>
              <w:jc w:val="center"/>
              <w:rPr>
                <w:rFonts w:ascii="Times New Roman" w:hAnsi="Times New Roman" w:cs="Times New Roman"/>
                <w:b/>
                <w:bCs/>
                <w:sz w:val="20"/>
                <w:szCs w:val="20"/>
              </w:rPr>
            </w:pPr>
            <w:r w:rsidRPr="00EC1AB2">
              <w:rPr>
                <w:rFonts w:ascii="Times New Roman" w:hAnsi="Times New Roman" w:cs="Times New Roman"/>
                <w:b/>
                <w:bCs/>
                <w:sz w:val="20"/>
                <w:szCs w:val="20"/>
              </w:rPr>
              <w:t>Projekto pavadinimas</w:t>
            </w:r>
          </w:p>
        </w:tc>
        <w:tc>
          <w:tcPr>
            <w:tcW w:w="1559" w:type="dxa"/>
            <w:vAlign w:val="center"/>
          </w:tcPr>
          <w:p w:rsidR="00833306" w:rsidRPr="00EC1AB2" w:rsidRDefault="00833306" w:rsidP="00E9448D">
            <w:pPr>
              <w:spacing w:line="276" w:lineRule="auto"/>
              <w:jc w:val="center"/>
              <w:rPr>
                <w:rFonts w:ascii="Times New Roman" w:hAnsi="Times New Roman" w:cs="Times New Roman"/>
                <w:b/>
                <w:bCs/>
                <w:sz w:val="20"/>
                <w:szCs w:val="20"/>
              </w:rPr>
            </w:pPr>
            <w:r w:rsidRPr="00EC1AB2">
              <w:rPr>
                <w:rFonts w:ascii="Times New Roman" w:hAnsi="Times New Roman" w:cs="Times New Roman"/>
                <w:b/>
                <w:bCs/>
                <w:sz w:val="20"/>
                <w:szCs w:val="20"/>
              </w:rPr>
              <w:t>Bendra projekto vertė</w:t>
            </w:r>
          </w:p>
        </w:tc>
        <w:tc>
          <w:tcPr>
            <w:tcW w:w="1418" w:type="dxa"/>
            <w:vAlign w:val="center"/>
          </w:tcPr>
          <w:p w:rsidR="00833306" w:rsidRPr="00EC1AB2" w:rsidRDefault="00833306" w:rsidP="00E9448D">
            <w:pPr>
              <w:spacing w:line="276" w:lineRule="auto"/>
              <w:jc w:val="center"/>
              <w:rPr>
                <w:rFonts w:ascii="Times New Roman" w:hAnsi="Times New Roman" w:cs="Times New Roman"/>
                <w:b/>
                <w:bCs/>
                <w:sz w:val="20"/>
                <w:szCs w:val="20"/>
              </w:rPr>
            </w:pPr>
            <w:r w:rsidRPr="00EC1AB2">
              <w:rPr>
                <w:rFonts w:ascii="Times New Roman" w:hAnsi="Times New Roman" w:cs="Times New Roman"/>
                <w:b/>
                <w:bCs/>
                <w:sz w:val="20"/>
                <w:szCs w:val="20"/>
              </w:rPr>
              <w:t>Finansavimo intensyvumas</w:t>
            </w:r>
          </w:p>
        </w:tc>
      </w:tr>
      <w:tr w:rsidR="00F25E1F" w:rsidRPr="00EC1AB2" w:rsidTr="00E9448D">
        <w:tc>
          <w:tcPr>
            <w:tcW w:w="567"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1.</w:t>
            </w:r>
          </w:p>
        </w:tc>
        <w:tc>
          <w:tcPr>
            <w:tcW w:w="2127"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AB „Žemaitijos pienas“</w:t>
            </w:r>
          </w:p>
        </w:tc>
        <w:tc>
          <w:tcPr>
            <w:tcW w:w="3685"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Sūrio lazdelių Bendrijos dizaino registracija</w:t>
            </w:r>
          </w:p>
        </w:tc>
        <w:tc>
          <w:tcPr>
            <w:tcW w:w="1559"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2.969,41 Lt</w:t>
            </w:r>
          </w:p>
        </w:tc>
        <w:tc>
          <w:tcPr>
            <w:tcW w:w="1418"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50%</w:t>
            </w:r>
          </w:p>
        </w:tc>
      </w:tr>
      <w:tr w:rsidR="00F25E1F" w:rsidRPr="00EC1AB2" w:rsidTr="00E9448D">
        <w:tc>
          <w:tcPr>
            <w:tcW w:w="567"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2.</w:t>
            </w:r>
          </w:p>
        </w:tc>
        <w:tc>
          <w:tcPr>
            <w:tcW w:w="2127"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UAB „BaltLED“</w:t>
            </w:r>
          </w:p>
        </w:tc>
        <w:tc>
          <w:tcPr>
            <w:tcW w:w="3685"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Šviesos diodų lempučių Bendrijos dizaino registravimas</w:t>
            </w:r>
          </w:p>
        </w:tc>
        <w:tc>
          <w:tcPr>
            <w:tcW w:w="1559"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6.492,40 Lt</w:t>
            </w:r>
          </w:p>
        </w:tc>
        <w:tc>
          <w:tcPr>
            <w:tcW w:w="1418"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50%</w:t>
            </w:r>
          </w:p>
        </w:tc>
      </w:tr>
      <w:tr w:rsidR="00F25E1F" w:rsidRPr="00EC1AB2" w:rsidTr="00E9448D">
        <w:tc>
          <w:tcPr>
            <w:tcW w:w="567"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3.</w:t>
            </w:r>
          </w:p>
        </w:tc>
        <w:tc>
          <w:tcPr>
            <w:tcW w:w="2127"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UAB „Cautus“</w:t>
            </w:r>
          </w:p>
        </w:tc>
        <w:tc>
          <w:tcPr>
            <w:tcW w:w="3685"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Paviršiaus rašto Bendrijos dizaino registravimas</w:t>
            </w:r>
          </w:p>
        </w:tc>
        <w:tc>
          <w:tcPr>
            <w:tcW w:w="1559"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1.692,48 Lt</w:t>
            </w:r>
          </w:p>
        </w:tc>
        <w:tc>
          <w:tcPr>
            <w:tcW w:w="1418"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50%</w:t>
            </w:r>
          </w:p>
        </w:tc>
      </w:tr>
      <w:tr w:rsidR="00F25E1F" w:rsidRPr="00EC1AB2" w:rsidTr="00E9448D">
        <w:tc>
          <w:tcPr>
            <w:tcW w:w="567"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4.</w:t>
            </w:r>
          </w:p>
        </w:tc>
        <w:tc>
          <w:tcPr>
            <w:tcW w:w="2127"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UAB „Kalnapilio-Tauro grupė“</w:t>
            </w:r>
          </w:p>
        </w:tc>
        <w:tc>
          <w:tcPr>
            <w:tcW w:w="3685"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Alaus butelio Bendrijos dizaino registracija</w:t>
            </w:r>
          </w:p>
        </w:tc>
        <w:tc>
          <w:tcPr>
            <w:tcW w:w="1559"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2.140,74 Lt</w:t>
            </w:r>
          </w:p>
        </w:tc>
        <w:tc>
          <w:tcPr>
            <w:tcW w:w="1418"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50%</w:t>
            </w:r>
          </w:p>
        </w:tc>
      </w:tr>
      <w:tr w:rsidR="00F25E1F" w:rsidRPr="00EC1AB2" w:rsidTr="00E9448D">
        <w:tc>
          <w:tcPr>
            <w:tcW w:w="567"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5.</w:t>
            </w:r>
          </w:p>
        </w:tc>
        <w:tc>
          <w:tcPr>
            <w:tcW w:w="2127"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UAB „Kalnapilio-Tauro grupė“</w:t>
            </w:r>
          </w:p>
        </w:tc>
        <w:tc>
          <w:tcPr>
            <w:tcW w:w="3685"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Gėrimų skardinės Bendrijos dizaino registracija</w:t>
            </w:r>
          </w:p>
        </w:tc>
        <w:tc>
          <w:tcPr>
            <w:tcW w:w="1559"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1.608,48 Lt</w:t>
            </w:r>
          </w:p>
        </w:tc>
        <w:tc>
          <w:tcPr>
            <w:tcW w:w="1418"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50%</w:t>
            </w:r>
          </w:p>
        </w:tc>
      </w:tr>
      <w:tr w:rsidR="00F25E1F" w:rsidRPr="00EC1AB2" w:rsidTr="00E9448D">
        <w:tc>
          <w:tcPr>
            <w:tcW w:w="567"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6.</w:t>
            </w:r>
          </w:p>
        </w:tc>
        <w:tc>
          <w:tcPr>
            <w:tcW w:w="2127"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UAB „Antrocelas LT“</w:t>
            </w:r>
          </w:p>
        </w:tc>
        <w:tc>
          <w:tcPr>
            <w:tcW w:w="3685"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Išradimo „Sukibimo (adhezijos) komponentas asfalto mišiniams“ patentavimas</w:t>
            </w:r>
          </w:p>
        </w:tc>
        <w:tc>
          <w:tcPr>
            <w:tcW w:w="1559"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18.685,69 Lt</w:t>
            </w:r>
          </w:p>
        </w:tc>
        <w:tc>
          <w:tcPr>
            <w:tcW w:w="1418"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50%</w:t>
            </w:r>
          </w:p>
        </w:tc>
      </w:tr>
      <w:tr w:rsidR="00F25E1F" w:rsidRPr="00EC1AB2" w:rsidTr="00E9448D">
        <w:tc>
          <w:tcPr>
            <w:tcW w:w="567"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7.</w:t>
            </w:r>
          </w:p>
        </w:tc>
        <w:tc>
          <w:tcPr>
            <w:tcW w:w="2127"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UAB „BMG Consulting“</w:t>
            </w:r>
          </w:p>
        </w:tc>
        <w:tc>
          <w:tcPr>
            <w:tcW w:w="3685"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Išradimo „Daugiafunkcinių elektroninių paslaugų apskaitos ir valdymo sistema“ patentavimas</w:t>
            </w:r>
          </w:p>
        </w:tc>
        <w:tc>
          <w:tcPr>
            <w:tcW w:w="1559"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31.789,92 Lt</w:t>
            </w:r>
          </w:p>
        </w:tc>
        <w:tc>
          <w:tcPr>
            <w:tcW w:w="1418"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95%</w:t>
            </w:r>
          </w:p>
        </w:tc>
      </w:tr>
      <w:tr w:rsidR="00F25E1F" w:rsidRPr="00EC1AB2" w:rsidTr="00E9448D">
        <w:tc>
          <w:tcPr>
            <w:tcW w:w="567"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8.</w:t>
            </w:r>
          </w:p>
        </w:tc>
        <w:tc>
          <w:tcPr>
            <w:tcW w:w="2127"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UAB „Fermentas“</w:t>
            </w:r>
          </w:p>
        </w:tc>
        <w:tc>
          <w:tcPr>
            <w:tcW w:w="3685"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Išradimo „Nukleorūgščių produkcija“ patentavimas</w:t>
            </w:r>
          </w:p>
        </w:tc>
        <w:tc>
          <w:tcPr>
            <w:tcW w:w="1559"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151.985,95 Lt</w:t>
            </w:r>
          </w:p>
        </w:tc>
        <w:tc>
          <w:tcPr>
            <w:tcW w:w="1418"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50%</w:t>
            </w:r>
          </w:p>
        </w:tc>
      </w:tr>
      <w:tr w:rsidR="00F25E1F" w:rsidRPr="00EC1AB2" w:rsidTr="00E9448D">
        <w:tc>
          <w:tcPr>
            <w:tcW w:w="567"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9.</w:t>
            </w:r>
          </w:p>
        </w:tc>
        <w:tc>
          <w:tcPr>
            <w:tcW w:w="2127"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Vilniaus Gedimino technikos universitetas</w:t>
            </w:r>
          </w:p>
        </w:tc>
        <w:tc>
          <w:tcPr>
            <w:tcW w:w="3685"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Išradimo „Plieninio lyno kokybės diagnostikos būdas ir įranga“ patentavimas pagal PKS procedūrą</w:t>
            </w:r>
          </w:p>
        </w:tc>
        <w:tc>
          <w:tcPr>
            <w:tcW w:w="1559"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22.521,06 Lt</w:t>
            </w:r>
          </w:p>
        </w:tc>
        <w:tc>
          <w:tcPr>
            <w:tcW w:w="1418"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95%</w:t>
            </w:r>
          </w:p>
        </w:tc>
      </w:tr>
      <w:tr w:rsidR="00F25E1F" w:rsidRPr="00EC1AB2" w:rsidTr="00E9448D">
        <w:tc>
          <w:tcPr>
            <w:tcW w:w="567"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10.</w:t>
            </w:r>
          </w:p>
        </w:tc>
        <w:tc>
          <w:tcPr>
            <w:tcW w:w="2127"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Vilniaus universitetas</w:t>
            </w:r>
          </w:p>
        </w:tc>
        <w:tc>
          <w:tcPr>
            <w:tcW w:w="3685"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Išradimo „Monokloninių antikūnų gavimo būdas“ patentavimas</w:t>
            </w:r>
          </w:p>
        </w:tc>
        <w:tc>
          <w:tcPr>
            <w:tcW w:w="1559"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48.147,19 Lt</w:t>
            </w:r>
          </w:p>
        </w:tc>
        <w:tc>
          <w:tcPr>
            <w:tcW w:w="1418"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95%</w:t>
            </w:r>
          </w:p>
        </w:tc>
      </w:tr>
      <w:tr w:rsidR="00F25E1F" w:rsidRPr="00EC1AB2" w:rsidTr="00E9448D">
        <w:tc>
          <w:tcPr>
            <w:tcW w:w="567"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11.</w:t>
            </w:r>
          </w:p>
        </w:tc>
        <w:tc>
          <w:tcPr>
            <w:tcW w:w="2127"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Vilniaus universitetas</w:t>
            </w:r>
          </w:p>
        </w:tc>
        <w:tc>
          <w:tcPr>
            <w:tcW w:w="3685"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Išradimo „Tiadiazolai kaip šaperono Hsp90 slopikliai“ patentavimas</w:t>
            </w:r>
          </w:p>
        </w:tc>
        <w:tc>
          <w:tcPr>
            <w:tcW w:w="1559"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3.617,84 Lt</w:t>
            </w:r>
          </w:p>
        </w:tc>
        <w:tc>
          <w:tcPr>
            <w:tcW w:w="1418"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95%</w:t>
            </w:r>
          </w:p>
        </w:tc>
      </w:tr>
      <w:tr w:rsidR="00F25E1F" w:rsidRPr="00EC1AB2" w:rsidTr="00E9448D">
        <w:tc>
          <w:tcPr>
            <w:tcW w:w="567"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12.</w:t>
            </w:r>
          </w:p>
        </w:tc>
        <w:tc>
          <w:tcPr>
            <w:tcW w:w="2127"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Vilniaus universitetas</w:t>
            </w:r>
          </w:p>
        </w:tc>
        <w:tc>
          <w:tcPr>
            <w:tcW w:w="3685"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Išradimo „Daugiaspalviai kietakūniai šviesos šaltiniai, skirti apšviečiamų paviršių spalvų sodrio valdymui“ patentavimas pagal PKS procedūrą</w:t>
            </w:r>
          </w:p>
        </w:tc>
        <w:tc>
          <w:tcPr>
            <w:tcW w:w="1559"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13.035,77 Lt</w:t>
            </w:r>
          </w:p>
        </w:tc>
        <w:tc>
          <w:tcPr>
            <w:tcW w:w="1418"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95%</w:t>
            </w:r>
          </w:p>
        </w:tc>
      </w:tr>
      <w:tr w:rsidR="00F25E1F" w:rsidRPr="00EC1AB2" w:rsidTr="00E9448D">
        <w:tc>
          <w:tcPr>
            <w:tcW w:w="567"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13.</w:t>
            </w:r>
          </w:p>
        </w:tc>
        <w:tc>
          <w:tcPr>
            <w:tcW w:w="2127"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Vilniaus universitetas</w:t>
            </w:r>
          </w:p>
        </w:tc>
        <w:tc>
          <w:tcPr>
            <w:tcW w:w="3685"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Išradimo „Biomolekulių derivatizacija nekofaktoriniais junginiais esant metiltransferazėms“ patentavimas</w:t>
            </w:r>
          </w:p>
        </w:tc>
        <w:tc>
          <w:tcPr>
            <w:tcW w:w="1559"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27.004,76 Lt</w:t>
            </w:r>
          </w:p>
        </w:tc>
        <w:tc>
          <w:tcPr>
            <w:tcW w:w="1418" w:type="dxa"/>
            <w:vAlign w:val="center"/>
          </w:tcPr>
          <w:p w:rsidR="00833306" w:rsidRPr="00EC1AB2" w:rsidRDefault="00833306"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95%</w:t>
            </w:r>
          </w:p>
        </w:tc>
      </w:tr>
      <w:tr w:rsidR="000262C7" w:rsidRPr="00EC1AB2" w:rsidTr="005911F2">
        <w:trPr>
          <w:trHeight w:val="504"/>
        </w:trPr>
        <w:tc>
          <w:tcPr>
            <w:tcW w:w="6379" w:type="dxa"/>
            <w:gridSpan w:val="3"/>
            <w:vAlign w:val="center"/>
          </w:tcPr>
          <w:p w:rsidR="000262C7" w:rsidRPr="00EC1AB2" w:rsidRDefault="000262C7"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Iš viso</w:t>
            </w:r>
            <w:r w:rsidR="005911F2" w:rsidRPr="00EC1AB2">
              <w:rPr>
                <w:rFonts w:ascii="Times New Roman" w:hAnsi="Times New Roman" w:cs="Times New Roman"/>
                <w:sz w:val="20"/>
                <w:szCs w:val="20"/>
              </w:rPr>
              <w:t>:</w:t>
            </w:r>
          </w:p>
        </w:tc>
        <w:tc>
          <w:tcPr>
            <w:tcW w:w="1559" w:type="dxa"/>
            <w:vAlign w:val="center"/>
          </w:tcPr>
          <w:p w:rsidR="000262C7" w:rsidRPr="00EC1AB2" w:rsidRDefault="000262C7" w:rsidP="00E9448D">
            <w:pPr>
              <w:spacing w:line="276" w:lineRule="auto"/>
              <w:jc w:val="center"/>
              <w:rPr>
                <w:rFonts w:ascii="Times New Roman" w:hAnsi="Times New Roman" w:cs="Times New Roman"/>
                <w:sz w:val="20"/>
                <w:szCs w:val="20"/>
              </w:rPr>
            </w:pPr>
            <w:r w:rsidRPr="00EC1AB2">
              <w:rPr>
                <w:rFonts w:ascii="Times New Roman" w:hAnsi="Times New Roman" w:cs="Times New Roman"/>
                <w:sz w:val="20"/>
                <w:szCs w:val="20"/>
              </w:rPr>
              <w:t>358.946,13 Lt</w:t>
            </w:r>
          </w:p>
          <w:p w:rsidR="000262C7" w:rsidRPr="00EC1AB2" w:rsidRDefault="000262C7" w:rsidP="00E9448D">
            <w:pPr>
              <w:spacing w:line="276" w:lineRule="auto"/>
              <w:rPr>
                <w:rFonts w:ascii="Times New Roman" w:hAnsi="Times New Roman" w:cs="Times New Roman"/>
                <w:sz w:val="20"/>
                <w:szCs w:val="20"/>
              </w:rPr>
            </w:pPr>
          </w:p>
        </w:tc>
        <w:tc>
          <w:tcPr>
            <w:tcW w:w="1418" w:type="dxa"/>
            <w:vAlign w:val="center"/>
          </w:tcPr>
          <w:p w:rsidR="000262C7" w:rsidRPr="00EC1AB2" w:rsidRDefault="000262C7" w:rsidP="00E9448D">
            <w:pPr>
              <w:spacing w:line="276" w:lineRule="auto"/>
              <w:jc w:val="center"/>
              <w:rPr>
                <w:rFonts w:ascii="Times New Roman" w:hAnsi="Times New Roman" w:cs="Times New Roman"/>
                <w:sz w:val="20"/>
                <w:szCs w:val="20"/>
              </w:rPr>
            </w:pPr>
          </w:p>
        </w:tc>
      </w:tr>
    </w:tbl>
    <w:p w:rsidR="00E9448D" w:rsidRPr="00EC1AB2" w:rsidRDefault="00E9448D" w:rsidP="005911F2">
      <w:pPr>
        <w:tabs>
          <w:tab w:val="left" w:pos="8853"/>
        </w:tabs>
        <w:spacing w:after="0" w:line="360" w:lineRule="auto"/>
        <w:rPr>
          <w:rFonts w:ascii="Times New Roman" w:hAnsi="Times New Roman" w:cs="Times New Roman"/>
          <w:b/>
          <w:sz w:val="20"/>
          <w:szCs w:val="20"/>
        </w:rPr>
      </w:pPr>
    </w:p>
    <w:p w:rsidR="00E9448D" w:rsidRPr="00EC1AB2" w:rsidRDefault="00AE514D" w:rsidP="005911F2">
      <w:pPr>
        <w:tabs>
          <w:tab w:val="left" w:pos="8853"/>
        </w:tabs>
        <w:spacing w:after="0" w:line="360" w:lineRule="auto"/>
        <w:rPr>
          <w:rFonts w:ascii="Times New Roman" w:hAnsi="Times New Roman" w:cs="Times New Roman"/>
          <w:sz w:val="20"/>
          <w:szCs w:val="20"/>
        </w:rPr>
      </w:pPr>
      <w:r w:rsidRPr="00EC1AB2">
        <w:rPr>
          <w:rFonts w:ascii="Times New Roman" w:hAnsi="Times New Roman" w:cs="Times New Roman"/>
          <w:b/>
          <w:sz w:val="20"/>
          <w:szCs w:val="20"/>
        </w:rPr>
        <w:t>Šaltinis:</w:t>
      </w:r>
      <w:r w:rsidR="00AC28CE" w:rsidRPr="00EC1AB2">
        <w:rPr>
          <w:rFonts w:ascii="Times New Roman" w:hAnsi="Times New Roman" w:cs="Times New Roman"/>
          <w:b/>
          <w:sz w:val="20"/>
          <w:szCs w:val="20"/>
        </w:rPr>
        <w:t xml:space="preserve"> </w:t>
      </w:r>
      <w:r w:rsidR="000244B5" w:rsidRPr="00EC1AB2">
        <w:rPr>
          <w:rFonts w:ascii="Times New Roman" w:hAnsi="Times New Roman" w:cs="Times New Roman"/>
          <w:sz w:val="20"/>
          <w:szCs w:val="20"/>
        </w:rPr>
        <w:t>Mokslo, inovacijų ir technologijų agentūra</w:t>
      </w:r>
      <w:r w:rsidR="00D12AB2" w:rsidRPr="00EC1AB2">
        <w:rPr>
          <w:rFonts w:ascii="Times New Roman" w:hAnsi="Times New Roman" w:cs="Times New Roman"/>
          <w:sz w:val="20"/>
          <w:szCs w:val="20"/>
        </w:rPr>
        <w:t>, 2011</w:t>
      </w:r>
      <w:r w:rsidR="00E9448D" w:rsidRPr="00EC1AB2">
        <w:rPr>
          <w:rFonts w:ascii="Times New Roman" w:hAnsi="Times New Roman" w:cs="Times New Roman"/>
          <w:sz w:val="20"/>
          <w:szCs w:val="20"/>
        </w:rPr>
        <w:br w:type="page"/>
      </w:r>
    </w:p>
    <w:p w:rsidR="00D12AB2" w:rsidRPr="00EC1AB2" w:rsidRDefault="009B5C01" w:rsidP="009B5C01">
      <w:pPr>
        <w:tabs>
          <w:tab w:val="left" w:pos="8853"/>
        </w:tabs>
        <w:spacing w:after="0" w:line="360" w:lineRule="auto"/>
        <w:jc w:val="right"/>
        <w:rPr>
          <w:rFonts w:ascii="Times New Roman" w:hAnsi="Times New Roman" w:cs="Times New Roman"/>
          <w:sz w:val="24"/>
          <w:szCs w:val="24"/>
        </w:rPr>
      </w:pPr>
      <w:r w:rsidRPr="00EC1AB2">
        <w:rPr>
          <w:rFonts w:ascii="Times New Roman" w:hAnsi="Times New Roman" w:cs="Times New Roman"/>
          <w:sz w:val="24"/>
          <w:szCs w:val="24"/>
        </w:rPr>
        <w:lastRenderedPageBreak/>
        <w:t>5 PRIEDAS</w:t>
      </w:r>
    </w:p>
    <w:p w:rsidR="00D12AB2" w:rsidRPr="00EC1AB2" w:rsidRDefault="00395AAB" w:rsidP="007A02A8">
      <w:pPr>
        <w:tabs>
          <w:tab w:val="left" w:pos="8853"/>
        </w:tabs>
        <w:spacing w:after="0" w:line="360" w:lineRule="auto"/>
        <w:jc w:val="right"/>
        <w:rPr>
          <w:rFonts w:ascii="Times New Roman" w:hAnsi="Times New Roman" w:cs="Times New Roman"/>
          <w:b/>
          <w:sz w:val="24"/>
          <w:szCs w:val="24"/>
        </w:rPr>
      </w:pPr>
      <w:bookmarkStart w:id="239" w:name="_GoBack"/>
      <w:bookmarkEnd w:id="239"/>
      <w:r w:rsidRPr="00EC1AB2">
        <w:rPr>
          <w:rFonts w:ascii="Times New Roman" w:hAnsi="Times New Roman" w:cs="Times New Roman"/>
          <w:noProof/>
          <w:lang w:eastAsia="lt-LT"/>
        </w:rPr>
        <mc:AlternateContent>
          <mc:Choice Requires="wpg">
            <w:drawing>
              <wp:anchor distT="0" distB="0" distL="114300" distR="114300" simplePos="0" relativeHeight="251958272" behindDoc="0" locked="0" layoutInCell="1" allowOverlap="1" wp14:anchorId="71F04D4E" wp14:editId="2AD2A964">
                <wp:simplePos x="0" y="0"/>
                <wp:positionH relativeFrom="column">
                  <wp:posOffset>-1718222</wp:posOffset>
                </wp:positionH>
                <wp:positionV relativeFrom="paragraph">
                  <wp:posOffset>1622752</wp:posOffset>
                </wp:positionV>
                <wp:extent cx="9424036" cy="6205955"/>
                <wp:effectExtent l="8890" t="0" r="14605" b="33655"/>
                <wp:wrapNone/>
                <wp:docPr id="244" name="Group 244"/>
                <wp:cNvGraphicFramePr/>
                <a:graphic xmlns:a="http://schemas.openxmlformats.org/drawingml/2006/main">
                  <a:graphicData uri="http://schemas.microsoft.com/office/word/2010/wordprocessingGroup">
                    <wpg:wgp>
                      <wpg:cNvGrpSpPr/>
                      <wpg:grpSpPr>
                        <a:xfrm rot="16200000">
                          <a:off x="0" y="0"/>
                          <a:ext cx="9424038" cy="6205953"/>
                          <a:chOff x="-2" y="1"/>
                          <a:chExt cx="9748173" cy="6409424"/>
                        </a:xfrm>
                      </wpg:grpSpPr>
                      <wps:wsp>
                        <wps:cNvPr id="245" name="Text Box 245"/>
                        <wps:cNvSpPr txBox="1"/>
                        <wps:spPr>
                          <a:xfrm>
                            <a:off x="2743198" y="1"/>
                            <a:ext cx="4002333" cy="465826"/>
                          </a:xfrm>
                          <a:prstGeom prst="rect">
                            <a:avLst/>
                          </a:prstGeom>
                          <a:solidFill>
                            <a:schemeClr val="lt1"/>
                          </a:solidFill>
                          <a:ln w="190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C1AB2" w:rsidRPr="00F20288" w:rsidRDefault="00EC1AB2" w:rsidP="00395AAB">
                              <w:pPr>
                                <w:jc w:val="center"/>
                                <w:rPr>
                                  <w:rFonts w:ascii="Times New Roman" w:hAnsi="Times New Roman" w:cs="Times New Roman"/>
                                  <w:b/>
                                  <w:sz w:val="24"/>
                                  <w:szCs w:val="24"/>
                                </w:rPr>
                              </w:pPr>
                              <w:r w:rsidRPr="00F20288">
                                <w:rPr>
                                  <w:rFonts w:ascii="Times New Roman" w:hAnsi="Times New Roman" w:cs="Times New Roman"/>
                                  <w:b/>
                                  <w:sz w:val="24"/>
                                  <w:szCs w:val="24"/>
                                </w:rPr>
                                <w:t>RIZIKOS KAPITALO SEKTORIAUS PLĖTROS VEIKNSIAI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6" name="Text Box 246"/>
                        <wps:cNvSpPr txBox="1"/>
                        <wps:spPr>
                          <a:xfrm>
                            <a:off x="560713" y="517585"/>
                            <a:ext cx="3424555" cy="249555"/>
                          </a:xfrm>
                          <a:prstGeom prst="rect">
                            <a:avLst/>
                          </a:prstGeom>
                          <a:noFill/>
                          <a:ln w="19050">
                            <a:solidFill>
                              <a:prstClr val="black"/>
                            </a:solidFill>
                          </a:ln>
                          <a:effectLst/>
                        </wps:spPr>
                        <wps:txbx>
                          <w:txbxContent>
                            <w:p w:rsidR="00EC1AB2" w:rsidRPr="00F20288" w:rsidRDefault="00EC1AB2" w:rsidP="00395AAB">
                              <w:pPr>
                                <w:jc w:val="center"/>
                                <w:rPr>
                                  <w:rFonts w:ascii="Times New Roman" w:eastAsia="Batang" w:hAnsi="Times New Roman" w:cs="Times New Roman"/>
                                  <w:b/>
                                  <w:color w:val="000000" w:themeColor="text1"/>
                                  <w:sz w:val="20"/>
                                  <w:szCs w:val="20"/>
                                </w:rPr>
                              </w:pPr>
                              <w:r w:rsidRPr="00F20288">
                                <w:rPr>
                                  <w:rFonts w:ascii="Times New Roman" w:eastAsia="Batang" w:hAnsi="Times New Roman" w:cs="Times New Roman"/>
                                  <w:b/>
                                  <w:color w:val="000000" w:themeColor="text1"/>
                                  <w:sz w:val="20"/>
                                  <w:szCs w:val="20"/>
                                </w:rPr>
                                <w:t>PASIŪLOS VEIKSNIAI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7" name="Text Box 247"/>
                        <wps:cNvSpPr txBox="1"/>
                        <wps:spPr>
                          <a:xfrm>
                            <a:off x="5598541" y="517585"/>
                            <a:ext cx="3536315" cy="223520"/>
                          </a:xfrm>
                          <a:prstGeom prst="rect">
                            <a:avLst/>
                          </a:prstGeom>
                          <a:noFill/>
                          <a:ln w="19050">
                            <a:solidFill>
                              <a:prstClr val="black"/>
                            </a:solidFill>
                          </a:ln>
                          <a:effectLst/>
                        </wps:spPr>
                        <wps:txbx>
                          <w:txbxContent>
                            <w:p w:rsidR="00EC1AB2" w:rsidRPr="00F20288" w:rsidRDefault="00EC1AB2" w:rsidP="00395AAB">
                              <w:pPr>
                                <w:jc w:val="center"/>
                                <w:rPr>
                                  <w:rFonts w:ascii="Times New Roman" w:eastAsia="Batang" w:hAnsi="Times New Roman" w:cs="Times New Roman"/>
                                  <w:b/>
                                  <w:color w:val="000000" w:themeColor="text1"/>
                                  <w:sz w:val="20"/>
                                  <w:szCs w:val="20"/>
                                </w:rPr>
                              </w:pPr>
                              <w:r w:rsidRPr="00F20288">
                                <w:rPr>
                                  <w:rFonts w:ascii="Times New Roman" w:eastAsia="Batang" w:hAnsi="Times New Roman" w:cs="Times New Roman"/>
                                  <w:b/>
                                  <w:color w:val="000000" w:themeColor="text1"/>
                                  <w:sz w:val="20"/>
                                  <w:szCs w:val="20"/>
                                </w:rPr>
                                <w:t>PAKLAUSOS VEIKSNIAI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8" name="Text Box 248"/>
                        <wps:cNvSpPr txBox="1"/>
                        <wps:spPr>
                          <a:xfrm>
                            <a:off x="3183146" y="871268"/>
                            <a:ext cx="3277870" cy="284480"/>
                          </a:xfrm>
                          <a:prstGeom prst="rect">
                            <a:avLst/>
                          </a:prstGeom>
                          <a:noFill/>
                          <a:ln w="19050">
                            <a:solidFill>
                              <a:prstClr val="black"/>
                            </a:solidFill>
                          </a:ln>
                          <a:effectLst/>
                        </wps:spPr>
                        <wps:txbx>
                          <w:txbxContent>
                            <w:p w:rsidR="00EC1AB2" w:rsidRPr="00F20288" w:rsidRDefault="00EC1AB2" w:rsidP="00395AAB">
                              <w:pPr>
                                <w:rPr>
                                  <w:rFonts w:ascii="Times New Roman" w:hAnsi="Times New Roman" w:cs="Times New Roman"/>
                                  <w:b/>
                                  <w:sz w:val="20"/>
                                  <w:szCs w:val="20"/>
                                </w:rPr>
                              </w:pPr>
                              <w:r>
                                <w:rPr>
                                  <w:rFonts w:ascii="Times New Roman" w:hAnsi="Times New Roman" w:cs="Times New Roman"/>
                                  <w:b/>
                                  <w:sz w:val="20"/>
                                  <w:szCs w:val="20"/>
                                </w:rPr>
                                <w:t>Teisinė</w:t>
                              </w:r>
                              <w:r w:rsidRPr="00F20288">
                                <w:rPr>
                                  <w:rFonts w:ascii="Times New Roman" w:hAnsi="Times New Roman" w:cs="Times New Roman"/>
                                  <w:b/>
                                  <w:sz w:val="20"/>
                                  <w:szCs w:val="20"/>
                                </w:rPr>
                                <w:t>s ir administracin</w:t>
                              </w:r>
                              <w:r>
                                <w:rPr>
                                  <w:rFonts w:ascii="Times New Roman" w:hAnsi="Times New Roman" w:cs="Times New Roman"/>
                                  <w:b/>
                                  <w:sz w:val="20"/>
                                  <w:szCs w:val="20"/>
                                </w:rPr>
                                <w:t>ė</w:t>
                              </w:r>
                              <w:r w:rsidRPr="00F20288">
                                <w:rPr>
                                  <w:rFonts w:ascii="Times New Roman" w:hAnsi="Times New Roman" w:cs="Times New Roman"/>
                                  <w:b/>
                                  <w:sz w:val="20"/>
                                  <w:szCs w:val="20"/>
                                </w:rPr>
                                <w:t xml:space="preserve">s sistemos </w:t>
                              </w:r>
                              <w:r>
                                <w:rPr>
                                  <w:rFonts w:ascii="Times New Roman" w:hAnsi="Times New Roman" w:cs="Times New Roman"/>
                                  <w:b/>
                                  <w:sz w:val="20"/>
                                  <w:szCs w:val="20"/>
                                </w:rPr>
                                <w:t>sta</w:t>
                              </w:r>
                              <w:r w:rsidRPr="00F20288">
                                <w:rPr>
                                  <w:rFonts w:ascii="Times New Roman" w:hAnsi="Times New Roman" w:cs="Times New Roman"/>
                                  <w:b/>
                                  <w:sz w:val="20"/>
                                  <w:szCs w:val="20"/>
                                </w:rPr>
                                <w:t>bilumas</w:t>
                              </w:r>
                            </w:p>
                            <w:p w:rsidR="00EC1AB2" w:rsidRDefault="00EC1AB2" w:rsidP="00395AAB">
                              <w:r>
                                <w:rPr>
                                  <w:rFonts w:ascii="Times New Roman" w:hAnsi="Times New Roman" w:cs="Times New Roman"/>
                                </w:rPr>
                                <w:t>Teisinės ir administracinės sistemos stabilumas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9" name="Text Box 249"/>
                        <wps:cNvSpPr txBox="1"/>
                        <wps:spPr>
                          <a:xfrm>
                            <a:off x="3183146" y="1647645"/>
                            <a:ext cx="3277870" cy="240665"/>
                          </a:xfrm>
                          <a:prstGeom prst="rect">
                            <a:avLst/>
                          </a:prstGeom>
                          <a:noFill/>
                          <a:ln w="19050">
                            <a:solidFill>
                              <a:prstClr val="black"/>
                            </a:solidFill>
                          </a:ln>
                          <a:effectLst/>
                        </wps:spPr>
                        <wps:txbx>
                          <w:txbxContent>
                            <w:p w:rsidR="00EC1AB2" w:rsidRPr="00F20288" w:rsidRDefault="00EC1AB2" w:rsidP="00395AAB">
                              <w:pPr>
                                <w:jc w:val="center"/>
                                <w:rPr>
                                  <w:rFonts w:ascii="Times New Roman" w:hAnsi="Times New Roman" w:cs="Times New Roman"/>
                                  <w:b/>
                                  <w:sz w:val="20"/>
                                  <w:szCs w:val="20"/>
                                </w:rPr>
                              </w:pPr>
                              <w:r w:rsidRPr="00F20288">
                                <w:rPr>
                                  <w:rFonts w:ascii="Times New Roman" w:hAnsi="Times New Roman" w:cs="Times New Roman"/>
                                  <w:b/>
                                  <w:sz w:val="20"/>
                                  <w:szCs w:val="20"/>
                                </w:rPr>
                                <w:t>Makroekonominis stabilumas</w:t>
                              </w:r>
                            </w:p>
                            <w:p w:rsidR="00EC1AB2" w:rsidRDefault="00EC1AB2" w:rsidP="00395AAB">
                              <w:r>
                                <w:rPr>
                                  <w:rFonts w:ascii="Times New Roman" w:hAnsi="Times New Roman" w:cs="Times New Roman"/>
                                </w:rPr>
                                <w:t>Teisinės ir administracinės sistemos stabilumas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0" name="Text Box 250"/>
                        <wps:cNvSpPr txBox="1"/>
                        <wps:spPr>
                          <a:xfrm>
                            <a:off x="3183146" y="1233577"/>
                            <a:ext cx="3275965" cy="370936"/>
                          </a:xfrm>
                          <a:prstGeom prst="rect">
                            <a:avLst/>
                          </a:prstGeom>
                          <a:noFill/>
                          <a:ln w="6350">
                            <a:solidFill>
                              <a:prstClr val="black"/>
                            </a:solidFill>
                          </a:ln>
                          <a:effectLst/>
                        </wps:spPr>
                        <wps:txbx>
                          <w:txbxContent>
                            <w:p w:rsidR="00EC1AB2" w:rsidRPr="003556DD" w:rsidRDefault="00EC1AB2" w:rsidP="00395AAB">
                              <w:pPr>
                                <w:pStyle w:val="ListParagraph"/>
                                <w:numPr>
                                  <w:ilvl w:val="0"/>
                                  <w:numId w:val="16"/>
                                </w:numPr>
                                <w:spacing w:after="0" w:line="240" w:lineRule="auto"/>
                                <w:ind w:left="714" w:hanging="357"/>
                                <w:rPr>
                                  <w:rFonts w:ascii="Times New Roman" w:hAnsi="Times New Roman" w:cs="Times New Roman"/>
                                  <w:sz w:val="16"/>
                                  <w:szCs w:val="16"/>
                                </w:rPr>
                              </w:pPr>
                              <w:r w:rsidRPr="003556DD">
                                <w:rPr>
                                  <w:rFonts w:ascii="Times New Roman" w:hAnsi="Times New Roman" w:cs="Times New Roman"/>
                                  <w:sz w:val="16"/>
                                  <w:szCs w:val="16"/>
                                </w:rPr>
                                <w:t>Administraciniai barjerai</w:t>
                              </w:r>
                            </w:p>
                            <w:p w:rsidR="00EC1AB2" w:rsidRPr="003556DD" w:rsidRDefault="00EC1AB2" w:rsidP="00395AAB">
                              <w:pPr>
                                <w:pStyle w:val="ListParagraph"/>
                                <w:numPr>
                                  <w:ilvl w:val="0"/>
                                  <w:numId w:val="16"/>
                                </w:numPr>
                                <w:spacing w:after="0" w:line="240" w:lineRule="auto"/>
                                <w:ind w:left="714" w:hanging="357"/>
                                <w:rPr>
                                  <w:rFonts w:ascii="Times New Roman" w:hAnsi="Times New Roman" w:cs="Times New Roman"/>
                                  <w:sz w:val="16"/>
                                  <w:szCs w:val="16"/>
                                </w:rPr>
                              </w:pPr>
                              <w:r w:rsidRPr="003556DD">
                                <w:rPr>
                                  <w:rFonts w:ascii="Times New Roman" w:hAnsi="Times New Roman" w:cs="Times New Roman"/>
                                  <w:sz w:val="16"/>
                                  <w:szCs w:val="16"/>
                                </w:rPr>
                                <w:t>Biurokratijos lygis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1" name="Text Box 251"/>
                        <wps:cNvSpPr txBox="1"/>
                        <wps:spPr>
                          <a:xfrm>
                            <a:off x="3183145" y="1984075"/>
                            <a:ext cx="3275965" cy="267335"/>
                          </a:xfrm>
                          <a:prstGeom prst="rect">
                            <a:avLst/>
                          </a:prstGeom>
                          <a:noFill/>
                          <a:ln w="6350">
                            <a:solidFill>
                              <a:prstClr val="black"/>
                            </a:solidFill>
                          </a:ln>
                          <a:effectLst/>
                        </wps:spPr>
                        <wps:txbx>
                          <w:txbxContent>
                            <w:p w:rsidR="00EC1AB2" w:rsidRPr="003556DD" w:rsidRDefault="00EC1AB2" w:rsidP="00395AAB">
                              <w:pPr>
                                <w:pStyle w:val="ListParagraph"/>
                                <w:numPr>
                                  <w:ilvl w:val="0"/>
                                  <w:numId w:val="16"/>
                                </w:numPr>
                                <w:rPr>
                                  <w:rFonts w:ascii="Times New Roman" w:hAnsi="Times New Roman" w:cs="Times New Roman"/>
                                  <w:sz w:val="16"/>
                                  <w:szCs w:val="16"/>
                                </w:rPr>
                              </w:pPr>
                              <w:r w:rsidRPr="003556DD">
                                <w:rPr>
                                  <w:rFonts w:ascii="Times New Roman" w:hAnsi="Times New Roman" w:cs="Times New Roman"/>
                                  <w:sz w:val="16"/>
                                  <w:szCs w:val="16"/>
                                </w:rPr>
                                <w:t>Stabilus ekonomikos augimas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2" name="Text Box 252"/>
                        <wps:cNvSpPr txBox="1"/>
                        <wps:spPr>
                          <a:xfrm>
                            <a:off x="3183146" y="2424023"/>
                            <a:ext cx="3277870" cy="396240"/>
                          </a:xfrm>
                          <a:prstGeom prst="rect">
                            <a:avLst/>
                          </a:prstGeom>
                          <a:solidFill>
                            <a:schemeClr val="lt1"/>
                          </a:solidFill>
                          <a:ln w="190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C1AB2" w:rsidRPr="00F20288" w:rsidRDefault="00EC1AB2" w:rsidP="00395AAB">
                              <w:pPr>
                                <w:jc w:val="center"/>
                                <w:rPr>
                                  <w:rFonts w:ascii="Times New Roman" w:hAnsi="Times New Roman" w:cs="Times New Roman"/>
                                  <w:b/>
                                  <w:sz w:val="20"/>
                                  <w:szCs w:val="20"/>
                                </w:rPr>
                              </w:pPr>
                              <w:r w:rsidRPr="00F20288">
                                <w:rPr>
                                  <w:rFonts w:ascii="Times New Roman" w:hAnsi="Times New Roman" w:cs="Times New Roman"/>
                                  <w:b/>
                                  <w:sz w:val="20"/>
                                  <w:szCs w:val="20"/>
                                </w:rPr>
                                <w:t>Finansų sistemos išsivystymo lygis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3" name="Text Box 253"/>
                        <wps:cNvSpPr txBox="1"/>
                        <wps:spPr>
                          <a:xfrm>
                            <a:off x="3088256" y="2889848"/>
                            <a:ext cx="3277870" cy="482600"/>
                          </a:xfrm>
                          <a:prstGeom prst="rect">
                            <a:avLst/>
                          </a:prstGeom>
                          <a:solidFill>
                            <a:schemeClr val="lt1"/>
                          </a:solidFill>
                          <a:ln w="190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C1AB2" w:rsidRPr="00F20288" w:rsidRDefault="00EC1AB2" w:rsidP="00395AAB">
                              <w:pPr>
                                <w:jc w:val="center"/>
                                <w:rPr>
                                  <w:rFonts w:ascii="Times New Roman" w:hAnsi="Times New Roman" w:cs="Times New Roman"/>
                                  <w:b/>
                                  <w:sz w:val="20"/>
                                  <w:szCs w:val="20"/>
                                </w:rPr>
                              </w:pPr>
                              <w:r>
                                <w:rPr>
                                  <w:rFonts w:ascii="Times New Roman" w:hAnsi="Times New Roman" w:cs="Times New Roman"/>
                                  <w:b/>
                                  <w:sz w:val="20"/>
                                  <w:szCs w:val="20"/>
                                </w:rPr>
                                <w:t>Ekonominis inovacinis-technologinis šalies potencialas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4" name="Text Box 254"/>
                        <wps:cNvSpPr txBox="1"/>
                        <wps:spPr>
                          <a:xfrm>
                            <a:off x="3183145" y="3459192"/>
                            <a:ext cx="3277870" cy="439420"/>
                          </a:xfrm>
                          <a:prstGeom prst="rect">
                            <a:avLst/>
                          </a:prstGeom>
                          <a:solidFill>
                            <a:schemeClr val="lt1"/>
                          </a:solidFill>
                          <a:ln w="190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C1AB2" w:rsidRPr="00F20288" w:rsidRDefault="00EC1AB2" w:rsidP="00395AAB">
                              <w:pPr>
                                <w:jc w:val="center"/>
                                <w:rPr>
                                  <w:rFonts w:ascii="Times New Roman" w:hAnsi="Times New Roman" w:cs="Times New Roman"/>
                                  <w:b/>
                                  <w:sz w:val="20"/>
                                  <w:szCs w:val="20"/>
                                </w:rPr>
                              </w:pPr>
                              <w:r>
                                <w:rPr>
                                  <w:rFonts w:ascii="Times New Roman" w:hAnsi="Times New Roman" w:cs="Times New Roman"/>
                                  <w:b/>
                                  <w:sz w:val="20"/>
                                  <w:szCs w:val="20"/>
                                </w:rPr>
                                <w:t>Mokesčių sistemos patrauklumas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5" name="Text Box 255"/>
                        <wps:cNvSpPr txBox="1"/>
                        <wps:spPr>
                          <a:xfrm>
                            <a:off x="3183146" y="3976777"/>
                            <a:ext cx="3277870" cy="396240"/>
                          </a:xfrm>
                          <a:prstGeom prst="rect">
                            <a:avLst/>
                          </a:prstGeom>
                          <a:solidFill>
                            <a:schemeClr val="lt1"/>
                          </a:solidFill>
                          <a:ln w="190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C1AB2" w:rsidRPr="00F20288" w:rsidRDefault="00EC1AB2" w:rsidP="00395AAB">
                              <w:pPr>
                                <w:jc w:val="center"/>
                                <w:rPr>
                                  <w:rFonts w:ascii="Times New Roman" w:hAnsi="Times New Roman" w:cs="Times New Roman"/>
                                  <w:b/>
                                  <w:sz w:val="20"/>
                                  <w:szCs w:val="20"/>
                                </w:rPr>
                              </w:pPr>
                              <w:r>
                                <w:rPr>
                                  <w:rFonts w:ascii="Times New Roman" w:hAnsi="Times New Roman" w:cs="Times New Roman"/>
                                  <w:b/>
                                  <w:sz w:val="20"/>
                                  <w:szCs w:val="20"/>
                                </w:rPr>
                                <w:t>Žmogiškojo kapitalo potencialas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6" name="Text Box 256"/>
                        <wps:cNvSpPr txBox="1"/>
                        <wps:spPr>
                          <a:xfrm>
                            <a:off x="3183146" y="4477109"/>
                            <a:ext cx="3277870" cy="491490"/>
                          </a:xfrm>
                          <a:prstGeom prst="rect">
                            <a:avLst/>
                          </a:prstGeom>
                          <a:solidFill>
                            <a:schemeClr val="lt1"/>
                          </a:solidFill>
                          <a:ln w="190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C1AB2" w:rsidRPr="00F20288" w:rsidRDefault="00EC1AB2" w:rsidP="00395AAB">
                              <w:pPr>
                                <w:jc w:val="center"/>
                                <w:rPr>
                                  <w:rFonts w:ascii="Times New Roman" w:hAnsi="Times New Roman" w:cs="Times New Roman"/>
                                  <w:b/>
                                  <w:sz w:val="20"/>
                                  <w:szCs w:val="20"/>
                                </w:rPr>
                              </w:pPr>
                              <w:r>
                                <w:rPr>
                                  <w:rFonts w:ascii="Times New Roman" w:hAnsi="Times New Roman" w:cs="Times New Roman"/>
                                  <w:b/>
                                  <w:sz w:val="20"/>
                                  <w:szCs w:val="20"/>
                                </w:rPr>
                                <w:t>Antrepreneriškos kultūros lygis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7" name="Text Box 257"/>
                        <wps:cNvSpPr txBox="1"/>
                        <wps:spPr>
                          <a:xfrm>
                            <a:off x="2932980" y="5201728"/>
                            <a:ext cx="1809115" cy="499745"/>
                          </a:xfrm>
                          <a:prstGeom prst="rect">
                            <a:avLst/>
                          </a:prstGeom>
                          <a:solidFill>
                            <a:schemeClr val="lt1"/>
                          </a:solidFill>
                          <a:ln w="190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C1AB2" w:rsidRPr="00F20288" w:rsidRDefault="00EC1AB2" w:rsidP="00395AAB">
                              <w:pPr>
                                <w:jc w:val="center"/>
                                <w:rPr>
                                  <w:rFonts w:ascii="Times New Roman" w:hAnsi="Times New Roman" w:cs="Times New Roman"/>
                                  <w:b/>
                                  <w:sz w:val="20"/>
                                  <w:szCs w:val="20"/>
                                </w:rPr>
                              </w:pPr>
                              <w:r>
                                <w:rPr>
                                  <w:rFonts w:ascii="Times New Roman" w:hAnsi="Times New Roman" w:cs="Times New Roman"/>
                                  <w:b/>
                                  <w:sz w:val="20"/>
                                  <w:szCs w:val="20"/>
                                </w:rPr>
                                <w:t>Teisinė bazė rizikos kapitalo investicijoms šalyje formuoti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8" name="Text Box 258"/>
                        <wps:cNvSpPr txBox="1"/>
                        <wps:spPr>
                          <a:xfrm>
                            <a:off x="2932980" y="5779697"/>
                            <a:ext cx="1809750" cy="491490"/>
                          </a:xfrm>
                          <a:prstGeom prst="rect">
                            <a:avLst/>
                          </a:prstGeom>
                          <a:solidFill>
                            <a:schemeClr val="lt1"/>
                          </a:solidFill>
                          <a:ln w="190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C1AB2" w:rsidRPr="00F20288" w:rsidRDefault="00EC1AB2" w:rsidP="00395AAB">
                              <w:pPr>
                                <w:jc w:val="center"/>
                                <w:rPr>
                                  <w:rFonts w:ascii="Times New Roman" w:hAnsi="Times New Roman" w:cs="Times New Roman"/>
                                  <w:b/>
                                  <w:sz w:val="20"/>
                                  <w:szCs w:val="20"/>
                                </w:rPr>
                              </w:pPr>
                              <w:r>
                                <w:rPr>
                                  <w:rFonts w:ascii="Times New Roman" w:hAnsi="Times New Roman" w:cs="Times New Roman"/>
                                  <w:b/>
                                  <w:sz w:val="20"/>
                                  <w:szCs w:val="20"/>
                                </w:rPr>
                                <w:t>Investuotojų rinkos struktūra/Investuotojų tipas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9" name="Text Box 259"/>
                        <wps:cNvSpPr txBox="1"/>
                        <wps:spPr>
                          <a:xfrm>
                            <a:off x="4787659" y="5201728"/>
                            <a:ext cx="2009775" cy="499745"/>
                          </a:xfrm>
                          <a:prstGeom prst="rect">
                            <a:avLst/>
                          </a:prstGeom>
                          <a:solidFill>
                            <a:schemeClr val="lt1"/>
                          </a:solidFill>
                          <a:ln w="190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C1AB2" w:rsidRPr="009B5C01" w:rsidRDefault="00EC1AB2" w:rsidP="00395AAB">
                              <w:pPr>
                                <w:jc w:val="center"/>
                                <w:rPr>
                                  <w:rFonts w:ascii="Times New Roman" w:hAnsi="Times New Roman" w:cs="Times New Roman"/>
                                  <w:b/>
                                  <w:sz w:val="20"/>
                                  <w:szCs w:val="20"/>
                                  <w:vertAlign w:val="subscript"/>
                                </w:rPr>
                              </w:pPr>
                              <w:r w:rsidRPr="009B5C01">
                                <w:rPr>
                                  <w:rFonts w:ascii="Times New Roman" w:hAnsi="Times New Roman" w:cs="Times New Roman"/>
                                  <w:b/>
                                  <w:sz w:val="20"/>
                                  <w:szCs w:val="20"/>
                                  <w:vertAlign w:val="subscript"/>
                                </w:rPr>
                                <w:t>Įmonės veiklos pobūdis/Ekonominės veiklos sektorius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0" name="Text Box 260"/>
                        <wps:cNvSpPr txBox="1"/>
                        <wps:spPr>
                          <a:xfrm>
                            <a:off x="4787658" y="5779697"/>
                            <a:ext cx="2018030" cy="482600"/>
                          </a:xfrm>
                          <a:prstGeom prst="rect">
                            <a:avLst/>
                          </a:prstGeom>
                          <a:solidFill>
                            <a:schemeClr val="lt1"/>
                          </a:solidFill>
                          <a:ln w="190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C1AB2" w:rsidRPr="00053DDA" w:rsidRDefault="00EC1AB2" w:rsidP="00395AAB">
                              <w:pPr>
                                <w:jc w:val="center"/>
                                <w:rPr>
                                  <w:rFonts w:ascii="Times New Roman" w:hAnsi="Times New Roman" w:cs="Times New Roman"/>
                                  <w:b/>
                                  <w:sz w:val="20"/>
                                  <w:szCs w:val="20"/>
                                </w:rPr>
                              </w:pPr>
                              <w:r>
                                <w:rPr>
                                  <w:rFonts w:ascii="Times New Roman" w:hAnsi="Times New Roman" w:cs="Times New Roman"/>
                                  <w:b/>
                                  <w:sz w:val="20"/>
                                  <w:szCs w:val="20"/>
                                </w:rPr>
                                <w:t>Įmonės veiklos išsivystymo stadija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1" name="Text Box 261"/>
                        <wps:cNvSpPr txBox="1"/>
                        <wps:spPr>
                          <a:xfrm>
                            <a:off x="6642337" y="2432649"/>
                            <a:ext cx="2448560" cy="3962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C1AB2" w:rsidRPr="00C41162" w:rsidRDefault="00EC1AB2" w:rsidP="00395AAB">
                              <w:pPr>
                                <w:pStyle w:val="ListParagraph"/>
                                <w:numPr>
                                  <w:ilvl w:val="0"/>
                                  <w:numId w:val="21"/>
                                </w:numPr>
                                <w:spacing w:after="0" w:line="240" w:lineRule="auto"/>
                                <w:contextualSpacing w:val="0"/>
                                <w:rPr>
                                  <w:rFonts w:ascii="Times New Roman" w:hAnsi="Times New Roman" w:cs="Times New Roman"/>
                                  <w:sz w:val="16"/>
                                  <w:szCs w:val="16"/>
                                </w:rPr>
                              </w:pPr>
                              <w:r>
                                <w:rPr>
                                  <w:rFonts w:ascii="Times New Roman" w:hAnsi="Times New Roman" w:cs="Times New Roman"/>
                                  <w:sz w:val="16"/>
                                  <w:szCs w:val="16"/>
                                </w:rPr>
                                <w:t>Vyraujantis finansų sistemos pobūdis</w:t>
                              </w:r>
                            </w:p>
                            <w:p w:rsidR="00EC1AB2" w:rsidRPr="00C41162" w:rsidRDefault="00EC1AB2" w:rsidP="00395AAB">
                              <w:pPr>
                                <w:pStyle w:val="ListParagraph"/>
                                <w:numPr>
                                  <w:ilvl w:val="0"/>
                                  <w:numId w:val="21"/>
                                </w:numPr>
                                <w:spacing w:after="0" w:line="240" w:lineRule="auto"/>
                                <w:contextualSpacing w:val="0"/>
                                <w:rPr>
                                  <w:rFonts w:ascii="Times New Roman" w:hAnsi="Times New Roman" w:cs="Times New Roman"/>
                                  <w:sz w:val="16"/>
                                  <w:szCs w:val="16"/>
                                </w:rPr>
                              </w:pPr>
                              <w:r>
                                <w:rPr>
                                  <w:rFonts w:ascii="Times New Roman" w:hAnsi="Times New Roman" w:cs="Times New Roman"/>
                                  <w:sz w:val="16"/>
                                  <w:szCs w:val="16"/>
                                </w:rPr>
                                <w:t>Verslo finansavimo alternatyvos</w:t>
                              </w:r>
                            </w:p>
                            <w:p w:rsidR="00EC1AB2" w:rsidRPr="00F20288" w:rsidRDefault="00EC1AB2" w:rsidP="00395AAB">
                              <w:pPr>
                                <w:jc w:val="center"/>
                                <w:rPr>
                                  <w:rFonts w:ascii="Times New Roman" w:hAnsi="Times New Roman" w:cs="Times New Roman"/>
                                  <w:b/>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2" name="Text Box 262"/>
                        <wps:cNvSpPr txBox="1"/>
                        <wps:spPr>
                          <a:xfrm>
                            <a:off x="560715" y="5193101"/>
                            <a:ext cx="2251075" cy="49974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C1AB2" w:rsidRDefault="00EC1AB2" w:rsidP="00395AAB">
                              <w:pPr>
                                <w:pStyle w:val="ListParagraph"/>
                                <w:numPr>
                                  <w:ilvl w:val="0"/>
                                  <w:numId w:val="18"/>
                                </w:numPr>
                                <w:rPr>
                                  <w:rFonts w:ascii="Times New Roman" w:hAnsi="Times New Roman" w:cs="Times New Roman"/>
                                  <w:sz w:val="16"/>
                                  <w:szCs w:val="16"/>
                                </w:rPr>
                              </w:pPr>
                              <w:r w:rsidRPr="003B56C6">
                                <w:rPr>
                                  <w:rFonts w:ascii="Times New Roman" w:hAnsi="Times New Roman" w:cs="Times New Roman"/>
                                  <w:sz w:val="16"/>
                                  <w:szCs w:val="16"/>
                                </w:rPr>
                                <w:t>Akcininkų susitarimų</w:t>
                              </w:r>
                              <w:r>
                                <w:rPr>
                                  <w:rFonts w:ascii="Times New Roman" w:hAnsi="Times New Roman" w:cs="Times New Roman"/>
                                  <w:sz w:val="16"/>
                                  <w:szCs w:val="16"/>
                                </w:rPr>
                                <w:t xml:space="preserve">, </w:t>
                              </w:r>
                              <w:r w:rsidRPr="003B56C6">
                                <w:rPr>
                                  <w:rFonts w:ascii="Times New Roman" w:hAnsi="Times New Roman" w:cs="Times New Roman"/>
                                  <w:sz w:val="16"/>
                                  <w:szCs w:val="16"/>
                                </w:rPr>
                                <w:t>partnerystės reglamentavimas</w:t>
                              </w:r>
                            </w:p>
                            <w:p w:rsidR="00EC1AB2" w:rsidRPr="00CE4167" w:rsidRDefault="00EC1AB2" w:rsidP="00395AAB">
                              <w:pPr>
                                <w:pStyle w:val="ListParagraph"/>
                                <w:numPr>
                                  <w:ilvl w:val="0"/>
                                  <w:numId w:val="18"/>
                                </w:numPr>
                                <w:rPr>
                                  <w:rFonts w:ascii="Times New Roman" w:hAnsi="Times New Roman" w:cs="Times New Roman"/>
                                  <w:sz w:val="16"/>
                                  <w:szCs w:val="16"/>
                                </w:rPr>
                              </w:pPr>
                              <w:r w:rsidRPr="00CE4167">
                                <w:rPr>
                                  <w:rFonts w:ascii="Times New Roman" w:hAnsi="Times New Roman" w:cs="Times New Roman"/>
                                  <w:sz w:val="16"/>
                                  <w:szCs w:val="16"/>
                                </w:rPr>
                                <w:t>Kolektyvinio investavimo galimybės</w:t>
                              </w:r>
                            </w:p>
                            <w:p w:rsidR="00EC1AB2" w:rsidRPr="003B56C6" w:rsidRDefault="00EC1AB2" w:rsidP="00395AAB">
                              <w:pPr>
                                <w:jc w:val="center"/>
                                <w:rPr>
                                  <w:rFonts w:ascii="Times New Roman" w:hAnsi="Times New Roman" w:cs="Times New Roman"/>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3" name="Text Box 263"/>
                        <wps:cNvSpPr txBox="1"/>
                        <wps:spPr>
                          <a:xfrm>
                            <a:off x="560714" y="2424022"/>
                            <a:ext cx="2448560" cy="3962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C1AB2" w:rsidRPr="00C41162" w:rsidRDefault="00EC1AB2" w:rsidP="00395AAB">
                              <w:pPr>
                                <w:pStyle w:val="ListParagraph"/>
                                <w:numPr>
                                  <w:ilvl w:val="0"/>
                                  <w:numId w:val="16"/>
                                </w:numPr>
                                <w:spacing w:after="0" w:line="240" w:lineRule="auto"/>
                                <w:ind w:left="714" w:hanging="357"/>
                                <w:contextualSpacing w:val="0"/>
                                <w:rPr>
                                  <w:rFonts w:ascii="Times New Roman" w:hAnsi="Times New Roman" w:cs="Times New Roman"/>
                                  <w:sz w:val="16"/>
                                  <w:szCs w:val="16"/>
                                </w:rPr>
                              </w:pPr>
                              <w:r>
                                <w:rPr>
                                  <w:rFonts w:ascii="Times New Roman" w:hAnsi="Times New Roman" w:cs="Times New Roman"/>
                                  <w:sz w:val="16"/>
                                  <w:szCs w:val="16"/>
                                </w:rPr>
                                <w:t>Kapitalo rinkos likvidumas</w:t>
                              </w:r>
                            </w:p>
                            <w:p w:rsidR="00EC1AB2" w:rsidRPr="00C41162" w:rsidRDefault="00EC1AB2" w:rsidP="00395AAB">
                              <w:pPr>
                                <w:pStyle w:val="ListParagraph"/>
                                <w:numPr>
                                  <w:ilvl w:val="0"/>
                                  <w:numId w:val="16"/>
                                </w:numPr>
                                <w:spacing w:after="0" w:line="240" w:lineRule="auto"/>
                                <w:ind w:left="714" w:hanging="357"/>
                                <w:contextualSpacing w:val="0"/>
                                <w:rPr>
                                  <w:rFonts w:ascii="Times New Roman" w:hAnsi="Times New Roman" w:cs="Times New Roman"/>
                                  <w:sz w:val="16"/>
                                  <w:szCs w:val="16"/>
                                </w:rPr>
                              </w:pPr>
                              <w:r w:rsidRPr="00C41162">
                                <w:rPr>
                                  <w:rFonts w:ascii="Times New Roman" w:hAnsi="Times New Roman" w:cs="Times New Roman"/>
                                  <w:sz w:val="16"/>
                                  <w:szCs w:val="16"/>
                                </w:rPr>
                                <w:t>VP rinkos efektyvumas</w:t>
                              </w:r>
                            </w:p>
                            <w:p w:rsidR="00EC1AB2" w:rsidRPr="00F20288" w:rsidRDefault="00EC1AB2" w:rsidP="00395AAB">
                              <w:pPr>
                                <w:jc w:val="center"/>
                                <w:rPr>
                                  <w:rFonts w:ascii="Times New Roman" w:hAnsi="Times New Roman" w:cs="Times New Roman"/>
                                  <w:b/>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4" name="Text Box 264"/>
                        <wps:cNvSpPr txBox="1"/>
                        <wps:spPr>
                          <a:xfrm>
                            <a:off x="560715" y="2889848"/>
                            <a:ext cx="2448560" cy="44831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C1AB2" w:rsidRPr="00C41162" w:rsidRDefault="00EC1AB2" w:rsidP="00395AAB">
                              <w:pPr>
                                <w:pStyle w:val="ListParagraph"/>
                                <w:numPr>
                                  <w:ilvl w:val="0"/>
                                  <w:numId w:val="16"/>
                                </w:numPr>
                                <w:spacing w:after="0" w:line="240" w:lineRule="auto"/>
                                <w:ind w:left="714" w:hanging="357"/>
                                <w:contextualSpacing w:val="0"/>
                                <w:rPr>
                                  <w:rFonts w:ascii="Times New Roman" w:hAnsi="Times New Roman" w:cs="Times New Roman"/>
                                  <w:sz w:val="16"/>
                                  <w:szCs w:val="16"/>
                                </w:rPr>
                              </w:pPr>
                              <w:r w:rsidRPr="00C41162">
                                <w:rPr>
                                  <w:rFonts w:ascii="Times New Roman" w:hAnsi="Times New Roman" w:cs="Times New Roman"/>
                                  <w:sz w:val="16"/>
                                  <w:szCs w:val="16"/>
                                </w:rPr>
                                <w:t>Technologinių inovacijų sklaida</w:t>
                              </w:r>
                            </w:p>
                            <w:p w:rsidR="00EC1AB2" w:rsidRPr="00C41162" w:rsidRDefault="00EC1AB2" w:rsidP="00395AAB">
                              <w:pPr>
                                <w:pStyle w:val="ListParagraph"/>
                                <w:numPr>
                                  <w:ilvl w:val="0"/>
                                  <w:numId w:val="16"/>
                                </w:numPr>
                                <w:spacing w:after="0" w:line="240" w:lineRule="auto"/>
                                <w:ind w:left="714" w:hanging="357"/>
                                <w:contextualSpacing w:val="0"/>
                                <w:rPr>
                                  <w:rFonts w:ascii="Times New Roman" w:hAnsi="Times New Roman" w:cs="Times New Roman"/>
                                  <w:sz w:val="16"/>
                                  <w:szCs w:val="16"/>
                                </w:rPr>
                              </w:pPr>
                              <w:r w:rsidRPr="00C41162">
                                <w:rPr>
                                  <w:rFonts w:ascii="Times New Roman" w:hAnsi="Times New Roman" w:cs="Times New Roman"/>
                                  <w:sz w:val="16"/>
                                  <w:szCs w:val="16"/>
                                </w:rPr>
                                <w:t>Bendras įmonių inovatyvumo lygis</w:t>
                              </w:r>
                            </w:p>
                            <w:p w:rsidR="00EC1AB2" w:rsidRPr="00F20288" w:rsidRDefault="00EC1AB2" w:rsidP="00395AAB">
                              <w:pPr>
                                <w:jc w:val="center"/>
                                <w:rPr>
                                  <w:rFonts w:ascii="Times New Roman" w:hAnsi="Times New Roman" w:cs="Times New Roman"/>
                                  <w:b/>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5" name="Text Box 265"/>
                        <wps:cNvSpPr txBox="1"/>
                        <wps:spPr>
                          <a:xfrm>
                            <a:off x="560715" y="3450566"/>
                            <a:ext cx="2448560" cy="43942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C1AB2" w:rsidRDefault="00EC1AB2" w:rsidP="00395AAB">
                              <w:pPr>
                                <w:pStyle w:val="ListParagraph"/>
                                <w:numPr>
                                  <w:ilvl w:val="0"/>
                                  <w:numId w:val="16"/>
                                </w:numPr>
                                <w:spacing w:after="0" w:line="240" w:lineRule="auto"/>
                                <w:ind w:left="714" w:hanging="357"/>
                                <w:contextualSpacing w:val="0"/>
                                <w:jc w:val="both"/>
                                <w:rPr>
                                  <w:rFonts w:ascii="Times New Roman" w:hAnsi="Times New Roman" w:cs="Times New Roman"/>
                                  <w:sz w:val="16"/>
                                  <w:szCs w:val="16"/>
                                </w:rPr>
                              </w:pPr>
                              <w:r>
                                <w:rPr>
                                  <w:rFonts w:ascii="Times New Roman" w:hAnsi="Times New Roman" w:cs="Times New Roman"/>
                                  <w:sz w:val="16"/>
                                  <w:szCs w:val="16"/>
                                </w:rPr>
                                <w:t>Kapitalo prieaugio mokesčių dydis</w:t>
                              </w:r>
                            </w:p>
                            <w:p w:rsidR="00EC1AB2" w:rsidRPr="00C41162" w:rsidRDefault="00EC1AB2" w:rsidP="00395AAB">
                              <w:pPr>
                                <w:pStyle w:val="ListParagraph"/>
                                <w:numPr>
                                  <w:ilvl w:val="0"/>
                                  <w:numId w:val="16"/>
                                </w:numPr>
                                <w:spacing w:after="0" w:line="240" w:lineRule="auto"/>
                                <w:ind w:left="714" w:hanging="357"/>
                                <w:contextualSpacing w:val="0"/>
                                <w:jc w:val="both"/>
                                <w:rPr>
                                  <w:rFonts w:ascii="Times New Roman" w:hAnsi="Times New Roman" w:cs="Times New Roman"/>
                                  <w:sz w:val="16"/>
                                  <w:szCs w:val="16"/>
                                </w:rPr>
                              </w:pPr>
                              <w:r>
                                <w:rPr>
                                  <w:rFonts w:ascii="Times New Roman" w:hAnsi="Times New Roman" w:cs="Times New Roman"/>
                                  <w:sz w:val="16"/>
                                  <w:szCs w:val="16"/>
                                </w:rPr>
                                <w:t>Mokesčių lengvatos RK įmonės ir fondams</w:t>
                              </w:r>
                            </w:p>
                            <w:p w:rsidR="00EC1AB2" w:rsidRPr="00F20288" w:rsidRDefault="00EC1AB2" w:rsidP="00395AAB">
                              <w:pPr>
                                <w:jc w:val="center"/>
                                <w:rPr>
                                  <w:rFonts w:ascii="Times New Roman" w:hAnsi="Times New Roman" w:cs="Times New Roman"/>
                                  <w:b/>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6" name="Text Box 266"/>
                        <wps:cNvSpPr txBox="1"/>
                        <wps:spPr>
                          <a:xfrm>
                            <a:off x="560714" y="3976776"/>
                            <a:ext cx="2448560" cy="3962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C1AB2" w:rsidRPr="007E5CE2" w:rsidRDefault="00EC1AB2" w:rsidP="00395AAB">
                              <w:pPr>
                                <w:pStyle w:val="ListParagraph"/>
                                <w:numPr>
                                  <w:ilvl w:val="0"/>
                                  <w:numId w:val="16"/>
                                </w:numPr>
                                <w:spacing w:after="0" w:line="240" w:lineRule="auto"/>
                                <w:ind w:left="714" w:hanging="357"/>
                                <w:contextualSpacing w:val="0"/>
                                <w:jc w:val="both"/>
                                <w:rPr>
                                  <w:rFonts w:ascii="Times New Roman" w:hAnsi="Times New Roman" w:cs="Times New Roman"/>
                                  <w:sz w:val="12"/>
                                  <w:szCs w:val="12"/>
                                </w:rPr>
                              </w:pPr>
                              <w:r w:rsidRPr="007E5CE2">
                                <w:rPr>
                                  <w:rFonts w:ascii="Times New Roman" w:hAnsi="Times New Roman" w:cs="Times New Roman"/>
                                  <w:sz w:val="12"/>
                                  <w:szCs w:val="12"/>
                                </w:rPr>
                                <w:t>Techninių, vadybinių, finansinių žinių derinimas</w:t>
                              </w:r>
                            </w:p>
                            <w:p w:rsidR="00EC1AB2" w:rsidRPr="007E5CE2" w:rsidRDefault="00EC1AB2" w:rsidP="00395AAB">
                              <w:pPr>
                                <w:pStyle w:val="ListParagraph"/>
                                <w:numPr>
                                  <w:ilvl w:val="0"/>
                                  <w:numId w:val="16"/>
                                </w:numPr>
                                <w:spacing w:after="0" w:line="240" w:lineRule="auto"/>
                                <w:ind w:left="714" w:hanging="357"/>
                                <w:contextualSpacing w:val="0"/>
                                <w:jc w:val="both"/>
                                <w:rPr>
                                  <w:rFonts w:ascii="Times New Roman" w:hAnsi="Times New Roman" w:cs="Times New Roman"/>
                                  <w:sz w:val="12"/>
                                  <w:szCs w:val="12"/>
                                </w:rPr>
                              </w:pPr>
                              <w:r w:rsidRPr="007E5CE2">
                                <w:rPr>
                                  <w:rFonts w:ascii="Times New Roman" w:hAnsi="Times New Roman" w:cs="Times New Roman"/>
                                  <w:sz w:val="12"/>
                                  <w:szCs w:val="12"/>
                                </w:rPr>
                                <w:t>Polinkis mokytis visą gyvenimą</w:t>
                              </w:r>
                            </w:p>
                            <w:p w:rsidR="00EC1AB2" w:rsidRPr="00F20288" w:rsidRDefault="00EC1AB2" w:rsidP="00395AAB">
                              <w:pPr>
                                <w:jc w:val="center"/>
                                <w:rPr>
                                  <w:rFonts w:ascii="Times New Roman" w:hAnsi="Times New Roman" w:cs="Times New Roman"/>
                                  <w:b/>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7" name="Text Box 267"/>
                        <wps:cNvSpPr txBox="1"/>
                        <wps:spPr>
                          <a:xfrm>
                            <a:off x="560715" y="4477108"/>
                            <a:ext cx="2448560" cy="49149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C1AB2" w:rsidRDefault="00EC1AB2" w:rsidP="00395AAB">
                              <w:pPr>
                                <w:pStyle w:val="ListParagraph"/>
                                <w:numPr>
                                  <w:ilvl w:val="0"/>
                                  <w:numId w:val="16"/>
                                </w:numPr>
                                <w:spacing w:after="0" w:line="240" w:lineRule="auto"/>
                                <w:ind w:left="714" w:hanging="357"/>
                                <w:contextualSpacing w:val="0"/>
                                <w:jc w:val="both"/>
                                <w:rPr>
                                  <w:rFonts w:ascii="Times New Roman" w:hAnsi="Times New Roman" w:cs="Times New Roman"/>
                                  <w:sz w:val="16"/>
                                  <w:szCs w:val="16"/>
                                </w:rPr>
                              </w:pPr>
                              <w:r>
                                <w:rPr>
                                  <w:rFonts w:ascii="Times New Roman" w:hAnsi="Times New Roman" w:cs="Times New Roman"/>
                                  <w:sz w:val="16"/>
                                  <w:szCs w:val="16"/>
                                </w:rPr>
                                <w:t>Tradiciškai susiformavęs požiūris į verslą, rizikos prisiėmimą</w:t>
                              </w:r>
                            </w:p>
                            <w:p w:rsidR="00EC1AB2" w:rsidRDefault="00EC1AB2" w:rsidP="00395AAB">
                              <w:pPr>
                                <w:pStyle w:val="ListParagraph"/>
                                <w:numPr>
                                  <w:ilvl w:val="0"/>
                                  <w:numId w:val="16"/>
                                </w:numPr>
                                <w:spacing w:after="0" w:line="240" w:lineRule="auto"/>
                                <w:ind w:left="714" w:hanging="357"/>
                                <w:contextualSpacing w:val="0"/>
                                <w:jc w:val="both"/>
                                <w:rPr>
                                  <w:rFonts w:ascii="Times New Roman" w:hAnsi="Times New Roman" w:cs="Times New Roman"/>
                                  <w:sz w:val="16"/>
                                  <w:szCs w:val="16"/>
                                </w:rPr>
                              </w:pPr>
                              <w:r>
                                <w:rPr>
                                  <w:rFonts w:ascii="Times New Roman" w:hAnsi="Times New Roman" w:cs="Times New Roman"/>
                                  <w:sz w:val="16"/>
                                  <w:szCs w:val="16"/>
                                </w:rPr>
                                <w:t>Antrepreneriškas išsilavinimas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8" name="Text Box 268"/>
                        <wps:cNvSpPr txBox="1"/>
                        <wps:spPr>
                          <a:xfrm>
                            <a:off x="6642337" y="2881223"/>
                            <a:ext cx="2448560" cy="482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C1AB2" w:rsidRDefault="00EC1AB2" w:rsidP="00395AAB">
                              <w:pPr>
                                <w:pStyle w:val="ListParagraph"/>
                                <w:numPr>
                                  <w:ilvl w:val="0"/>
                                  <w:numId w:val="16"/>
                                </w:numPr>
                                <w:spacing w:after="0" w:line="240" w:lineRule="auto"/>
                                <w:ind w:left="714" w:hanging="357"/>
                                <w:contextualSpacing w:val="0"/>
                                <w:rPr>
                                  <w:rFonts w:ascii="Times New Roman" w:hAnsi="Times New Roman" w:cs="Times New Roman"/>
                                  <w:sz w:val="16"/>
                                  <w:szCs w:val="16"/>
                                </w:rPr>
                              </w:pPr>
                              <w:r>
                                <w:rPr>
                                  <w:rFonts w:ascii="Times New Roman" w:hAnsi="Times New Roman" w:cs="Times New Roman"/>
                                  <w:sz w:val="16"/>
                                  <w:szCs w:val="16"/>
                                </w:rPr>
                                <w:t>Verslo ir mokslo bendradarbiavimas</w:t>
                              </w:r>
                            </w:p>
                            <w:p w:rsidR="00EC1AB2" w:rsidRDefault="00EC1AB2" w:rsidP="00395AAB">
                              <w:pPr>
                                <w:pStyle w:val="ListParagraph"/>
                                <w:numPr>
                                  <w:ilvl w:val="0"/>
                                  <w:numId w:val="16"/>
                                </w:numPr>
                                <w:spacing w:after="0" w:line="240" w:lineRule="auto"/>
                                <w:ind w:left="714" w:hanging="357"/>
                                <w:contextualSpacing w:val="0"/>
                                <w:rPr>
                                  <w:rFonts w:ascii="Times New Roman" w:hAnsi="Times New Roman" w:cs="Times New Roman"/>
                                  <w:sz w:val="16"/>
                                  <w:szCs w:val="16"/>
                                </w:rPr>
                              </w:pPr>
                              <w:r>
                                <w:rPr>
                                  <w:rFonts w:ascii="Times New Roman" w:hAnsi="Times New Roman" w:cs="Times New Roman"/>
                                  <w:sz w:val="16"/>
                                  <w:szCs w:val="16"/>
                                </w:rPr>
                                <w:t>Intelektinės nuosavybės apimtys</w:t>
                              </w:r>
                            </w:p>
                            <w:p w:rsidR="00EC1AB2" w:rsidRPr="00C41162" w:rsidRDefault="00EC1AB2" w:rsidP="00395AAB">
                              <w:pPr>
                                <w:pStyle w:val="ListParagraph"/>
                                <w:numPr>
                                  <w:ilvl w:val="0"/>
                                  <w:numId w:val="16"/>
                                </w:numPr>
                                <w:spacing w:after="0" w:line="240" w:lineRule="auto"/>
                                <w:ind w:left="714" w:hanging="357"/>
                                <w:contextualSpacing w:val="0"/>
                                <w:rPr>
                                  <w:rFonts w:ascii="Times New Roman" w:hAnsi="Times New Roman" w:cs="Times New Roman"/>
                                  <w:sz w:val="16"/>
                                  <w:szCs w:val="16"/>
                                </w:rPr>
                              </w:pPr>
                              <w:r>
                                <w:rPr>
                                  <w:rFonts w:ascii="Times New Roman" w:hAnsi="Times New Roman" w:cs="Times New Roman"/>
                                  <w:sz w:val="16"/>
                                  <w:szCs w:val="16"/>
                                </w:rPr>
                                <w:t>MTEP finansavimo intensyvumas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9" name="Text Box 269"/>
                        <wps:cNvSpPr txBox="1"/>
                        <wps:spPr>
                          <a:xfrm>
                            <a:off x="6642338" y="3441939"/>
                            <a:ext cx="2448560" cy="4572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C1AB2" w:rsidRDefault="00EC1AB2" w:rsidP="00395AAB">
                              <w:pPr>
                                <w:pStyle w:val="ListParagraph"/>
                                <w:numPr>
                                  <w:ilvl w:val="0"/>
                                  <w:numId w:val="16"/>
                                </w:numPr>
                                <w:spacing w:after="0" w:line="240" w:lineRule="auto"/>
                                <w:ind w:left="714" w:hanging="357"/>
                                <w:contextualSpacing w:val="0"/>
                                <w:jc w:val="both"/>
                                <w:rPr>
                                  <w:rFonts w:ascii="Times New Roman" w:hAnsi="Times New Roman" w:cs="Times New Roman"/>
                                  <w:sz w:val="16"/>
                                  <w:szCs w:val="16"/>
                                </w:rPr>
                              </w:pPr>
                              <w:r>
                                <w:rPr>
                                  <w:rFonts w:ascii="Times New Roman" w:hAnsi="Times New Roman" w:cs="Times New Roman"/>
                                  <w:sz w:val="16"/>
                                  <w:szCs w:val="16"/>
                                </w:rPr>
                                <w:t>Įmonių mokamų pelno mokesčių dydis</w:t>
                              </w:r>
                            </w:p>
                            <w:p w:rsidR="00EC1AB2" w:rsidRDefault="00EC1AB2" w:rsidP="00395AAB">
                              <w:pPr>
                                <w:pStyle w:val="ListParagraph"/>
                                <w:numPr>
                                  <w:ilvl w:val="0"/>
                                  <w:numId w:val="16"/>
                                </w:numPr>
                                <w:spacing w:after="0" w:line="240" w:lineRule="auto"/>
                                <w:ind w:left="714" w:hanging="357"/>
                                <w:contextualSpacing w:val="0"/>
                                <w:jc w:val="both"/>
                                <w:rPr>
                                  <w:rFonts w:ascii="Times New Roman" w:hAnsi="Times New Roman" w:cs="Times New Roman"/>
                                  <w:sz w:val="16"/>
                                  <w:szCs w:val="16"/>
                                </w:rPr>
                              </w:pPr>
                              <w:r>
                                <w:rPr>
                                  <w:rFonts w:ascii="Times New Roman" w:hAnsi="Times New Roman" w:cs="Times New Roman"/>
                                  <w:sz w:val="16"/>
                                  <w:szCs w:val="16"/>
                                </w:rPr>
                                <w:t>Mokestinės lengvatos jaunoms technologinėms įmonėms</w:t>
                              </w:r>
                            </w:p>
                            <w:p w:rsidR="00EC1AB2" w:rsidRPr="00F20288" w:rsidRDefault="00EC1AB2" w:rsidP="00395AAB">
                              <w:pPr>
                                <w:jc w:val="center"/>
                                <w:rPr>
                                  <w:rFonts w:ascii="Times New Roman" w:hAnsi="Times New Roman" w:cs="Times New Roman"/>
                                  <w:b/>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70" name="Text Box 270"/>
                        <wps:cNvSpPr txBox="1"/>
                        <wps:spPr>
                          <a:xfrm>
                            <a:off x="6642337" y="3976776"/>
                            <a:ext cx="2448560" cy="3962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C1AB2" w:rsidRPr="000037EF" w:rsidRDefault="00EC1AB2" w:rsidP="00395AAB">
                              <w:pPr>
                                <w:pStyle w:val="ListParagraph"/>
                                <w:numPr>
                                  <w:ilvl w:val="0"/>
                                  <w:numId w:val="17"/>
                                </w:numPr>
                                <w:spacing w:after="0" w:line="240" w:lineRule="auto"/>
                                <w:contextualSpacing w:val="0"/>
                                <w:rPr>
                                  <w:rFonts w:ascii="Times New Roman" w:hAnsi="Times New Roman" w:cs="Times New Roman"/>
                                  <w:b/>
                                  <w:sz w:val="20"/>
                                  <w:szCs w:val="20"/>
                                </w:rPr>
                              </w:pPr>
                              <w:r>
                                <w:rPr>
                                  <w:rFonts w:ascii="Times New Roman" w:hAnsi="Times New Roman" w:cs="Times New Roman"/>
                                  <w:sz w:val="16"/>
                                  <w:szCs w:val="16"/>
                                </w:rPr>
                                <w:t>Techninių specialistų būvimas</w:t>
                              </w:r>
                            </w:p>
                            <w:p w:rsidR="00EC1AB2" w:rsidRPr="000037EF" w:rsidRDefault="00EC1AB2" w:rsidP="00395AAB">
                              <w:pPr>
                                <w:pStyle w:val="ListParagraph"/>
                                <w:numPr>
                                  <w:ilvl w:val="0"/>
                                  <w:numId w:val="17"/>
                                </w:numPr>
                                <w:spacing w:after="0" w:line="240" w:lineRule="auto"/>
                                <w:contextualSpacing w:val="0"/>
                                <w:rPr>
                                  <w:rFonts w:ascii="Times New Roman" w:hAnsi="Times New Roman" w:cs="Times New Roman"/>
                                  <w:b/>
                                  <w:sz w:val="20"/>
                                  <w:szCs w:val="20"/>
                                </w:rPr>
                              </w:pPr>
                              <w:r w:rsidRPr="000037EF">
                                <w:rPr>
                                  <w:rFonts w:ascii="Times New Roman" w:hAnsi="Times New Roman" w:cs="Times New Roman"/>
                                  <w:sz w:val="16"/>
                                  <w:szCs w:val="16"/>
                                </w:rPr>
                                <w:t>Aukštąjį mokslą baigusių asmenų skaičius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71" name="Text Box 271"/>
                        <wps:cNvSpPr txBox="1"/>
                        <wps:spPr>
                          <a:xfrm>
                            <a:off x="6633712" y="4477108"/>
                            <a:ext cx="2448560" cy="49149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C1AB2" w:rsidRDefault="00EC1AB2" w:rsidP="00395AAB">
                              <w:pPr>
                                <w:pStyle w:val="ListParagraph"/>
                                <w:numPr>
                                  <w:ilvl w:val="0"/>
                                  <w:numId w:val="16"/>
                                </w:numPr>
                                <w:spacing w:after="0" w:line="240" w:lineRule="auto"/>
                                <w:ind w:left="714" w:hanging="357"/>
                                <w:contextualSpacing w:val="0"/>
                                <w:jc w:val="both"/>
                                <w:rPr>
                                  <w:rFonts w:ascii="Times New Roman" w:hAnsi="Times New Roman" w:cs="Times New Roman"/>
                                  <w:sz w:val="16"/>
                                  <w:szCs w:val="16"/>
                                </w:rPr>
                              </w:pPr>
                              <w:r>
                                <w:rPr>
                                  <w:rFonts w:ascii="Times New Roman" w:hAnsi="Times New Roman" w:cs="Times New Roman"/>
                                  <w:sz w:val="16"/>
                                  <w:szCs w:val="16"/>
                                </w:rPr>
                                <w:t>Tradiciškai susiformavęs požiūris į verslą, rizikos prisiėmimą</w:t>
                              </w:r>
                            </w:p>
                            <w:p w:rsidR="00EC1AB2" w:rsidRDefault="00EC1AB2" w:rsidP="00395AAB">
                              <w:pPr>
                                <w:pStyle w:val="ListParagraph"/>
                                <w:numPr>
                                  <w:ilvl w:val="0"/>
                                  <w:numId w:val="16"/>
                                </w:numPr>
                                <w:spacing w:after="0" w:line="240" w:lineRule="auto"/>
                                <w:ind w:left="714" w:hanging="357"/>
                                <w:contextualSpacing w:val="0"/>
                                <w:jc w:val="both"/>
                                <w:rPr>
                                  <w:rFonts w:ascii="Times New Roman" w:hAnsi="Times New Roman" w:cs="Times New Roman"/>
                                  <w:sz w:val="16"/>
                                  <w:szCs w:val="16"/>
                                </w:rPr>
                              </w:pPr>
                              <w:r>
                                <w:rPr>
                                  <w:rFonts w:ascii="Times New Roman" w:hAnsi="Times New Roman" w:cs="Times New Roman"/>
                                  <w:sz w:val="16"/>
                                  <w:szCs w:val="16"/>
                                </w:rPr>
                                <w:t>Antrepreneriškos savybės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72" name="Text Box 272"/>
                        <wps:cNvSpPr txBox="1"/>
                        <wps:spPr>
                          <a:xfrm>
                            <a:off x="560715" y="5779697"/>
                            <a:ext cx="2251075" cy="49974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C1AB2" w:rsidRPr="003B56C6" w:rsidRDefault="00EC1AB2" w:rsidP="00395AAB">
                              <w:pPr>
                                <w:pStyle w:val="ListParagraph"/>
                                <w:numPr>
                                  <w:ilvl w:val="0"/>
                                  <w:numId w:val="18"/>
                                </w:numPr>
                                <w:rPr>
                                  <w:rFonts w:ascii="Times New Roman" w:hAnsi="Times New Roman" w:cs="Times New Roman"/>
                                  <w:sz w:val="16"/>
                                  <w:szCs w:val="16"/>
                                </w:rPr>
                              </w:pPr>
                              <w:r>
                                <w:rPr>
                                  <w:rFonts w:ascii="Times New Roman" w:hAnsi="Times New Roman" w:cs="Times New Roman"/>
                                  <w:sz w:val="16"/>
                                  <w:szCs w:val="16"/>
                                </w:rPr>
                                <w:t>Pensijų fondų ir draudimo įmonių dalyvavimas, formuojant rizikos kapitalo investicijas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73" name="Text Box 273"/>
                        <wps:cNvSpPr txBox="1"/>
                        <wps:spPr>
                          <a:xfrm>
                            <a:off x="6927009" y="5184474"/>
                            <a:ext cx="2251075" cy="49974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C1AB2" w:rsidRPr="0070504B" w:rsidRDefault="00EC1AB2" w:rsidP="00395AAB">
                              <w:pPr>
                                <w:pStyle w:val="ListParagraph"/>
                                <w:numPr>
                                  <w:ilvl w:val="0"/>
                                  <w:numId w:val="20"/>
                                </w:numPr>
                                <w:rPr>
                                  <w:rFonts w:ascii="Times New Roman" w:hAnsi="Times New Roman" w:cs="Times New Roman"/>
                                  <w:sz w:val="16"/>
                                  <w:szCs w:val="16"/>
                                </w:rPr>
                              </w:pPr>
                              <w:r w:rsidRPr="0070504B">
                                <w:rPr>
                                  <w:rFonts w:ascii="Times New Roman" w:hAnsi="Times New Roman" w:cs="Times New Roman"/>
                                  <w:sz w:val="16"/>
                                  <w:szCs w:val="16"/>
                                </w:rPr>
                                <w:t>Aukštųjų technologijų sektorius</w:t>
                              </w:r>
                            </w:p>
                            <w:p w:rsidR="00EC1AB2" w:rsidRPr="0070504B" w:rsidRDefault="00EC1AB2" w:rsidP="00395AAB">
                              <w:pPr>
                                <w:pStyle w:val="ListParagraph"/>
                                <w:numPr>
                                  <w:ilvl w:val="0"/>
                                  <w:numId w:val="19"/>
                                </w:numPr>
                                <w:rPr>
                                  <w:rFonts w:ascii="Times New Roman" w:hAnsi="Times New Roman" w:cs="Times New Roman"/>
                                  <w:sz w:val="16"/>
                                  <w:szCs w:val="16"/>
                                </w:rPr>
                              </w:pPr>
                              <w:r w:rsidRPr="0070504B">
                                <w:rPr>
                                  <w:rFonts w:ascii="Times New Roman" w:hAnsi="Times New Roman" w:cs="Times New Roman"/>
                                  <w:sz w:val="16"/>
                                  <w:szCs w:val="16"/>
                                </w:rPr>
                                <w:t>Vidutiniškai aukštųjų technologijų sektorius</w:t>
                              </w:r>
                            </w:p>
                            <w:p w:rsidR="00EC1AB2" w:rsidRPr="003B56C6" w:rsidRDefault="00EC1AB2" w:rsidP="00395AAB">
                              <w:pPr>
                                <w:jc w:val="center"/>
                                <w:rPr>
                                  <w:rFonts w:ascii="Times New Roman" w:hAnsi="Times New Roman" w:cs="Times New Roman"/>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74" name="Text Box 274"/>
                        <wps:cNvSpPr txBox="1"/>
                        <wps:spPr>
                          <a:xfrm>
                            <a:off x="6918383" y="5762444"/>
                            <a:ext cx="2251075" cy="49974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C1AB2" w:rsidRDefault="00EC1AB2" w:rsidP="00395AAB">
                              <w:pPr>
                                <w:pStyle w:val="ListParagraph"/>
                                <w:numPr>
                                  <w:ilvl w:val="0"/>
                                  <w:numId w:val="18"/>
                                </w:numPr>
                                <w:rPr>
                                  <w:rFonts w:ascii="Times New Roman" w:hAnsi="Times New Roman" w:cs="Times New Roman"/>
                                  <w:sz w:val="16"/>
                                  <w:szCs w:val="16"/>
                                </w:rPr>
                              </w:pPr>
                              <w:r>
                                <w:rPr>
                                  <w:rFonts w:ascii="Times New Roman" w:hAnsi="Times New Roman" w:cs="Times New Roman"/>
                                  <w:sz w:val="16"/>
                                  <w:szCs w:val="16"/>
                                </w:rPr>
                                <w:t>Įmonės veiklos parengiamoji stadija</w:t>
                              </w:r>
                            </w:p>
                            <w:p w:rsidR="00EC1AB2" w:rsidRDefault="00EC1AB2" w:rsidP="00395AAB">
                              <w:pPr>
                                <w:pStyle w:val="ListParagraph"/>
                                <w:numPr>
                                  <w:ilvl w:val="0"/>
                                  <w:numId w:val="18"/>
                                </w:numPr>
                                <w:rPr>
                                  <w:rFonts w:ascii="Times New Roman" w:hAnsi="Times New Roman" w:cs="Times New Roman"/>
                                  <w:sz w:val="16"/>
                                  <w:szCs w:val="16"/>
                                </w:rPr>
                              </w:pPr>
                              <w:r>
                                <w:rPr>
                                  <w:rFonts w:ascii="Times New Roman" w:hAnsi="Times New Roman" w:cs="Times New Roman"/>
                                  <w:sz w:val="16"/>
                                  <w:szCs w:val="16"/>
                                </w:rPr>
                                <w:t>Įmonės veiklos pradžios stadija</w:t>
                              </w:r>
                            </w:p>
                            <w:p w:rsidR="00EC1AB2" w:rsidRPr="003B56C6" w:rsidRDefault="00EC1AB2" w:rsidP="00395AAB">
                              <w:pPr>
                                <w:pStyle w:val="ListParagraph"/>
                                <w:numPr>
                                  <w:ilvl w:val="0"/>
                                  <w:numId w:val="18"/>
                                </w:numPr>
                                <w:rPr>
                                  <w:rFonts w:ascii="Times New Roman" w:hAnsi="Times New Roman" w:cs="Times New Roman"/>
                                  <w:sz w:val="16"/>
                                  <w:szCs w:val="16"/>
                                </w:rPr>
                              </w:pPr>
                              <w:r>
                                <w:rPr>
                                  <w:rFonts w:ascii="Times New Roman" w:hAnsi="Times New Roman" w:cs="Times New Roman"/>
                                  <w:sz w:val="16"/>
                                  <w:szCs w:val="16"/>
                                </w:rPr>
                                <w:t>Įmonės veiklos plėtros stadija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75" name="Straight Connector 275"/>
                        <wps:cNvCnPr/>
                        <wps:spPr>
                          <a:xfrm>
                            <a:off x="4744527" y="465825"/>
                            <a:ext cx="0" cy="190152"/>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76" name="Straight Arrow Connector 276"/>
                        <wps:cNvCnPr/>
                        <wps:spPr>
                          <a:xfrm flipH="1">
                            <a:off x="3985402" y="655606"/>
                            <a:ext cx="759257" cy="0"/>
                          </a:xfrm>
                          <a:prstGeom prst="straightConnector1">
                            <a:avLst/>
                          </a:prstGeom>
                          <a:ln w="190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77" name="Straight Arrow Connector 277"/>
                        <wps:cNvCnPr/>
                        <wps:spPr>
                          <a:xfrm>
                            <a:off x="4744527" y="655607"/>
                            <a:ext cx="854315" cy="0"/>
                          </a:xfrm>
                          <a:prstGeom prst="straightConnector1">
                            <a:avLst/>
                          </a:prstGeom>
                          <a:ln w="190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78" name="Straight Connector 278"/>
                        <wps:cNvCnPr/>
                        <wps:spPr>
                          <a:xfrm>
                            <a:off x="2812210" y="767750"/>
                            <a:ext cx="0" cy="613086"/>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79" name="Straight Connector 279"/>
                        <wps:cNvCnPr/>
                        <wps:spPr>
                          <a:xfrm>
                            <a:off x="6918383" y="733245"/>
                            <a:ext cx="0" cy="613086"/>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80" name="Rectangle 280"/>
                        <wps:cNvSpPr/>
                        <wps:spPr>
                          <a:xfrm>
                            <a:off x="3088255" y="810882"/>
                            <a:ext cx="3449955" cy="1509395"/>
                          </a:xfrm>
                          <a:prstGeom prst="rect">
                            <a:avLst/>
                          </a:prstGeom>
                          <a:noFill/>
                          <a:ln w="12700">
                            <a:solidFill>
                              <a:schemeClr val="tx1"/>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1" name="Straight Arrow Connector 281"/>
                        <wps:cNvCnPr/>
                        <wps:spPr>
                          <a:xfrm>
                            <a:off x="2812209" y="1380225"/>
                            <a:ext cx="276045" cy="0"/>
                          </a:xfrm>
                          <a:prstGeom prst="straightConnector1">
                            <a:avLst/>
                          </a:prstGeom>
                          <a:ln w="190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82" name="Straight Arrow Connector 282"/>
                        <wps:cNvCnPr/>
                        <wps:spPr>
                          <a:xfrm flipH="1">
                            <a:off x="6530195" y="1345721"/>
                            <a:ext cx="380173" cy="0"/>
                          </a:xfrm>
                          <a:prstGeom prst="straightConnector1">
                            <a:avLst/>
                          </a:prstGeom>
                          <a:ln w="190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83" name="Rectangle 283"/>
                        <wps:cNvSpPr/>
                        <wps:spPr>
                          <a:xfrm>
                            <a:off x="517583" y="2380889"/>
                            <a:ext cx="8806696" cy="2639683"/>
                          </a:xfrm>
                          <a:prstGeom prst="rect">
                            <a:avLst/>
                          </a:prstGeom>
                          <a:noFill/>
                          <a:ln w="12700">
                            <a:solidFill>
                              <a:schemeClr val="tx1"/>
                            </a:solidFill>
                            <a:prstDash val="lgDashDotDo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4" name="Rectangle 284"/>
                        <wps:cNvSpPr/>
                        <wps:spPr>
                          <a:xfrm>
                            <a:off x="517583" y="5098210"/>
                            <a:ext cx="8806696" cy="1311215"/>
                          </a:xfrm>
                          <a:prstGeom prst="rect">
                            <a:avLst/>
                          </a:prstGeom>
                          <a:noFill/>
                          <a:ln w="12700">
                            <a:solidFill>
                              <a:schemeClr val="tx2">
                                <a:lumMod val="50000"/>
                              </a:schemeClr>
                            </a:solidFill>
                            <a:prstDash val="solid"/>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5" name="Straight Arrow Connector 285"/>
                        <wps:cNvCnPr/>
                        <wps:spPr>
                          <a:xfrm>
                            <a:off x="2130723" y="767751"/>
                            <a:ext cx="17253" cy="1613139"/>
                          </a:xfrm>
                          <a:prstGeom prst="straightConnector1">
                            <a:avLst/>
                          </a:prstGeom>
                          <a:ln w="190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86" name="Straight Arrow Connector 286"/>
                        <wps:cNvCnPr/>
                        <wps:spPr>
                          <a:xfrm>
                            <a:off x="7392837" y="750497"/>
                            <a:ext cx="17253" cy="1613139"/>
                          </a:xfrm>
                          <a:prstGeom prst="straightConnector1">
                            <a:avLst/>
                          </a:prstGeom>
                          <a:ln w="190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87" name="Straight Connector 287"/>
                        <wps:cNvCnPr/>
                        <wps:spPr>
                          <a:xfrm flipH="1">
                            <a:off x="-2" y="655607"/>
                            <a:ext cx="560716"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88" name="Straight Connector 288"/>
                        <wps:cNvCnPr/>
                        <wps:spPr>
                          <a:xfrm flipH="1">
                            <a:off x="9135372" y="646981"/>
                            <a:ext cx="560716"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89" name="Straight Connector 289"/>
                        <wps:cNvCnPr/>
                        <wps:spPr>
                          <a:xfrm>
                            <a:off x="-1" y="655607"/>
                            <a:ext cx="51758" cy="5045782"/>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90" name="Straight Connector 290"/>
                        <wps:cNvCnPr/>
                        <wps:spPr>
                          <a:xfrm>
                            <a:off x="9696090" y="646981"/>
                            <a:ext cx="51435" cy="504571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91" name="Straight Arrow Connector 291"/>
                        <wps:cNvCnPr/>
                        <wps:spPr>
                          <a:xfrm>
                            <a:off x="51758" y="5693435"/>
                            <a:ext cx="466149" cy="0"/>
                          </a:xfrm>
                          <a:prstGeom prst="straightConnector1">
                            <a:avLst/>
                          </a:prstGeom>
                          <a:ln w="190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92" name="Straight Arrow Connector 292"/>
                        <wps:cNvCnPr/>
                        <wps:spPr>
                          <a:xfrm rot="10800000" flipV="1">
                            <a:off x="9282022" y="5684807"/>
                            <a:ext cx="466149" cy="0"/>
                          </a:xfrm>
                          <a:prstGeom prst="straightConnector1">
                            <a:avLst/>
                          </a:prstGeom>
                          <a:ln w="190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93" name="Straight Connector 293"/>
                        <wps:cNvCnPr/>
                        <wps:spPr>
                          <a:xfrm>
                            <a:off x="4744528" y="1155941"/>
                            <a:ext cx="0" cy="77637"/>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94" name="Straight Connector 294"/>
                        <wps:cNvCnPr/>
                        <wps:spPr>
                          <a:xfrm>
                            <a:off x="4744528" y="1889185"/>
                            <a:ext cx="0" cy="9489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95" name="Straight Connector 295"/>
                        <wps:cNvCnPr/>
                        <wps:spPr>
                          <a:xfrm flipH="1">
                            <a:off x="3010618" y="2613804"/>
                            <a:ext cx="173871"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96" name="Straight Connector 296"/>
                        <wps:cNvCnPr/>
                        <wps:spPr>
                          <a:xfrm flipH="1">
                            <a:off x="3010618" y="3148641"/>
                            <a:ext cx="163902"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97" name="Straight Connector 297"/>
                        <wps:cNvCnPr/>
                        <wps:spPr>
                          <a:xfrm flipH="1">
                            <a:off x="3010618" y="3700732"/>
                            <a:ext cx="16383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98" name="Straight Connector 298"/>
                        <wps:cNvCnPr/>
                        <wps:spPr>
                          <a:xfrm flipH="1">
                            <a:off x="3019244" y="4175186"/>
                            <a:ext cx="16383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99" name="Straight Connector 299"/>
                        <wps:cNvCnPr/>
                        <wps:spPr>
                          <a:xfrm flipH="1">
                            <a:off x="3010618" y="4701397"/>
                            <a:ext cx="16383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00" name="Straight Connector 300"/>
                        <wps:cNvCnPr/>
                        <wps:spPr>
                          <a:xfrm flipH="1">
                            <a:off x="6469811" y="2613804"/>
                            <a:ext cx="173871"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01" name="Straight Connector 301"/>
                        <wps:cNvCnPr/>
                        <wps:spPr>
                          <a:xfrm flipH="1">
                            <a:off x="6469810" y="3105509"/>
                            <a:ext cx="17335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02" name="Straight Connector 302"/>
                        <wps:cNvCnPr/>
                        <wps:spPr>
                          <a:xfrm flipH="1">
                            <a:off x="6469810" y="3700732"/>
                            <a:ext cx="17335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03" name="Straight Connector 303"/>
                        <wps:cNvCnPr/>
                        <wps:spPr>
                          <a:xfrm flipH="1">
                            <a:off x="6469810" y="4175185"/>
                            <a:ext cx="17335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04" name="Straight Connector 304"/>
                        <wps:cNvCnPr/>
                        <wps:spPr>
                          <a:xfrm flipH="1">
                            <a:off x="6469810" y="4701397"/>
                            <a:ext cx="17335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05" name="Straight Connector 305"/>
                        <wps:cNvCnPr/>
                        <wps:spPr>
                          <a:xfrm flipH="1">
                            <a:off x="2812211" y="5434641"/>
                            <a:ext cx="12077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06" name="Straight Connector 306"/>
                        <wps:cNvCnPr/>
                        <wps:spPr>
                          <a:xfrm flipH="1">
                            <a:off x="2812211" y="6012611"/>
                            <a:ext cx="12065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07" name="Straight Connector 307"/>
                        <wps:cNvCnPr/>
                        <wps:spPr>
                          <a:xfrm flipH="1">
                            <a:off x="6806241" y="5434641"/>
                            <a:ext cx="12065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08" name="Straight Connector 308"/>
                        <wps:cNvCnPr/>
                        <wps:spPr>
                          <a:xfrm flipH="1">
                            <a:off x="6797615" y="5969479"/>
                            <a:ext cx="12065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Group 244" o:spid="_x0000_s1074" style="position:absolute;left:0;text-align:left;margin-left:-135.3pt;margin-top:127.8pt;width:742.05pt;height:488.65pt;rotation:-90;z-index:251958272;mso-width-relative:margin;mso-height-relative:margin" coordorigin="" coordsize="97481,640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">
                <v:shapetype id="_x0000_t202" coordsize="21600,21600" o:spt="202" path="m,l,21600r21600,l21600,xe">
                  <v:stroke joinstyle="miter"/>
                  <v:path gradientshapeok="t" o:connecttype="rect"/>
                </v:shapetype>
                <v:shape id="Text Box 245" o:spid="_x0000_s1075" type="#_x0000_t202" style="position:absolute;left:27431;width:40024;height:46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ggy8UA&#10;AADcAAAADwAAAGRycy9kb3ducmV2LnhtbESPT4vCMBTE78J+h/AWvGla/yxrNYqKgu5tXWGvj+Zt&#10;W7Z5KUnU6qc3guBxmJnfMLNFa2pxJucrywrSfgKCOLe64kLB8Wfb+wThA7LG2jIpuJKHxfytM8NM&#10;2wt/0/kQChEh7DNUUIbQZFL6vCSDvm8b4uj9WWcwROkKqR1eItzUcpAkH9JgxXGhxIbWJeX/h5NR&#10;sFl9TYb767453orbqA7D9NeNU6W67+1yCiJQG17hZ3unFQxGY3iciUdAz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uCDLxQAAANwAAAAPAAAAAAAAAAAAAAAAAJgCAABkcnMv&#10;ZG93bnJldi54bWxQSwUGAAAAAAQABAD1AAAAigMAAAAA&#10;" fillcolor="white [3201]" strokeweight="1.5pt">
                  <v:textbox>
                    <w:txbxContent>
                      <w:p w:rsidR="00EC1AB2" w:rsidRPr="00F20288" w:rsidRDefault="00EC1AB2" w:rsidP="00395AAB">
                        <w:pPr>
                          <w:jc w:val="center"/>
                          <w:rPr>
                            <w:rFonts w:ascii="Times New Roman" w:hAnsi="Times New Roman" w:cs="Times New Roman"/>
                            <w:b/>
                            <w:sz w:val="24"/>
                            <w:szCs w:val="24"/>
                          </w:rPr>
                        </w:pPr>
                        <w:r w:rsidRPr="00F20288">
                          <w:rPr>
                            <w:rFonts w:ascii="Times New Roman" w:hAnsi="Times New Roman" w:cs="Times New Roman"/>
                            <w:b/>
                            <w:sz w:val="24"/>
                            <w:szCs w:val="24"/>
                          </w:rPr>
                          <w:t>RIZIKOS KAPITALO SEKTORIAUS PLĖTROS VEIKNSIAI</w:t>
                        </w:r>
                      </w:p>
                    </w:txbxContent>
                  </v:textbox>
                </v:shape>
                <v:shape id="Text Box 246" o:spid="_x0000_s1076" type="#_x0000_t202" style="position:absolute;left:5607;top:5175;width:34245;height:24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gZzsYA&#10;AADcAAAADwAAAGRycy9kb3ducmV2LnhtbESPQWsCMRSE74X+h/CE3mpWKWJXo0ipUIoeXC3o7bF5&#10;brbdvKxJquu/N0Khx2FmvmGm88424kw+1I4VDPoZCOLS6ZorBbvt8nkMIkRkjY1jUnClAPPZ48MU&#10;c+0uvKFzESuRIBxyVGBibHMpQ2nIYui7ljh5R+ctxiR9JbXHS4LbRg6zbCQt1pwWDLb0Zqj8KX6t&#10;gqV/L+rdwPjT6+pzfzh9bdft6lupp163mICI1MX/8F/7QysYvozgfiYdATm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XgZzsYAAADcAAAADwAAAAAAAAAAAAAAAACYAgAAZHJz&#10;L2Rvd25yZXYueG1sUEsFBgAAAAAEAAQA9QAAAIsDAAAAAA==&#10;" filled="f" strokeweight="1.5pt">
                  <v:textbox>
                    <w:txbxContent>
                      <w:p w:rsidR="00EC1AB2" w:rsidRPr="00F20288" w:rsidRDefault="00EC1AB2" w:rsidP="00395AAB">
                        <w:pPr>
                          <w:jc w:val="center"/>
                          <w:rPr>
                            <w:rFonts w:ascii="Times New Roman" w:eastAsia="Batang" w:hAnsi="Times New Roman" w:cs="Times New Roman"/>
                            <w:b/>
                            <w:color w:val="000000" w:themeColor="text1"/>
                            <w:sz w:val="20"/>
                            <w:szCs w:val="20"/>
                          </w:rPr>
                        </w:pPr>
                        <w:r w:rsidRPr="00F20288">
                          <w:rPr>
                            <w:rFonts w:ascii="Times New Roman" w:eastAsia="Batang" w:hAnsi="Times New Roman" w:cs="Times New Roman"/>
                            <w:b/>
                            <w:color w:val="000000" w:themeColor="text1"/>
                            <w:sz w:val="20"/>
                            <w:szCs w:val="20"/>
                          </w:rPr>
                          <w:t>PASIŪLOS VEIKSNIAI</w:t>
                        </w:r>
                      </w:p>
                    </w:txbxContent>
                  </v:textbox>
                </v:shape>
                <v:shape id="Text Box 247" o:spid="_x0000_s1077" type="#_x0000_t202" style="position:absolute;left:55985;top:5175;width:35363;height:22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S8VcgA&#10;AADcAAAADwAAAGRycy9kb3ducmV2LnhtbESPzWrDMBCE74W+g9hCb42cUPrjWA6hNFBKeqiTQHJb&#10;rI3lxFo5kpq4b18VCj0OM/MNU8wG24kz+dA6VjAeZSCIa6dbbhSsV4u7JxAhImvsHJOCbwowK6+v&#10;Csy1u/AnnavYiAThkKMCE2OfSxlqQxbDyPXEyds7bzEm6RupPV4S3HZykmUP0mLLacFgTy+G6mP1&#10;ZRUs/GvVrsfGn56X79vdabP66JcHpW5vhvkURKQh/of/2m9aweT+EX7PpCMgy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aNLxVyAAAANwAAAAPAAAAAAAAAAAAAAAAAJgCAABk&#10;cnMvZG93bnJldi54bWxQSwUGAAAAAAQABAD1AAAAjQMAAAAA&#10;" filled="f" strokeweight="1.5pt">
                  <v:textbox>
                    <w:txbxContent>
                      <w:p w:rsidR="00EC1AB2" w:rsidRPr="00F20288" w:rsidRDefault="00EC1AB2" w:rsidP="00395AAB">
                        <w:pPr>
                          <w:jc w:val="center"/>
                          <w:rPr>
                            <w:rFonts w:ascii="Times New Roman" w:eastAsia="Batang" w:hAnsi="Times New Roman" w:cs="Times New Roman"/>
                            <w:b/>
                            <w:color w:val="000000" w:themeColor="text1"/>
                            <w:sz w:val="20"/>
                            <w:szCs w:val="20"/>
                          </w:rPr>
                        </w:pPr>
                        <w:r w:rsidRPr="00F20288">
                          <w:rPr>
                            <w:rFonts w:ascii="Times New Roman" w:eastAsia="Batang" w:hAnsi="Times New Roman" w:cs="Times New Roman"/>
                            <w:b/>
                            <w:color w:val="000000" w:themeColor="text1"/>
                            <w:sz w:val="20"/>
                            <w:szCs w:val="20"/>
                          </w:rPr>
                          <w:t>PAKLAUSOS VEIKSNIAI</w:t>
                        </w:r>
                      </w:p>
                    </w:txbxContent>
                  </v:textbox>
                </v:shape>
                <v:shape id="Text Box 248" o:spid="_x0000_s1078" type="#_x0000_t202" style="position:absolute;left:31831;top:8712;width:32779;height:28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soJ8MA&#10;AADcAAAADwAAAGRycy9kb3ducmV2LnhtbERPTWsCMRC9F/wPYQRvNauU0q5GEVEoxR66Kuht2Iyb&#10;1c1kTaJu/31zKPT4eN/TeWcbcScfascKRsMMBHHpdM2Vgt12/fwGIkRkjY1jUvBDAeaz3tMUc+0e&#10;/E33IlYihXDIUYGJsc2lDKUhi2HoWuLEnZy3GBP0ldQeHyncNnKcZa/SYs2pwWBLS0PlpbhZBWu/&#10;KurdyPjr++bzcLzut1/t5qzUoN8tJiAidfFf/Of+0ArGL2ltOpOOgJ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6soJ8MAAADcAAAADwAAAAAAAAAAAAAAAACYAgAAZHJzL2Rv&#10;d25yZXYueG1sUEsFBgAAAAAEAAQA9QAAAIgDAAAAAA==&#10;" filled="f" strokeweight="1.5pt">
                  <v:textbox>
                    <w:txbxContent>
                      <w:p w:rsidR="00EC1AB2" w:rsidRPr="00F20288" w:rsidRDefault="00EC1AB2" w:rsidP="00395AAB">
                        <w:pPr>
                          <w:rPr>
                            <w:rFonts w:ascii="Times New Roman" w:hAnsi="Times New Roman" w:cs="Times New Roman"/>
                            <w:b/>
                            <w:sz w:val="20"/>
                            <w:szCs w:val="20"/>
                          </w:rPr>
                        </w:pPr>
                        <w:r>
                          <w:rPr>
                            <w:rFonts w:ascii="Times New Roman" w:hAnsi="Times New Roman" w:cs="Times New Roman"/>
                            <w:b/>
                            <w:sz w:val="20"/>
                            <w:szCs w:val="20"/>
                          </w:rPr>
                          <w:t>Teisinė</w:t>
                        </w:r>
                        <w:r w:rsidRPr="00F20288">
                          <w:rPr>
                            <w:rFonts w:ascii="Times New Roman" w:hAnsi="Times New Roman" w:cs="Times New Roman"/>
                            <w:b/>
                            <w:sz w:val="20"/>
                            <w:szCs w:val="20"/>
                          </w:rPr>
                          <w:t>s ir administracin</w:t>
                        </w:r>
                        <w:r>
                          <w:rPr>
                            <w:rFonts w:ascii="Times New Roman" w:hAnsi="Times New Roman" w:cs="Times New Roman"/>
                            <w:b/>
                            <w:sz w:val="20"/>
                            <w:szCs w:val="20"/>
                          </w:rPr>
                          <w:t>ė</w:t>
                        </w:r>
                        <w:r w:rsidRPr="00F20288">
                          <w:rPr>
                            <w:rFonts w:ascii="Times New Roman" w:hAnsi="Times New Roman" w:cs="Times New Roman"/>
                            <w:b/>
                            <w:sz w:val="20"/>
                            <w:szCs w:val="20"/>
                          </w:rPr>
                          <w:t xml:space="preserve">s sistemos </w:t>
                        </w:r>
                        <w:r>
                          <w:rPr>
                            <w:rFonts w:ascii="Times New Roman" w:hAnsi="Times New Roman" w:cs="Times New Roman"/>
                            <w:b/>
                            <w:sz w:val="20"/>
                            <w:szCs w:val="20"/>
                          </w:rPr>
                          <w:t>sta</w:t>
                        </w:r>
                        <w:r w:rsidRPr="00F20288">
                          <w:rPr>
                            <w:rFonts w:ascii="Times New Roman" w:hAnsi="Times New Roman" w:cs="Times New Roman"/>
                            <w:b/>
                            <w:sz w:val="20"/>
                            <w:szCs w:val="20"/>
                          </w:rPr>
                          <w:t>bilumas</w:t>
                        </w:r>
                      </w:p>
                      <w:p w:rsidR="00EC1AB2" w:rsidRDefault="00EC1AB2" w:rsidP="00395AAB">
                        <w:r>
                          <w:rPr>
                            <w:rFonts w:ascii="Times New Roman" w:hAnsi="Times New Roman" w:cs="Times New Roman"/>
                          </w:rPr>
                          <w:t>Teisinės ir administracinės sistemos stabilumas</w:t>
                        </w:r>
                      </w:p>
                    </w:txbxContent>
                  </v:textbox>
                </v:shape>
                <v:shape id="Text Box 249" o:spid="_x0000_s1079" type="#_x0000_t202" style="position:absolute;left:31831;top:16476;width:32779;height:24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eNvMYA&#10;AADcAAAADwAAAGRycy9kb3ducmV2LnhtbESPQWsCMRSE74X+h/AKvdWsIlK3RpFSQcQeuirY22Pz&#10;utm6eVmTVLf/3giCx2FmvmEms8424kQ+1I4V9HsZCOLS6ZorBdvN4uUVRIjIGhvHpOCfAsymjw8T&#10;zLU78xediliJBOGQowITY5tLGUpDFkPPtcTJ+3HeYkzSV1J7PCe4beQgy0bSYs1pwWBL74bKQ/Fn&#10;FSz8R1Fv+8Yfx+vV/vu423y261+lnp+6+RuISF28h2/tpVYwGI7heiYdATm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OeNvMYAAADcAAAADwAAAAAAAAAAAAAAAACYAgAAZHJz&#10;L2Rvd25yZXYueG1sUEsFBgAAAAAEAAQA9QAAAIsDAAAAAA==&#10;" filled="f" strokeweight="1.5pt">
                  <v:textbox>
                    <w:txbxContent>
                      <w:p w:rsidR="00EC1AB2" w:rsidRPr="00F20288" w:rsidRDefault="00EC1AB2" w:rsidP="00395AAB">
                        <w:pPr>
                          <w:jc w:val="center"/>
                          <w:rPr>
                            <w:rFonts w:ascii="Times New Roman" w:hAnsi="Times New Roman" w:cs="Times New Roman"/>
                            <w:b/>
                            <w:sz w:val="20"/>
                            <w:szCs w:val="20"/>
                          </w:rPr>
                        </w:pPr>
                        <w:r w:rsidRPr="00F20288">
                          <w:rPr>
                            <w:rFonts w:ascii="Times New Roman" w:hAnsi="Times New Roman" w:cs="Times New Roman"/>
                            <w:b/>
                            <w:sz w:val="20"/>
                            <w:szCs w:val="20"/>
                          </w:rPr>
                          <w:t>Makroekonominis stabilumas</w:t>
                        </w:r>
                      </w:p>
                      <w:p w:rsidR="00EC1AB2" w:rsidRDefault="00EC1AB2" w:rsidP="00395AAB">
                        <w:r>
                          <w:rPr>
                            <w:rFonts w:ascii="Times New Roman" w:hAnsi="Times New Roman" w:cs="Times New Roman"/>
                          </w:rPr>
                          <w:t>Teisinės ir administracinės sistemos stabilumas</w:t>
                        </w:r>
                      </w:p>
                    </w:txbxContent>
                  </v:textbox>
                </v:shape>
                <v:shape id="Text Box 250" o:spid="_x0000_s1080" type="#_x0000_t202" style="position:absolute;left:31831;top:12335;width:32760;height:37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3tpi8MA&#10;AADcAAAADwAAAGRycy9kb3ducmV2LnhtbERPTWsCMRC9C/6HMEJvNVtBW1ajFFGoIIXaUj2Om3Gz&#10;mEy2m3Rd++ubg+Dx8b5ni85Z0VITKs8KnoYZCOLC64pLBV+f68cXECEia7SeScGVAizm/d4Mc+0v&#10;/EHtLpYihXDIUYGJsc6lDIUhh2Hoa+LEnXzjMCbYlFI3eEnhzspRlk2kw4pTg8GaloaK8+7XKdh+&#10;739W6/dDtqejrcatfTabv6NSD4PudQoiUhfv4pv7TSsYjdP8dCYdATn/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3tpi8MAAADcAAAADwAAAAAAAAAAAAAAAACYAgAAZHJzL2Rv&#10;d25yZXYueG1sUEsFBgAAAAAEAAQA9QAAAIgDAAAAAA==&#10;" filled="f" strokeweight=".5pt">
                  <v:textbox>
                    <w:txbxContent>
                      <w:p w:rsidR="00EC1AB2" w:rsidRPr="003556DD" w:rsidRDefault="00EC1AB2" w:rsidP="00395AAB">
                        <w:pPr>
                          <w:pStyle w:val="ListParagraph"/>
                          <w:numPr>
                            <w:ilvl w:val="0"/>
                            <w:numId w:val="16"/>
                          </w:numPr>
                          <w:spacing w:after="0" w:line="240" w:lineRule="auto"/>
                          <w:ind w:left="714" w:hanging="357"/>
                          <w:rPr>
                            <w:rFonts w:ascii="Times New Roman" w:hAnsi="Times New Roman" w:cs="Times New Roman"/>
                            <w:sz w:val="16"/>
                            <w:szCs w:val="16"/>
                          </w:rPr>
                        </w:pPr>
                        <w:r w:rsidRPr="003556DD">
                          <w:rPr>
                            <w:rFonts w:ascii="Times New Roman" w:hAnsi="Times New Roman" w:cs="Times New Roman"/>
                            <w:sz w:val="16"/>
                            <w:szCs w:val="16"/>
                          </w:rPr>
                          <w:t>Administraciniai barjerai</w:t>
                        </w:r>
                      </w:p>
                      <w:p w:rsidR="00EC1AB2" w:rsidRPr="003556DD" w:rsidRDefault="00EC1AB2" w:rsidP="00395AAB">
                        <w:pPr>
                          <w:pStyle w:val="ListParagraph"/>
                          <w:numPr>
                            <w:ilvl w:val="0"/>
                            <w:numId w:val="16"/>
                          </w:numPr>
                          <w:spacing w:after="0" w:line="240" w:lineRule="auto"/>
                          <w:ind w:left="714" w:hanging="357"/>
                          <w:rPr>
                            <w:rFonts w:ascii="Times New Roman" w:hAnsi="Times New Roman" w:cs="Times New Roman"/>
                            <w:sz w:val="16"/>
                            <w:szCs w:val="16"/>
                          </w:rPr>
                        </w:pPr>
                        <w:r w:rsidRPr="003556DD">
                          <w:rPr>
                            <w:rFonts w:ascii="Times New Roman" w:hAnsi="Times New Roman" w:cs="Times New Roman"/>
                            <w:sz w:val="16"/>
                            <w:szCs w:val="16"/>
                          </w:rPr>
                          <w:t>Biurokratijos lygis</w:t>
                        </w:r>
                      </w:p>
                    </w:txbxContent>
                  </v:textbox>
                </v:shape>
                <v:shape id="Text Box 251" o:spid="_x0000_s1081" type="#_x0000_t202" style="position:absolute;left:31831;top:19840;width:32760;height:26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fMEMYA&#10;AADcAAAADwAAAGRycy9kb3ducmV2LnhtbESPQWsCMRSE7wX/Q3iF3mpWwVZWoxSpUKEI1VI9PjfP&#10;zWLyst3Ede2vb4RCj8PMfMNM552zoqUmVJ4VDPoZCOLC64pLBZ/b5eMYRIjIGq1nUnClAPNZ726K&#10;ufYX/qB2E0uRIBxyVGBirHMpQ2HIYej7mjh5R984jEk2pdQNXhLcWTnMsifpsOK0YLCmhaHitDk7&#10;Be9fu+/X5Xqf7ehgq1Frn83q56DUw333MgERqYv/4b/2m1YwHA3gdiYdATn7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DfMEMYAAADcAAAADwAAAAAAAAAAAAAAAACYAgAAZHJz&#10;L2Rvd25yZXYueG1sUEsFBgAAAAAEAAQA9QAAAIsDAAAAAA==&#10;" filled="f" strokeweight=".5pt">
                  <v:textbox>
                    <w:txbxContent>
                      <w:p w:rsidR="00EC1AB2" w:rsidRPr="003556DD" w:rsidRDefault="00EC1AB2" w:rsidP="00395AAB">
                        <w:pPr>
                          <w:pStyle w:val="ListParagraph"/>
                          <w:numPr>
                            <w:ilvl w:val="0"/>
                            <w:numId w:val="16"/>
                          </w:numPr>
                          <w:rPr>
                            <w:rFonts w:ascii="Times New Roman" w:hAnsi="Times New Roman" w:cs="Times New Roman"/>
                            <w:sz w:val="16"/>
                            <w:szCs w:val="16"/>
                          </w:rPr>
                        </w:pPr>
                        <w:r w:rsidRPr="003556DD">
                          <w:rPr>
                            <w:rFonts w:ascii="Times New Roman" w:hAnsi="Times New Roman" w:cs="Times New Roman"/>
                            <w:sz w:val="16"/>
                            <w:szCs w:val="16"/>
                          </w:rPr>
                          <w:t>Stabilus ekonomikos augimas</w:t>
                        </w:r>
                      </w:p>
                    </w:txbxContent>
                  </v:textbox>
                </v:shape>
                <v:shape id="Text Box 252" o:spid="_x0000_s1082" type="#_x0000_t202" style="position:absolute;left:31831;top:24240;width:32779;height:39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guYsUA&#10;AADcAAAADwAAAGRycy9kb3ducmV2LnhtbESPQWvCQBSE7wX/w/IK3uomsRaNrmJFQb1VBa+P7DMJ&#10;zb4Nu1uN/vquUOhxmJlvmNmiM424kvO1ZQXpIAFBXFhdc6ngdNy8jUH4gKyxsUwK7uRhMe+9zDDX&#10;9sZfdD2EUkQI+xwVVCG0uZS+qMigH9iWOHoX6wyGKF0ptcNbhJtGZknyIQ3WHBcqbGlVUfF9+DEK&#10;1p/7yXB337WnR/l4b8IwPbtRqlT/tVtOQQTqwn/4r73VCrJRBs8z8QjI+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iC5ixQAAANwAAAAPAAAAAAAAAAAAAAAAAJgCAABkcnMv&#10;ZG93bnJldi54bWxQSwUGAAAAAAQABAD1AAAAigMAAAAA&#10;" fillcolor="white [3201]" strokeweight="1.5pt">
                  <v:textbox>
                    <w:txbxContent>
                      <w:p w:rsidR="00EC1AB2" w:rsidRPr="00F20288" w:rsidRDefault="00EC1AB2" w:rsidP="00395AAB">
                        <w:pPr>
                          <w:jc w:val="center"/>
                          <w:rPr>
                            <w:rFonts w:ascii="Times New Roman" w:hAnsi="Times New Roman" w:cs="Times New Roman"/>
                            <w:b/>
                            <w:sz w:val="20"/>
                            <w:szCs w:val="20"/>
                          </w:rPr>
                        </w:pPr>
                        <w:r w:rsidRPr="00F20288">
                          <w:rPr>
                            <w:rFonts w:ascii="Times New Roman" w:hAnsi="Times New Roman" w:cs="Times New Roman"/>
                            <w:b/>
                            <w:sz w:val="20"/>
                            <w:szCs w:val="20"/>
                          </w:rPr>
                          <w:t>Finansų sistemos išsivystymo lygis</w:t>
                        </w:r>
                      </w:p>
                    </w:txbxContent>
                  </v:textbox>
                </v:shape>
                <v:shape id="Text Box 253" o:spid="_x0000_s1083" type="#_x0000_t202" style="position:absolute;left:30882;top:28898;width:32779;height:48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SL+cUA&#10;AADcAAAADwAAAGRycy9kb3ducmV2LnhtbESPQWvCQBSE7wX/w/IK3uomphaNrmJFQb1VBa+P7DMJ&#10;zb4Nu1uN/vquUOhxmJlvmNmiM424kvO1ZQXpIAFBXFhdc6ngdNy8jUH4gKyxsUwK7uRhMe+9zDDX&#10;9sZfdD2EUkQI+xwVVCG0uZS+qMigH9iWOHoX6wyGKF0ptcNbhJtGDpPkQxqsOS5U2NKqouL78GMU&#10;rD/3k2x337WnR/l4b0KWnt0oVar/2i2nIAJ14T/8195qBcNRBs8z8QjI+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xIv5xQAAANwAAAAPAAAAAAAAAAAAAAAAAJgCAABkcnMv&#10;ZG93bnJldi54bWxQSwUGAAAAAAQABAD1AAAAigMAAAAA&#10;" fillcolor="white [3201]" strokeweight="1.5pt">
                  <v:textbox>
                    <w:txbxContent>
                      <w:p w:rsidR="00EC1AB2" w:rsidRPr="00F20288" w:rsidRDefault="00EC1AB2" w:rsidP="00395AAB">
                        <w:pPr>
                          <w:jc w:val="center"/>
                          <w:rPr>
                            <w:rFonts w:ascii="Times New Roman" w:hAnsi="Times New Roman" w:cs="Times New Roman"/>
                            <w:b/>
                            <w:sz w:val="20"/>
                            <w:szCs w:val="20"/>
                          </w:rPr>
                        </w:pPr>
                        <w:r>
                          <w:rPr>
                            <w:rFonts w:ascii="Times New Roman" w:hAnsi="Times New Roman" w:cs="Times New Roman"/>
                            <w:b/>
                            <w:sz w:val="20"/>
                            <w:szCs w:val="20"/>
                          </w:rPr>
                          <w:t>Ekonominis inovacinis-technologinis šalies potencialas</w:t>
                        </w:r>
                      </w:p>
                    </w:txbxContent>
                  </v:textbox>
                </v:shape>
                <v:shape id="Text Box 254" o:spid="_x0000_s1084" type="#_x0000_t202" style="position:absolute;left:31831;top:34591;width:32779;height:43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0TjcUA&#10;AADcAAAADwAAAGRycy9kb3ducmV2LnhtbESPT4vCMBTE78J+h/AWvGla/yxrNYqKgu5tXWGvj+Zt&#10;W7Z5KUnU6qc3guBxmJnfMLNFa2pxJucrywrSfgKCOLe64kLB8Wfb+wThA7LG2jIpuJKHxfytM8NM&#10;2wt/0/kQChEh7DNUUIbQZFL6vCSDvm8b4uj9WWcwROkKqR1eItzUcpAkH9JgxXGhxIbWJeX/h5NR&#10;sFl9TYb767453orbqA7D9NeNU6W67+1yCiJQG17hZ3unFQzGI3iciUdAz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LRONxQAAANwAAAAPAAAAAAAAAAAAAAAAAJgCAABkcnMv&#10;ZG93bnJldi54bWxQSwUGAAAAAAQABAD1AAAAigMAAAAA&#10;" fillcolor="white [3201]" strokeweight="1.5pt">
                  <v:textbox>
                    <w:txbxContent>
                      <w:p w:rsidR="00EC1AB2" w:rsidRPr="00F20288" w:rsidRDefault="00EC1AB2" w:rsidP="00395AAB">
                        <w:pPr>
                          <w:jc w:val="center"/>
                          <w:rPr>
                            <w:rFonts w:ascii="Times New Roman" w:hAnsi="Times New Roman" w:cs="Times New Roman"/>
                            <w:b/>
                            <w:sz w:val="20"/>
                            <w:szCs w:val="20"/>
                          </w:rPr>
                        </w:pPr>
                        <w:r>
                          <w:rPr>
                            <w:rFonts w:ascii="Times New Roman" w:hAnsi="Times New Roman" w:cs="Times New Roman"/>
                            <w:b/>
                            <w:sz w:val="20"/>
                            <w:szCs w:val="20"/>
                          </w:rPr>
                          <w:t>Mokesčių sistemos patrauklumas</w:t>
                        </w:r>
                      </w:p>
                    </w:txbxContent>
                  </v:textbox>
                </v:shape>
                <v:shape id="Text Box 255" o:spid="_x0000_s1085" type="#_x0000_t202" style="position:absolute;left:31831;top:39767;width:32779;height:39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G2FsUA&#10;AADcAAAADwAAAGRycy9kb3ducmV2LnhtbESPQWvCQBSE74L/YXlCb3UTNVJTV7GlBfWmFbw+sq9J&#10;MPs27G41+utdoeBxmJlvmPmyM404k/O1ZQXpMAFBXFhdc6ng8PP9+gbCB2SNjWVScCUPy0W/N8dc&#10;2wvv6LwPpYgQ9jkqqEJocyl9UZFBP7QtcfR+rTMYonSl1A4vEW4aOUqSqTRYc1yosKXPiorT/s8o&#10;+PrYzsab66Y93MrbpAnj9OiyVKmXQbd6BxGoC8/wf3utFYyyDB5n4hGQi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YbYWxQAAANwAAAAPAAAAAAAAAAAAAAAAAJgCAABkcnMv&#10;ZG93bnJldi54bWxQSwUGAAAAAAQABAD1AAAAigMAAAAA&#10;" fillcolor="white [3201]" strokeweight="1.5pt">
                  <v:textbox>
                    <w:txbxContent>
                      <w:p w:rsidR="00EC1AB2" w:rsidRPr="00F20288" w:rsidRDefault="00EC1AB2" w:rsidP="00395AAB">
                        <w:pPr>
                          <w:jc w:val="center"/>
                          <w:rPr>
                            <w:rFonts w:ascii="Times New Roman" w:hAnsi="Times New Roman" w:cs="Times New Roman"/>
                            <w:b/>
                            <w:sz w:val="20"/>
                            <w:szCs w:val="20"/>
                          </w:rPr>
                        </w:pPr>
                        <w:r>
                          <w:rPr>
                            <w:rFonts w:ascii="Times New Roman" w:hAnsi="Times New Roman" w:cs="Times New Roman"/>
                            <w:b/>
                            <w:sz w:val="20"/>
                            <w:szCs w:val="20"/>
                          </w:rPr>
                          <w:t>Žmogiškojo kapitalo potencialas</w:t>
                        </w:r>
                      </w:p>
                    </w:txbxContent>
                  </v:textbox>
                </v:shape>
                <v:shape id="Text Box 256" o:spid="_x0000_s1086" type="#_x0000_t202" style="position:absolute;left:31831;top:44771;width:32779;height:4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MoYcYA&#10;AADcAAAADwAAAGRycy9kb3ducmV2LnhtbESPT2vCQBTE70K/w/IKvekm/gltmo3U0kL1phV6fWRf&#10;k9Ds27C7avTTuwXB4zAzv2GK5WA6cSTnW8sK0kkCgriyuuVawf77c/wMwgdkjZ1lUnAmD8vyYVRg&#10;ru2Jt3TchVpECPscFTQh9LmUvmrIoJ/Ynjh6v9YZDFG6WmqHpwg3nZwmSSYNthwXGuzpvaHqb3cw&#10;Cj5Wm5fZ+rzu95f6Mu/CLP1xi1Spp8fh7RVEoCHcw7f2l1YwXWTwfyYeAVl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bMoYcYAAADcAAAADwAAAAAAAAAAAAAAAACYAgAAZHJz&#10;L2Rvd25yZXYueG1sUEsFBgAAAAAEAAQA9QAAAIsDAAAAAA==&#10;" fillcolor="white [3201]" strokeweight="1.5pt">
                  <v:textbox>
                    <w:txbxContent>
                      <w:p w:rsidR="00EC1AB2" w:rsidRPr="00F20288" w:rsidRDefault="00EC1AB2" w:rsidP="00395AAB">
                        <w:pPr>
                          <w:jc w:val="center"/>
                          <w:rPr>
                            <w:rFonts w:ascii="Times New Roman" w:hAnsi="Times New Roman" w:cs="Times New Roman"/>
                            <w:b/>
                            <w:sz w:val="20"/>
                            <w:szCs w:val="20"/>
                          </w:rPr>
                        </w:pPr>
                        <w:r>
                          <w:rPr>
                            <w:rFonts w:ascii="Times New Roman" w:hAnsi="Times New Roman" w:cs="Times New Roman"/>
                            <w:b/>
                            <w:sz w:val="20"/>
                            <w:szCs w:val="20"/>
                          </w:rPr>
                          <w:t>Antrepreneriškos kultūros lygis</w:t>
                        </w:r>
                      </w:p>
                    </w:txbxContent>
                  </v:textbox>
                </v:shape>
                <v:shape id="Text Box 257" o:spid="_x0000_s1087" type="#_x0000_t202" style="position:absolute;left:29329;top:52017;width:18091;height:49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N+sYA&#10;AADcAAAADwAAAGRycy9kb3ducmV2LnhtbESPQWvCQBSE70L/w/IK3uomWm2NbkJbWqi9aYVeH9ln&#10;Esy+DburRn+9KxQ8DjPzDbMsetOKIznfWFaQjhIQxKXVDVcKtr9fT68gfEDW2FomBWfyUOQPgyVm&#10;2p54TcdNqESEsM9QQR1Cl0npy5oM+pHtiKO3s85giNJVUjs8Rbhp5ThJZtJgw3Ghxo4+air3m4NR&#10;8Pn+M5+szqtue6kuz22YpH9umio1fOzfFiAC9eEe/m9/awXj6QvczsQjIP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v+N+sYAAADcAAAADwAAAAAAAAAAAAAAAACYAgAAZHJz&#10;L2Rvd25yZXYueG1sUEsFBgAAAAAEAAQA9QAAAIsDAAAAAA==&#10;" fillcolor="white [3201]" strokeweight="1.5pt">
                  <v:textbox>
                    <w:txbxContent>
                      <w:p w:rsidR="00EC1AB2" w:rsidRPr="00F20288" w:rsidRDefault="00EC1AB2" w:rsidP="00395AAB">
                        <w:pPr>
                          <w:jc w:val="center"/>
                          <w:rPr>
                            <w:rFonts w:ascii="Times New Roman" w:hAnsi="Times New Roman" w:cs="Times New Roman"/>
                            <w:b/>
                            <w:sz w:val="20"/>
                            <w:szCs w:val="20"/>
                          </w:rPr>
                        </w:pPr>
                        <w:r>
                          <w:rPr>
                            <w:rFonts w:ascii="Times New Roman" w:hAnsi="Times New Roman" w:cs="Times New Roman"/>
                            <w:b/>
                            <w:sz w:val="20"/>
                            <w:szCs w:val="20"/>
                          </w:rPr>
                          <w:t>Teisinė bazė rizikos kapitalo investicijoms šalyje formuoti</w:t>
                        </w:r>
                      </w:p>
                    </w:txbxContent>
                  </v:textbox>
                </v:shape>
                <v:shape id="Text Box 258" o:spid="_x0000_s1088" type="#_x0000_t202" style="position:absolute;left:29329;top:57796;width:18098;height:4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AZiMEA&#10;AADcAAAADwAAAGRycy9kb3ducmV2LnhtbERPy4rCMBTdC/MP4Q6407Q+Bq1GmREFdacjuL00d9oy&#10;zU1Jola/3iwEl4fzni9bU4srOV9ZVpD2ExDEudUVFwpOv5veBIQPyBpry6TgTh6Wi4/OHDNtb3yg&#10;6zEUIoawz1BBGUKTSenzkgz6vm2II/dnncEQoSukdniL4aaWgyT5kgYrjg0lNrQqKf8/XoyC9c9+&#10;Otzdd83pUTxGdRimZzdOlep+tt8zEIHa8Ba/3FutYDCOa+OZeATk4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dgGYjBAAAA3AAAAA8AAAAAAAAAAAAAAAAAmAIAAGRycy9kb3du&#10;cmV2LnhtbFBLBQYAAAAABAAEAPUAAACGAwAAAAA=&#10;" fillcolor="white [3201]" strokeweight="1.5pt">
                  <v:textbox>
                    <w:txbxContent>
                      <w:p w:rsidR="00EC1AB2" w:rsidRPr="00F20288" w:rsidRDefault="00EC1AB2" w:rsidP="00395AAB">
                        <w:pPr>
                          <w:jc w:val="center"/>
                          <w:rPr>
                            <w:rFonts w:ascii="Times New Roman" w:hAnsi="Times New Roman" w:cs="Times New Roman"/>
                            <w:b/>
                            <w:sz w:val="20"/>
                            <w:szCs w:val="20"/>
                          </w:rPr>
                        </w:pPr>
                        <w:r>
                          <w:rPr>
                            <w:rFonts w:ascii="Times New Roman" w:hAnsi="Times New Roman" w:cs="Times New Roman"/>
                            <w:b/>
                            <w:sz w:val="20"/>
                            <w:szCs w:val="20"/>
                          </w:rPr>
                          <w:t>Investuotojų rinkos struktūra/Investuotojų tipas</w:t>
                        </w:r>
                      </w:p>
                    </w:txbxContent>
                  </v:textbox>
                </v:shape>
                <v:shape id="Text Box 259" o:spid="_x0000_s1089" type="#_x0000_t202" style="position:absolute;left:47876;top:52017;width:20098;height:49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y8E8YA&#10;AADcAAAADwAAAGRycy9kb3ducmV2LnhtbESPT2vCQBTE74V+h+UJvdVN/FOa1FVqaUG9mQZ6fWRf&#10;k2D2bdhdNfrpXaHQ4zAzv2EWq8F04kTOt5YVpOMEBHFldcu1gvL76/kVhA/IGjvLpOBCHlbLx4cF&#10;5tqeeU+nItQiQtjnqKAJoc+l9FVDBv3Y9sTR+7XOYIjS1VI7PEe46eQkSV6kwZbjQoM9fTRUHYqj&#10;UfC53mXT7WXbl9f6OuvCNP1x81Spp9Hw/gYi0BD+w3/tjVYwmWdwPxOPgF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Cy8E8YAAADcAAAADwAAAAAAAAAAAAAAAACYAgAAZHJz&#10;L2Rvd25yZXYueG1sUEsFBgAAAAAEAAQA9QAAAIsDAAAAAA==&#10;" fillcolor="white [3201]" strokeweight="1.5pt">
                  <v:textbox>
                    <w:txbxContent>
                      <w:p w:rsidR="00EC1AB2" w:rsidRPr="009B5C01" w:rsidRDefault="00EC1AB2" w:rsidP="00395AAB">
                        <w:pPr>
                          <w:jc w:val="center"/>
                          <w:rPr>
                            <w:rFonts w:ascii="Times New Roman" w:hAnsi="Times New Roman" w:cs="Times New Roman"/>
                            <w:b/>
                            <w:sz w:val="20"/>
                            <w:szCs w:val="20"/>
                            <w:vertAlign w:val="subscript"/>
                          </w:rPr>
                        </w:pPr>
                        <w:r w:rsidRPr="009B5C01">
                          <w:rPr>
                            <w:rFonts w:ascii="Times New Roman" w:hAnsi="Times New Roman" w:cs="Times New Roman"/>
                            <w:b/>
                            <w:sz w:val="20"/>
                            <w:szCs w:val="20"/>
                            <w:vertAlign w:val="subscript"/>
                          </w:rPr>
                          <w:t>Įmonės veiklos pobūdis/Ekonominės veiklos sektorius</w:t>
                        </w:r>
                      </w:p>
                    </w:txbxContent>
                  </v:textbox>
                </v:shape>
                <v:shape id="Text Box 260" o:spid="_x0000_s1090" type="#_x0000_t202" style="position:absolute;left:47876;top:57796;width:20180;height:48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rfM8MA&#10;AADcAAAADwAAAGRycy9kb3ducmV2LnhtbERPz2vCMBS+D/Y/hDfYzabVKbMzyhwK05uu4PXRvLVl&#10;zUtJom3965fDYMeP7/dqM5hW3Mj5xrKCLElBEJdWN1wpKL72k1cQPiBrbC2TgpE8bNaPDyvMte35&#10;RLdzqEQMYZ+jgjqELpfSlzUZ9IntiCP3bZ3BEKGrpHbYx3DTymmaLqTBhmNDjR191FT+nK9GwW57&#10;XM4O46Er7tX9pQ2z7OLmmVLPT8P7G4hAQ/gX/7k/tYLpIs6PZ+IRkO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3rfM8MAAADcAAAADwAAAAAAAAAAAAAAAACYAgAAZHJzL2Rv&#10;d25yZXYueG1sUEsFBgAAAAAEAAQA9QAAAIgDAAAAAA==&#10;" fillcolor="white [3201]" strokeweight="1.5pt">
                  <v:textbox>
                    <w:txbxContent>
                      <w:p w:rsidR="00EC1AB2" w:rsidRPr="00053DDA" w:rsidRDefault="00EC1AB2" w:rsidP="00395AAB">
                        <w:pPr>
                          <w:jc w:val="center"/>
                          <w:rPr>
                            <w:rFonts w:ascii="Times New Roman" w:hAnsi="Times New Roman" w:cs="Times New Roman"/>
                            <w:b/>
                            <w:sz w:val="20"/>
                            <w:szCs w:val="20"/>
                          </w:rPr>
                        </w:pPr>
                        <w:r>
                          <w:rPr>
                            <w:rFonts w:ascii="Times New Roman" w:hAnsi="Times New Roman" w:cs="Times New Roman"/>
                            <w:b/>
                            <w:sz w:val="20"/>
                            <w:szCs w:val="20"/>
                          </w:rPr>
                          <w:t>Įmonės veiklos išsivystymo stadija</w:t>
                        </w:r>
                      </w:p>
                    </w:txbxContent>
                  </v:textbox>
                </v:shape>
                <v:shape id="Text Box 261" o:spid="_x0000_s1091" type="#_x0000_t202" style="position:absolute;left:66423;top:24326;width:24485;height:39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GuFsIA&#10;AADcAAAADwAAAGRycy9kb3ducmV2LnhtbESPQWsCMRSE74X+h/AKvdWsHmRdjaLFloIntfT82DyT&#10;4OZlSdJ1++8bodDjMDPfMKvN6DsxUEwusILppAJB3Abt2Cj4PL+91CBSRtbYBSYFP5Rgs358WGGj&#10;w42PNJyyEQXCqUEFNue+kTK1ljymSeiJi3cJ0WMuMhqpI94K3HdyVlVz6dFxWbDY06ul9nr69gr2&#10;O7MwbY3R7mvt3DB+XQ7mXannp3G7BJFpzP/hv/aHVjCbT+F+phwBuf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2sa4WwgAAANwAAAAPAAAAAAAAAAAAAAAAAJgCAABkcnMvZG93&#10;bnJldi54bWxQSwUGAAAAAAQABAD1AAAAhwMAAAAA&#10;" fillcolor="white [3201]" strokeweight=".5pt">
                  <v:textbox>
                    <w:txbxContent>
                      <w:p w:rsidR="00EC1AB2" w:rsidRPr="00C41162" w:rsidRDefault="00EC1AB2" w:rsidP="00395AAB">
                        <w:pPr>
                          <w:pStyle w:val="ListParagraph"/>
                          <w:numPr>
                            <w:ilvl w:val="0"/>
                            <w:numId w:val="21"/>
                          </w:numPr>
                          <w:spacing w:after="0" w:line="240" w:lineRule="auto"/>
                          <w:contextualSpacing w:val="0"/>
                          <w:rPr>
                            <w:rFonts w:ascii="Times New Roman" w:hAnsi="Times New Roman" w:cs="Times New Roman"/>
                            <w:sz w:val="16"/>
                            <w:szCs w:val="16"/>
                          </w:rPr>
                        </w:pPr>
                        <w:r>
                          <w:rPr>
                            <w:rFonts w:ascii="Times New Roman" w:hAnsi="Times New Roman" w:cs="Times New Roman"/>
                            <w:sz w:val="16"/>
                            <w:szCs w:val="16"/>
                          </w:rPr>
                          <w:t>Vyraujantis finansų sistemos pobūdis</w:t>
                        </w:r>
                      </w:p>
                      <w:p w:rsidR="00EC1AB2" w:rsidRPr="00C41162" w:rsidRDefault="00EC1AB2" w:rsidP="00395AAB">
                        <w:pPr>
                          <w:pStyle w:val="ListParagraph"/>
                          <w:numPr>
                            <w:ilvl w:val="0"/>
                            <w:numId w:val="21"/>
                          </w:numPr>
                          <w:spacing w:after="0" w:line="240" w:lineRule="auto"/>
                          <w:contextualSpacing w:val="0"/>
                          <w:rPr>
                            <w:rFonts w:ascii="Times New Roman" w:hAnsi="Times New Roman" w:cs="Times New Roman"/>
                            <w:sz w:val="16"/>
                            <w:szCs w:val="16"/>
                          </w:rPr>
                        </w:pPr>
                        <w:r>
                          <w:rPr>
                            <w:rFonts w:ascii="Times New Roman" w:hAnsi="Times New Roman" w:cs="Times New Roman"/>
                            <w:sz w:val="16"/>
                            <w:szCs w:val="16"/>
                          </w:rPr>
                          <w:t>Verslo finansavimo alternatyvos</w:t>
                        </w:r>
                      </w:p>
                      <w:p w:rsidR="00EC1AB2" w:rsidRPr="00F20288" w:rsidRDefault="00EC1AB2" w:rsidP="00395AAB">
                        <w:pPr>
                          <w:jc w:val="center"/>
                          <w:rPr>
                            <w:rFonts w:ascii="Times New Roman" w:hAnsi="Times New Roman" w:cs="Times New Roman"/>
                            <w:b/>
                            <w:sz w:val="20"/>
                            <w:szCs w:val="20"/>
                          </w:rPr>
                        </w:pPr>
                      </w:p>
                    </w:txbxContent>
                  </v:textbox>
                </v:shape>
                <v:shape id="Text Box 262" o:spid="_x0000_s1092" type="#_x0000_t202" style="position:absolute;left:5607;top:51931;width:22510;height:49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MwYcIA&#10;AADcAAAADwAAAGRycy9kb3ducmV2LnhtbESPQUsDMRSE74L/ITzBm826h7LdNi1VqgieWqXnx+Y1&#10;Cd28LEncrv/eCIUeh5n5hlltJt+LkWJygRU8zyoQxF3Qjo2C76+3pwZEysga+8Ck4JcSbNb3dyts&#10;dbjwnsZDNqJAOLWowOY8tFKmzpLHNAsDcfFOIXrMRUYjdcRLgfte1lU1lx4dlwWLA71a6s6HH69g&#10;92IWpmsw2l2jnRun4+nTvCv1+DBtlyAyTfkWvrY/tIJ6XsP/mXIE5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YzBhwgAAANwAAAAPAAAAAAAAAAAAAAAAAJgCAABkcnMvZG93&#10;bnJldi54bWxQSwUGAAAAAAQABAD1AAAAhwMAAAAA&#10;" fillcolor="white [3201]" strokeweight=".5pt">
                  <v:textbox>
                    <w:txbxContent>
                      <w:p w:rsidR="00EC1AB2" w:rsidRDefault="00EC1AB2" w:rsidP="00395AAB">
                        <w:pPr>
                          <w:pStyle w:val="ListParagraph"/>
                          <w:numPr>
                            <w:ilvl w:val="0"/>
                            <w:numId w:val="18"/>
                          </w:numPr>
                          <w:rPr>
                            <w:rFonts w:ascii="Times New Roman" w:hAnsi="Times New Roman" w:cs="Times New Roman"/>
                            <w:sz w:val="16"/>
                            <w:szCs w:val="16"/>
                          </w:rPr>
                        </w:pPr>
                        <w:r w:rsidRPr="003B56C6">
                          <w:rPr>
                            <w:rFonts w:ascii="Times New Roman" w:hAnsi="Times New Roman" w:cs="Times New Roman"/>
                            <w:sz w:val="16"/>
                            <w:szCs w:val="16"/>
                          </w:rPr>
                          <w:t>Akcininkų susitarimų</w:t>
                        </w:r>
                        <w:r>
                          <w:rPr>
                            <w:rFonts w:ascii="Times New Roman" w:hAnsi="Times New Roman" w:cs="Times New Roman"/>
                            <w:sz w:val="16"/>
                            <w:szCs w:val="16"/>
                          </w:rPr>
                          <w:t xml:space="preserve">, </w:t>
                        </w:r>
                        <w:r w:rsidRPr="003B56C6">
                          <w:rPr>
                            <w:rFonts w:ascii="Times New Roman" w:hAnsi="Times New Roman" w:cs="Times New Roman"/>
                            <w:sz w:val="16"/>
                            <w:szCs w:val="16"/>
                          </w:rPr>
                          <w:t>partnerystės reglamentavimas</w:t>
                        </w:r>
                      </w:p>
                      <w:p w:rsidR="00EC1AB2" w:rsidRPr="00CE4167" w:rsidRDefault="00EC1AB2" w:rsidP="00395AAB">
                        <w:pPr>
                          <w:pStyle w:val="ListParagraph"/>
                          <w:numPr>
                            <w:ilvl w:val="0"/>
                            <w:numId w:val="18"/>
                          </w:numPr>
                          <w:rPr>
                            <w:rFonts w:ascii="Times New Roman" w:hAnsi="Times New Roman" w:cs="Times New Roman"/>
                            <w:sz w:val="16"/>
                            <w:szCs w:val="16"/>
                          </w:rPr>
                        </w:pPr>
                        <w:r w:rsidRPr="00CE4167">
                          <w:rPr>
                            <w:rFonts w:ascii="Times New Roman" w:hAnsi="Times New Roman" w:cs="Times New Roman"/>
                            <w:sz w:val="16"/>
                            <w:szCs w:val="16"/>
                          </w:rPr>
                          <w:t>Kolektyvinio investavimo galimybės</w:t>
                        </w:r>
                      </w:p>
                      <w:p w:rsidR="00EC1AB2" w:rsidRPr="003B56C6" w:rsidRDefault="00EC1AB2" w:rsidP="00395AAB">
                        <w:pPr>
                          <w:jc w:val="center"/>
                          <w:rPr>
                            <w:rFonts w:ascii="Times New Roman" w:hAnsi="Times New Roman" w:cs="Times New Roman"/>
                            <w:sz w:val="16"/>
                            <w:szCs w:val="16"/>
                          </w:rPr>
                        </w:pPr>
                      </w:p>
                    </w:txbxContent>
                  </v:textbox>
                </v:shape>
                <v:shape id="Text Box 263" o:spid="_x0000_s1093" type="#_x0000_t202" style="position:absolute;left:5607;top:24240;width:24485;height:39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V+sMA&#10;AADcAAAADwAAAGRycy9kb3ducmV2LnhtbESPQWsCMRSE74X+h/AKvdVsLch2NYottgieqsXzY/NM&#10;gpuXJUnX7b9vBKHHYWa+YRar0XdioJhcYAXPkwoEcRu0Y6Pg+/DxVINIGVljF5gU/FKC1fL+boGN&#10;Dhf+omGfjSgQTg0qsDn3jZSpteQxTUJPXLxTiB5zkdFIHfFS4L6T06qaSY+Oy4LFnt4ttef9j1ew&#10;eTOvpq0x2k2tnRvG42lnPpV6fBjXcxCZxvwfvrW3WsF09gLXM+UIyO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S+V+sMAAADcAAAADwAAAAAAAAAAAAAAAACYAgAAZHJzL2Rv&#10;d25yZXYueG1sUEsFBgAAAAAEAAQA9QAAAIgDAAAAAA==&#10;" fillcolor="white [3201]" strokeweight=".5pt">
                  <v:textbox>
                    <w:txbxContent>
                      <w:p w:rsidR="00EC1AB2" w:rsidRPr="00C41162" w:rsidRDefault="00EC1AB2" w:rsidP="00395AAB">
                        <w:pPr>
                          <w:pStyle w:val="ListParagraph"/>
                          <w:numPr>
                            <w:ilvl w:val="0"/>
                            <w:numId w:val="16"/>
                          </w:numPr>
                          <w:spacing w:after="0" w:line="240" w:lineRule="auto"/>
                          <w:ind w:left="714" w:hanging="357"/>
                          <w:contextualSpacing w:val="0"/>
                          <w:rPr>
                            <w:rFonts w:ascii="Times New Roman" w:hAnsi="Times New Roman" w:cs="Times New Roman"/>
                            <w:sz w:val="16"/>
                            <w:szCs w:val="16"/>
                          </w:rPr>
                        </w:pPr>
                        <w:r>
                          <w:rPr>
                            <w:rFonts w:ascii="Times New Roman" w:hAnsi="Times New Roman" w:cs="Times New Roman"/>
                            <w:sz w:val="16"/>
                            <w:szCs w:val="16"/>
                          </w:rPr>
                          <w:t>Kapitalo rinkos likvidumas</w:t>
                        </w:r>
                      </w:p>
                      <w:p w:rsidR="00EC1AB2" w:rsidRPr="00C41162" w:rsidRDefault="00EC1AB2" w:rsidP="00395AAB">
                        <w:pPr>
                          <w:pStyle w:val="ListParagraph"/>
                          <w:numPr>
                            <w:ilvl w:val="0"/>
                            <w:numId w:val="16"/>
                          </w:numPr>
                          <w:spacing w:after="0" w:line="240" w:lineRule="auto"/>
                          <w:ind w:left="714" w:hanging="357"/>
                          <w:contextualSpacing w:val="0"/>
                          <w:rPr>
                            <w:rFonts w:ascii="Times New Roman" w:hAnsi="Times New Roman" w:cs="Times New Roman"/>
                            <w:sz w:val="16"/>
                            <w:szCs w:val="16"/>
                          </w:rPr>
                        </w:pPr>
                        <w:r w:rsidRPr="00C41162">
                          <w:rPr>
                            <w:rFonts w:ascii="Times New Roman" w:hAnsi="Times New Roman" w:cs="Times New Roman"/>
                            <w:sz w:val="16"/>
                            <w:szCs w:val="16"/>
                          </w:rPr>
                          <w:t>VP rinkos efektyvumas</w:t>
                        </w:r>
                      </w:p>
                      <w:p w:rsidR="00EC1AB2" w:rsidRPr="00F20288" w:rsidRDefault="00EC1AB2" w:rsidP="00395AAB">
                        <w:pPr>
                          <w:jc w:val="center"/>
                          <w:rPr>
                            <w:rFonts w:ascii="Times New Roman" w:hAnsi="Times New Roman" w:cs="Times New Roman"/>
                            <w:b/>
                            <w:sz w:val="20"/>
                            <w:szCs w:val="20"/>
                          </w:rPr>
                        </w:pPr>
                      </w:p>
                    </w:txbxContent>
                  </v:textbox>
                </v:shape>
                <v:shape id="Text Box 264" o:spid="_x0000_s1094" type="#_x0000_t202" style="position:absolute;left:5607;top:28898;width:24485;height:44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YNjsMA&#10;AADcAAAADwAAAGRycy9kb3ducmV2LnhtbESPQWsCMRSE74X+h/AKvdVspch2NYottgieqsXzY/NM&#10;gpuXJUnX7b9vBKHHYWa+YRar0XdioJhcYAXPkwoEcRu0Y6Pg+/DxVINIGVljF5gU/FKC1fL+boGN&#10;Dhf+omGfjSgQTg0qsDn3jZSpteQxTUJPXLxTiB5zkdFIHfFS4L6T06qaSY+Oy4LFnt4ttef9j1ew&#10;eTOvpq0x2k2tnRvG42lnPpV6fBjXcxCZxvwfvrW3WsF09gLXM+UIyO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sYNjsMAAADcAAAADwAAAAAAAAAAAAAAAACYAgAAZHJzL2Rv&#10;d25yZXYueG1sUEsFBgAAAAAEAAQA9QAAAIgDAAAAAA==&#10;" fillcolor="white [3201]" strokeweight=".5pt">
                  <v:textbox>
                    <w:txbxContent>
                      <w:p w:rsidR="00EC1AB2" w:rsidRPr="00C41162" w:rsidRDefault="00EC1AB2" w:rsidP="00395AAB">
                        <w:pPr>
                          <w:pStyle w:val="ListParagraph"/>
                          <w:numPr>
                            <w:ilvl w:val="0"/>
                            <w:numId w:val="16"/>
                          </w:numPr>
                          <w:spacing w:after="0" w:line="240" w:lineRule="auto"/>
                          <w:ind w:left="714" w:hanging="357"/>
                          <w:contextualSpacing w:val="0"/>
                          <w:rPr>
                            <w:rFonts w:ascii="Times New Roman" w:hAnsi="Times New Roman" w:cs="Times New Roman"/>
                            <w:sz w:val="16"/>
                            <w:szCs w:val="16"/>
                          </w:rPr>
                        </w:pPr>
                        <w:r w:rsidRPr="00C41162">
                          <w:rPr>
                            <w:rFonts w:ascii="Times New Roman" w:hAnsi="Times New Roman" w:cs="Times New Roman"/>
                            <w:sz w:val="16"/>
                            <w:szCs w:val="16"/>
                          </w:rPr>
                          <w:t>Technologinių inovacijų sklaida</w:t>
                        </w:r>
                      </w:p>
                      <w:p w:rsidR="00EC1AB2" w:rsidRPr="00C41162" w:rsidRDefault="00EC1AB2" w:rsidP="00395AAB">
                        <w:pPr>
                          <w:pStyle w:val="ListParagraph"/>
                          <w:numPr>
                            <w:ilvl w:val="0"/>
                            <w:numId w:val="16"/>
                          </w:numPr>
                          <w:spacing w:after="0" w:line="240" w:lineRule="auto"/>
                          <w:ind w:left="714" w:hanging="357"/>
                          <w:contextualSpacing w:val="0"/>
                          <w:rPr>
                            <w:rFonts w:ascii="Times New Roman" w:hAnsi="Times New Roman" w:cs="Times New Roman"/>
                            <w:sz w:val="16"/>
                            <w:szCs w:val="16"/>
                          </w:rPr>
                        </w:pPr>
                        <w:r w:rsidRPr="00C41162">
                          <w:rPr>
                            <w:rFonts w:ascii="Times New Roman" w:hAnsi="Times New Roman" w:cs="Times New Roman"/>
                            <w:sz w:val="16"/>
                            <w:szCs w:val="16"/>
                          </w:rPr>
                          <w:t>Bendras įmonių inovatyvumo lygis</w:t>
                        </w:r>
                      </w:p>
                      <w:p w:rsidR="00EC1AB2" w:rsidRPr="00F20288" w:rsidRDefault="00EC1AB2" w:rsidP="00395AAB">
                        <w:pPr>
                          <w:jc w:val="center"/>
                          <w:rPr>
                            <w:rFonts w:ascii="Times New Roman" w:hAnsi="Times New Roman" w:cs="Times New Roman"/>
                            <w:b/>
                            <w:sz w:val="20"/>
                            <w:szCs w:val="20"/>
                          </w:rPr>
                        </w:pPr>
                      </w:p>
                    </w:txbxContent>
                  </v:textbox>
                </v:shape>
                <v:shape id="Text Box 265" o:spid="_x0000_s1095" type="#_x0000_t202" style="position:absolute;left:5607;top:34505;width:24485;height:43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qoFcMA&#10;AADcAAAADwAAAGRycy9kb3ducmV2LnhtbESPQWsCMRSE74X+h/AKvdVshcp2NYottgieqsXzY/NM&#10;gpuXJUnX7b9vBKHHYWa+YRar0XdioJhcYAXPkwoEcRu0Y6Pg+/DxVINIGVljF5gU/FKC1fL+boGN&#10;Dhf+omGfjSgQTg0qsDn3jZSpteQxTUJPXLxTiB5zkdFIHfFS4L6T06qaSY+Oy4LFnt4ttef9j1ew&#10;eTOvpq0x2k2tnRvG42lnPpV6fBjXcxCZxvwfvrW3WsF09gLXM+UIyO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YqoFcMAAADcAAAADwAAAAAAAAAAAAAAAACYAgAAZHJzL2Rv&#10;d25yZXYueG1sUEsFBgAAAAAEAAQA9QAAAIgDAAAAAA==&#10;" fillcolor="white [3201]" strokeweight=".5pt">
                  <v:textbox>
                    <w:txbxContent>
                      <w:p w:rsidR="00EC1AB2" w:rsidRDefault="00EC1AB2" w:rsidP="00395AAB">
                        <w:pPr>
                          <w:pStyle w:val="ListParagraph"/>
                          <w:numPr>
                            <w:ilvl w:val="0"/>
                            <w:numId w:val="16"/>
                          </w:numPr>
                          <w:spacing w:after="0" w:line="240" w:lineRule="auto"/>
                          <w:ind w:left="714" w:hanging="357"/>
                          <w:contextualSpacing w:val="0"/>
                          <w:jc w:val="both"/>
                          <w:rPr>
                            <w:rFonts w:ascii="Times New Roman" w:hAnsi="Times New Roman" w:cs="Times New Roman"/>
                            <w:sz w:val="16"/>
                            <w:szCs w:val="16"/>
                          </w:rPr>
                        </w:pPr>
                        <w:r>
                          <w:rPr>
                            <w:rFonts w:ascii="Times New Roman" w:hAnsi="Times New Roman" w:cs="Times New Roman"/>
                            <w:sz w:val="16"/>
                            <w:szCs w:val="16"/>
                          </w:rPr>
                          <w:t>Kapitalo prieaugio mokesčių dydis</w:t>
                        </w:r>
                      </w:p>
                      <w:p w:rsidR="00EC1AB2" w:rsidRPr="00C41162" w:rsidRDefault="00EC1AB2" w:rsidP="00395AAB">
                        <w:pPr>
                          <w:pStyle w:val="ListParagraph"/>
                          <w:numPr>
                            <w:ilvl w:val="0"/>
                            <w:numId w:val="16"/>
                          </w:numPr>
                          <w:spacing w:after="0" w:line="240" w:lineRule="auto"/>
                          <w:ind w:left="714" w:hanging="357"/>
                          <w:contextualSpacing w:val="0"/>
                          <w:jc w:val="both"/>
                          <w:rPr>
                            <w:rFonts w:ascii="Times New Roman" w:hAnsi="Times New Roman" w:cs="Times New Roman"/>
                            <w:sz w:val="16"/>
                            <w:szCs w:val="16"/>
                          </w:rPr>
                        </w:pPr>
                        <w:r>
                          <w:rPr>
                            <w:rFonts w:ascii="Times New Roman" w:hAnsi="Times New Roman" w:cs="Times New Roman"/>
                            <w:sz w:val="16"/>
                            <w:szCs w:val="16"/>
                          </w:rPr>
                          <w:t>Mokesčių lengvatos RK įmonės ir fondams</w:t>
                        </w:r>
                      </w:p>
                      <w:p w:rsidR="00EC1AB2" w:rsidRPr="00F20288" w:rsidRDefault="00EC1AB2" w:rsidP="00395AAB">
                        <w:pPr>
                          <w:jc w:val="center"/>
                          <w:rPr>
                            <w:rFonts w:ascii="Times New Roman" w:hAnsi="Times New Roman" w:cs="Times New Roman"/>
                            <w:b/>
                            <w:sz w:val="20"/>
                            <w:szCs w:val="20"/>
                          </w:rPr>
                        </w:pPr>
                      </w:p>
                    </w:txbxContent>
                  </v:textbox>
                </v:shape>
                <v:shape id="Text Box 266" o:spid="_x0000_s1096" type="#_x0000_t202" style="position:absolute;left:5607;top:39767;width:24485;height:39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2YsIA&#10;AADcAAAADwAAAGRycy9kb3ducmV2LnhtbESPQUsDMRSE74L/ITzBm83aw7JdmxaVtgg9tYrnx+Y1&#10;CW5eliRu139vCoUeh5n5hlmuJ9+LkWJygRU8zyoQxF3Qjo2Cr8/tUwMiZWSNfWBS8EcJ1qv7uyW2&#10;Opz5QOMxG1EgnFpUYHMeWilTZ8ljmoWBuHinED3mIqOROuK5wH0v51VVS4+Oy4LFgd4tdT/HX69g&#10;82YWpmsw2k2jnRun79Pe7JR6fJheX0BkmvItfG1/aAXzuobLmXIE5O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WDZiwgAAANwAAAAPAAAAAAAAAAAAAAAAAJgCAABkcnMvZG93&#10;bnJldi54bWxQSwUGAAAAAAQABAD1AAAAhwMAAAAA&#10;" fillcolor="white [3201]" strokeweight=".5pt">
                  <v:textbox>
                    <w:txbxContent>
                      <w:p w:rsidR="00EC1AB2" w:rsidRPr="007E5CE2" w:rsidRDefault="00EC1AB2" w:rsidP="00395AAB">
                        <w:pPr>
                          <w:pStyle w:val="ListParagraph"/>
                          <w:numPr>
                            <w:ilvl w:val="0"/>
                            <w:numId w:val="16"/>
                          </w:numPr>
                          <w:spacing w:after="0" w:line="240" w:lineRule="auto"/>
                          <w:ind w:left="714" w:hanging="357"/>
                          <w:contextualSpacing w:val="0"/>
                          <w:jc w:val="both"/>
                          <w:rPr>
                            <w:rFonts w:ascii="Times New Roman" w:hAnsi="Times New Roman" w:cs="Times New Roman"/>
                            <w:sz w:val="12"/>
                            <w:szCs w:val="12"/>
                          </w:rPr>
                        </w:pPr>
                        <w:r w:rsidRPr="007E5CE2">
                          <w:rPr>
                            <w:rFonts w:ascii="Times New Roman" w:hAnsi="Times New Roman" w:cs="Times New Roman"/>
                            <w:sz w:val="12"/>
                            <w:szCs w:val="12"/>
                          </w:rPr>
                          <w:t>Techninių, vadybinių, finansinių žinių derinimas</w:t>
                        </w:r>
                      </w:p>
                      <w:p w:rsidR="00EC1AB2" w:rsidRPr="007E5CE2" w:rsidRDefault="00EC1AB2" w:rsidP="00395AAB">
                        <w:pPr>
                          <w:pStyle w:val="ListParagraph"/>
                          <w:numPr>
                            <w:ilvl w:val="0"/>
                            <w:numId w:val="16"/>
                          </w:numPr>
                          <w:spacing w:after="0" w:line="240" w:lineRule="auto"/>
                          <w:ind w:left="714" w:hanging="357"/>
                          <w:contextualSpacing w:val="0"/>
                          <w:jc w:val="both"/>
                          <w:rPr>
                            <w:rFonts w:ascii="Times New Roman" w:hAnsi="Times New Roman" w:cs="Times New Roman"/>
                            <w:sz w:val="12"/>
                            <w:szCs w:val="12"/>
                          </w:rPr>
                        </w:pPr>
                        <w:r w:rsidRPr="007E5CE2">
                          <w:rPr>
                            <w:rFonts w:ascii="Times New Roman" w:hAnsi="Times New Roman" w:cs="Times New Roman"/>
                            <w:sz w:val="12"/>
                            <w:szCs w:val="12"/>
                          </w:rPr>
                          <w:t>Polinkis mokytis visą gyvenimą</w:t>
                        </w:r>
                      </w:p>
                      <w:p w:rsidR="00EC1AB2" w:rsidRPr="00F20288" w:rsidRDefault="00EC1AB2" w:rsidP="00395AAB">
                        <w:pPr>
                          <w:jc w:val="center"/>
                          <w:rPr>
                            <w:rFonts w:ascii="Times New Roman" w:hAnsi="Times New Roman" w:cs="Times New Roman"/>
                            <w:b/>
                            <w:sz w:val="20"/>
                            <w:szCs w:val="20"/>
                          </w:rPr>
                        </w:pPr>
                      </w:p>
                    </w:txbxContent>
                  </v:textbox>
                </v:shape>
                <v:shape id="Text Box 267" o:spid="_x0000_s1097" type="#_x0000_t202" style="position:absolute;left:5607;top:44771;width:24485;height:4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ST+cMA&#10;AADcAAAADwAAAGRycy9kb3ducmV2LnhtbESPQWsCMRSE74X+h/AKvdVsPeh2NYotthQ8VYvnx+aZ&#10;BDcvS5Ku23/fCEKPw8x8wyzXo+/EQDG5wAqeJxUI4jZox0bB9+H9qQaRMrLGLjAp+KUE69X93RIb&#10;HS78RcM+G1EgnBpUYHPuGylTa8ljmoSeuHinED3mIqOROuKlwH0np1U1kx4dlwWLPb1Zas/7H69g&#10;+2peTFtjtNtaOzeMx9POfCj1+DBuFiAyjfk/fGt/agXT2RyuZ8oRk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hST+cMAAADcAAAADwAAAAAAAAAAAAAAAACYAgAAZHJzL2Rv&#10;d25yZXYueG1sUEsFBgAAAAAEAAQA9QAAAIgDAAAAAA==&#10;" fillcolor="white [3201]" strokeweight=".5pt">
                  <v:textbox>
                    <w:txbxContent>
                      <w:p w:rsidR="00EC1AB2" w:rsidRDefault="00EC1AB2" w:rsidP="00395AAB">
                        <w:pPr>
                          <w:pStyle w:val="ListParagraph"/>
                          <w:numPr>
                            <w:ilvl w:val="0"/>
                            <w:numId w:val="16"/>
                          </w:numPr>
                          <w:spacing w:after="0" w:line="240" w:lineRule="auto"/>
                          <w:ind w:left="714" w:hanging="357"/>
                          <w:contextualSpacing w:val="0"/>
                          <w:jc w:val="both"/>
                          <w:rPr>
                            <w:rFonts w:ascii="Times New Roman" w:hAnsi="Times New Roman" w:cs="Times New Roman"/>
                            <w:sz w:val="16"/>
                            <w:szCs w:val="16"/>
                          </w:rPr>
                        </w:pPr>
                        <w:r>
                          <w:rPr>
                            <w:rFonts w:ascii="Times New Roman" w:hAnsi="Times New Roman" w:cs="Times New Roman"/>
                            <w:sz w:val="16"/>
                            <w:szCs w:val="16"/>
                          </w:rPr>
                          <w:t>Tradiciškai susiformavęs požiūris į verslą, rizikos prisiėmimą</w:t>
                        </w:r>
                      </w:p>
                      <w:p w:rsidR="00EC1AB2" w:rsidRDefault="00EC1AB2" w:rsidP="00395AAB">
                        <w:pPr>
                          <w:pStyle w:val="ListParagraph"/>
                          <w:numPr>
                            <w:ilvl w:val="0"/>
                            <w:numId w:val="16"/>
                          </w:numPr>
                          <w:spacing w:after="0" w:line="240" w:lineRule="auto"/>
                          <w:ind w:left="714" w:hanging="357"/>
                          <w:contextualSpacing w:val="0"/>
                          <w:jc w:val="both"/>
                          <w:rPr>
                            <w:rFonts w:ascii="Times New Roman" w:hAnsi="Times New Roman" w:cs="Times New Roman"/>
                            <w:sz w:val="16"/>
                            <w:szCs w:val="16"/>
                          </w:rPr>
                        </w:pPr>
                        <w:r>
                          <w:rPr>
                            <w:rFonts w:ascii="Times New Roman" w:hAnsi="Times New Roman" w:cs="Times New Roman"/>
                            <w:sz w:val="16"/>
                            <w:szCs w:val="16"/>
                          </w:rPr>
                          <w:t>Antrepreneriškas išsilavinimas</w:t>
                        </w:r>
                      </w:p>
                    </w:txbxContent>
                  </v:textbox>
                </v:shape>
                <v:shape id="Text Box 268" o:spid="_x0000_s1098" type="#_x0000_t202" style="position:absolute;left:66423;top:28812;width:24485;height:48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4sHi78A&#10;AADcAAAADwAAAGRycy9kb3ducmV2LnhtbERPTWsCMRC9F/ofwgi91aweZF2NosWWgie19DxsxiS4&#10;mSxJum7/fXMoeHy87/V29J0YKCYXWMFsWoEgboN2bBR8Xd5faxApI2vsApOCX0qw3Tw/rbHR4c4n&#10;Gs7ZiBLCqUEFNue+kTK1ljymaeiJC3cN0WMuMBqpI95LuO/kvKoW0qPj0mCxpzdL7e384xUc9mZp&#10;2hqjPdTauWH8vh7Nh1Ivk3G3ApFpzA/xv/tTK5gvytpyphwBuf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niweLvwAAANwAAAAPAAAAAAAAAAAAAAAAAJgCAABkcnMvZG93bnJl&#10;di54bWxQSwUGAAAAAAQABAD1AAAAhAMAAAAA&#10;" fillcolor="white [3201]" strokeweight=".5pt">
                  <v:textbox>
                    <w:txbxContent>
                      <w:p w:rsidR="00EC1AB2" w:rsidRDefault="00EC1AB2" w:rsidP="00395AAB">
                        <w:pPr>
                          <w:pStyle w:val="ListParagraph"/>
                          <w:numPr>
                            <w:ilvl w:val="0"/>
                            <w:numId w:val="16"/>
                          </w:numPr>
                          <w:spacing w:after="0" w:line="240" w:lineRule="auto"/>
                          <w:ind w:left="714" w:hanging="357"/>
                          <w:contextualSpacing w:val="0"/>
                          <w:rPr>
                            <w:rFonts w:ascii="Times New Roman" w:hAnsi="Times New Roman" w:cs="Times New Roman"/>
                            <w:sz w:val="16"/>
                            <w:szCs w:val="16"/>
                          </w:rPr>
                        </w:pPr>
                        <w:r>
                          <w:rPr>
                            <w:rFonts w:ascii="Times New Roman" w:hAnsi="Times New Roman" w:cs="Times New Roman"/>
                            <w:sz w:val="16"/>
                            <w:szCs w:val="16"/>
                          </w:rPr>
                          <w:t>Verslo ir mokslo bendradarbiavimas</w:t>
                        </w:r>
                      </w:p>
                      <w:p w:rsidR="00EC1AB2" w:rsidRDefault="00EC1AB2" w:rsidP="00395AAB">
                        <w:pPr>
                          <w:pStyle w:val="ListParagraph"/>
                          <w:numPr>
                            <w:ilvl w:val="0"/>
                            <w:numId w:val="16"/>
                          </w:numPr>
                          <w:spacing w:after="0" w:line="240" w:lineRule="auto"/>
                          <w:ind w:left="714" w:hanging="357"/>
                          <w:contextualSpacing w:val="0"/>
                          <w:rPr>
                            <w:rFonts w:ascii="Times New Roman" w:hAnsi="Times New Roman" w:cs="Times New Roman"/>
                            <w:sz w:val="16"/>
                            <w:szCs w:val="16"/>
                          </w:rPr>
                        </w:pPr>
                        <w:r>
                          <w:rPr>
                            <w:rFonts w:ascii="Times New Roman" w:hAnsi="Times New Roman" w:cs="Times New Roman"/>
                            <w:sz w:val="16"/>
                            <w:szCs w:val="16"/>
                          </w:rPr>
                          <w:t>Intelektinės nuosavybės apimtys</w:t>
                        </w:r>
                      </w:p>
                      <w:p w:rsidR="00EC1AB2" w:rsidRPr="00C41162" w:rsidRDefault="00EC1AB2" w:rsidP="00395AAB">
                        <w:pPr>
                          <w:pStyle w:val="ListParagraph"/>
                          <w:numPr>
                            <w:ilvl w:val="0"/>
                            <w:numId w:val="16"/>
                          </w:numPr>
                          <w:spacing w:after="0" w:line="240" w:lineRule="auto"/>
                          <w:ind w:left="714" w:hanging="357"/>
                          <w:contextualSpacing w:val="0"/>
                          <w:rPr>
                            <w:rFonts w:ascii="Times New Roman" w:hAnsi="Times New Roman" w:cs="Times New Roman"/>
                            <w:sz w:val="16"/>
                            <w:szCs w:val="16"/>
                          </w:rPr>
                        </w:pPr>
                        <w:r>
                          <w:rPr>
                            <w:rFonts w:ascii="Times New Roman" w:hAnsi="Times New Roman" w:cs="Times New Roman"/>
                            <w:sz w:val="16"/>
                            <w:szCs w:val="16"/>
                          </w:rPr>
                          <w:t>MTEP finansavimo intensyvumas</w:t>
                        </w:r>
                      </w:p>
                    </w:txbxContent>
                  </v:textbox>
                </v:shape>
                <v:shape id="Text Box 269" o:spid="_x0000_s1099" type="#_x0000_t202" style="position:absolute;left:66423;top:34419;width:24485;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eiEMIA&#10;AADcAAAADwAAAGRycy9kb3ducmV2LnhtbESPQWsCMRSE74X+h/AKvdVsPci6GkWLLYKnaun5sXkm&#10;wc3LkqTr9t83gtDjMDPfMMv16DsxUEwusILXSQWCuA3asVHwdXp/qUGkjKyxC0wKfinBevX4sMRG&#10;hyt/0nDMRhQIpwYV2Jz7RsrUWvKYJqEnLt45RI+5yGikjngtcN/JaVXNpEfHZcFiT2+W2svxxyvY&#10;bc3ctDVGu6u1c8P4fT6YD6Wen8bNAkSmMf+H7+29VjCdzeF2phwBuf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x6IQwgAAANwAAAAPAAAAAAAAAAAAAAAAAJgCAABkcnMvZG93&#10;bnJldi54bWxQSwUGAAAAAAQABAD1AAAAhwMAAAAA&#10;" fillcolor="white [3201]" strokeweight=".5pt">
                  <v:textbox>
                    <w:txbxContent>
                      <w:p w:rsidR="00EC1AB2" w:rsidRDefault="00EC1AB2" w:rsidP="00395AAB">
                        <w:pPr>
                          <w:pStyle w:val="ListParagraph"/>
                          <w:numPr>
                            <w:ilvl w:val="0"/>
                            <w:numId w:val="16"/>
                          </w:numPr>
                          <w:spacing w:after="0" w:line="240" w:lineRule="auto"/>
                          <w:ind w:left="714" w:hanging="357"/>
                          <w:contextualSpacing w:val="0"/>
                          <w:jc w:val="both"/>
                          <w:rPr>
                            <w:rFonts w:ascii="Times New Roman" w:hAnsi="Times New Roman" w:cs="Times New Roman"/>
                            <w:sz w:val="16"/>
                            <w:szCs w:val="16"/>
                          </w:rPr>
                        </w:pPr>
                        <w:r>
                          <w:rPr>
                            <w:rFonts w:ascii="Times New Roman" w:hAnsi="Times New Roman" w:cs="Times New Roman"/>
                            <w:sz w:val="16"/>
                            <w:szCs w:val="16"/>
                          </w:rPr>
                          <w:t>Įmonių mokamų pelno mokesčių dydis</w:t>
                        </w:r>
                      </w:p>
                      <w:p w:rsidR="00EC1AB2" w:rsidRDefault="00EC1AB2" w:rsidP="00395AAB">
                        <w:pPr>
                          <w:pStyle w:val="ListParagraph"/>
                          <w:numPr>
                            <w:ilvl w:val="0"/>
                            <w:numId w:val="16"/>
                          </w:numPr>
                          <w:spacing w:after="0" w:line="240" w:lineRule="auto"/>
                          <w:ind w:left="714" w:hanging="357"/>
                          <w:contextualSpacing w:val="0"/>
                          <w:jc w:val="both"/>
                          <w:rPr>
                            <w:rFonts w:ascii="Times New Roman" w:hAnsi="Times New Roman" w:cs="Times New Roman"/>
                            <w:sz w:val="16"/>
                            <w:szCs w:val="16"/>
                          </w:rPr>
                        </w:pPr>
                        <w:r>
                          <w:rPr>
                            <w:rFonts w:ascii="Times New Roman" w:hAnsi="Times New Roman" w:cs="Times New Roman"/>
                            <w:sz w:val="16"/>
                            <w:szCs w:val="16"/>
                          </w:rPr>
                          <w:t>Mokestinės lengvatos jaunoms technologinėms įmonėms</w:t>
                        </w:r>
                      </w:p>
                      <w:p w:rsidR="00EC1AB2" w:rsidRPr="00F20288" w:rsidRDefault="00EC1AB2" w:rsidP="00395AAB">
                        <w:pPr>
                          <w:jc w:val="center"/>
                          <w:rPr>
                            <w:rFonts w:ascii="Times New Roman" w:hAnsi="Times New Roman" w:cs="Times New Roman"/>
                            <w:b/>
                            <w:sz w:val="20"/>
                            <w:szCs w:val="20"/>
                          </w:rPr>
                        </w:pPr>
                      </w:p>
                    </w:txbxContent>
                  </v:textbox>
                </v:shape>
                <v:shape id="Text Box 270" o:spid="_x0000_s1100" type="#_x0000_t202" style="position:absolute;left:66423;top:39767;width:24485;height:39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SdUMAA&#10;AADcAAAADwAAAGRycy9kb3ducmV2LnhtbERPTWsCMRC9F/ofwhR6q9l6sNutUWxRKXhSS8/DZkyC&#10;m8mSpOv235uD4PHxvufL0XdioJhcYAWvkwoEcRu0Y6Pg57h5qUGkjKyxC0wK/inBcvH4MMdGhwvv&#10;aThkI0oIpwYV2Jz7RsrUWvKYJqEnLtwpRI+5wGikjngp4b6T06qaSY+OS4PFnr4stefDn1ew/jTv&#10;pq0x2nWtnRvG39PObJV6fhpXHyAyjfkuvrm/tYLpW5lfzpQjIBd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CSdUMAAAADcAAAADwAAAAAAAAAAAAAAAACYAgAAZHJzL2Rvd25y&#10;ZXYueG1sUEsFBgAAAAAEAAQA9QAAAIUDAAAAAA==&#10;" fillcolor="white [3201]" strokeweight=".5pt">
                  <v:textbox>
                    <w:txbxContent>
                      <w:p w:rsidR="00EC1AB2" w:rsidRPr="000037EF" w:rsidRDefault="00EC1AB2" w:rsidP="00395AAB">
                        <w:pPr>
                          <w:pStyle w:val="ListParagraph"/>
                          <w:numPr>
                            <w:ilvl w:val="0"/>
                            <w:numId w:val="17"/>
                          </w:numPr>
                          <w:spacing w:after="0" w:line="240" w:lineRule="auto"/>
                          <w:contextualSpacing w:val="0"/>
                          <w:rPr>
                            <w:rFonts w:ascii="Times New Roman" w:hAnsi="Times New Roman" w:cs="Times New Roman"/>
                            <w:b/>
                            <w:sz w:val="20"/>
                            <w:szCs w:val="20"/>
                          </w:rPr>
                        </w:pPr>
                        <w:r>
                          <w:rPr>
                            <w:rFonts w:ascii="Times New Roman" w:hAnsi="Times New Roman" w:cs="Times New Roman"/>
                            <w:sz w:val="16"/>
                            <w:szCs w:val="16"/>
                          </w:rPr>
                          <w:t>Techninių specialistų būvimas</w:t>
                        </w:r>
                      </w:p>
                      <w:p w:rsidR="00EC1AB2" w:rsidRPr="000037EF" w:rsidRDefault="00EC1AB2" w:rsidP="00395AAB">
                        <w:pPr>
                          <w:pStyle w:val="ListParagraph"/>
                          <w:numPr>
                            <w:ilvl w:val="0"/>
                            <w:numId w:val="17"/>
                          </w:numPr>
                          <w:spacing w:after="0" w:line="240" w:lineRule="auto"/>
                          <w:contextualSpacing w:val="0"/>
                          <w:rPr>
                            <w:rFonts w:ascii="Times New Roman" w:hAnsi="Times New Roman" w:cs="Times New Roman"/>
                            <w:b/>
                            <w:sz w:val="20"/>
                            <w:szCs w:val="20"/>
                          </w:rPr>
                        </w:pPr>
                        <w:r w:rsidRPr="000037EF">
                          <w:rPr>
                            <w:rFonts w:ascii="Times New Roman" w:hAnsi="Times New Roman" w:cs="Times New Roman"/>
                            <w:sz w:val="16"/>
                            <w:szCs w:val="16"/>
                          </w:rPr>
                          <w:t>Aukštąjį mokslą baigusių asmenų skaičius</w:t>
                        </w:r>
                      </w:p>
                    </w:txbxContent>
                  </v:textbox>
                </v:shape>
                <v:shape id="Text Box 271" o:spid="_x0000_s1101" type="#_x0000_t202" style="position:absolute;left:66337;top:44771;width:24485;height:4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2g4y8MA&#10;AADcAAAADwAAAGRycy9kb3ducmV2LnhtbESPQWsCMRSE74X+h/AKvdWsHup2NYotthQ8VYvnx+aZ&#10;BDcvS5Ku23/fCEKPw8x8wyzXo+/EQDG5wAqmkwoEcRu0Y6Pg+/D+VINIGVljF5gU/FKC9er+bomN&#10;Dhf+omGfjSgQTg0qsDn3jZSpteQxTUJPXLxTiB5zkdFIHfFS4L6Ts6p6lh4dlwWLPb1Zas/7H69g&#10;+2peTFtjtNtaOzeMx9POfCj1+DBuFiAyjfk/fGt/agWz+RSuZ8oRk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2g4y8MAAADcAAAADwAAAAAAAAAAAAAAAACYAgAAZHJzL2Rv&#10;d25yZXYueG1sUEsFBgAAAAAEAAQA9QAAAIgDAAAAAA==&#10;" fillcolor="white [3201]" strokeweight=".5pt">
                  <v:textbox>
                    <w:txbxContent>
                      <w:p w:rsidR="00EC1AB2" w:rsidRDefault="00EC1AB2" w:rsidP="00395AAB">
                        <w:pPr>
                          <w:pStyle w:val="ListParagraph"/>
                          <w:numPr>
                            <w:ilvl w:val="0"/>
                            <w:numId w:val="16"/>
                          </w:numPr>
                          <w:spacing w:after="0" w:line="240" w:lineRule="auto"/>
                          <w:ind w:left="714" w:hanging="357"/>
                          <w:contextualSpacing w:val="0"/>
                          <w:jc w:val="both"/>
                          <w:rPr>
                            <w:rFonts w:ascii="Times New Roman" w:hAnsi="Times New Roman" w:cs="Times New Roman"/>
                            <w:sz w:val="16"/>
                            <w:szCs w:val="16"/>
                          </w:rPr>
                        </w:pPr>
                        <w:r>
                          <w:rPr>
                            <w:rFonts w:ascii="Times New Roman" w:hAnsi="Times New Roman" w:cs="Times New Roman"/>
                            <w:sz w:val="16"/>
                            <w:szCs w:val="16"/>
                          </w:rPr>
                          <w:t>Tradiciškai susiformavęs požiūris į verslą, rizikos prisiėmimą</w:t>
                        </w:r>
                      </w:p>
                      <w:p w:rsidR="00EC1AB2" w:rsidRDefault="00EC1AB2" w:rsidP="00395AAB">
                        <w:pPr>
                          <w:pStyle w:val="ListParagraph"/>
                          <w:numPr>
                            <w:ilvl w:val="0"/>
                            <w:numId w:val="16"/>
                          </w:numPr>
                          <w:spacing w:after="0" w:line="240" w:lineRule="auto"/>
                          <w:ind w:left="714" w:hanging="357"/>
                          <w:contextualSpacing w:val="0"/>
                          <w:jc w:val="both"/>
                          <w:rPr>
                            <w:rFonts w:ascii="Times New Roman" w:hAnsi="Times New Roman" w:cs="Times New Roman"/>
                            <w:sz w:val="16"/>
                            <w:szCs w:val="16"/>
                          </w:rPr>
                        </w:pPr>
                        <w:r>
                          <w:rPr>
                            <w:rFonts w:ascii="Times New Roman" w:hAnsi="Times New Roman" w:cs="Times New Roman"/>
                            <w:sz w:val="16"/>
                            <w:szCs w:val="16"/>
                          </w:rPr>
                          <w:t>Antrepreneriškos savybės</w:t>
                        </w:r>
                      </w:p>
                    </w:txbxContent>
                  </v:textbox>
                </v:shape>
                <v:shape id="Text Box 272" o:spid="_x0000_s1102" type="#_x0000_t202" style="position:absolute;left:5607;top:57796;width:22510;height:49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qmvMMA&#10;AADcAAAADwAAAGRycy9kb3ducmV2LnhtbESPQUsDMRSE74L/ITzBm812D3a7bVqqVBE82Yrnx+Y1&#10;Cd28LEncrv/eFASPw8x8w6y3k+/FSDG5wArmswoEcRe0Y6Pg8/jy0IBIGVljH5gU/FCC7eb2Zo2t&#10;Dhf+oPGQjSgQTi0qsDkPrZSps+QxzcJAXLxTiB5zkdFIHfFS4L6XdVU9So+Oy4LFgZ4tdefDt1ew&#10;fzJL0zUY7b7Rzo3T1+ndvCp1fzftViAyTfk//Nd+0wrqRQ3XM+UIy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7qmvMMAAADcAAAADwAAAAAAAAAAAAAAAACYAgAAZHJzL2Rv&#10;d25yZXYueG1sUEsFBgAAAAAEAAQA9QAAAIgDAAAAAA==&#10;" fillcolor="white [3201]" strokeweight=".5pt">
                  <v:textbox>
                    <w:txbxContent>
                      <w:p w:rsidR="00EC1AB2" w:rsidRPr="003B56C6" w:rsidRDefault="00EC1AB2" w:rsidP="00395AAB">
                        <w:pPr>
                          <w:pStyle w:val="ListParagraph"/>
                          <w:numPr>
                            <w:ilvl w:val="0"/>
                            <w:numId w:val="18"/>
                          </w:numPr>
                          <w:rPr>
                            <w:rFonts w:ascii="Times New Roman" w:hAnsi="Times New Roman" w:cs="Times New Roman"/>
                            <w:sz w:val="16"/>
                            <w:szCs w:val="16"/>
                          </w:rPr>
                        </w:pPr>
                        <w:r>
                          <w:rPr>
                            <w:rFonts w:ascii="Times New Roman" w:hAnsi="Times New Roman" w:cs="Times New Roman"/>
                            <w:sz w:val="16"/>
                            <w:szCs w:val="16"/>
                          </w:rPr>
                          <w:t>Pensijų fondų ir draudimo įmonių dalyvavimas, formuojant rizikos kapitalo investicijas</w:t>
                        </w:r>
                      </w:p>
                    </w:txbxContent>
                  </v:textbox>
                </v:shape>
                <v:shape id="Text Box 273" o:spid="_x0000_s1103" type="#_x0000_t202" style="position:absolute;left:69270;top:51844;width:22510;height:49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YDJ8MA&#10;AADcAAAADwAAAGRycy9kb3ducmV2LnhtbESPQUsDMRSE74L/ITzBm83agl3XpkWlSqGnVvH82Lwm&#10;wc3LkqTb7b9vCoLHYWa+YRar0XdioJhcYAWPkwoEcRu0Y6Pg++vjoQaRMrLGLjApOFOC1fL2ZoGN&#10;Dife0bDPRhQIpwYV2Jz7RsrUWvKYJqEnLt4hRI+5yGikjngqcN/JaVU9SY+Oy4LFnt4ttb/7o1ew&#10;fjPPpq0x2nWtnRvGn8PWfCp1fze+voDINOb/8F97oxVM5zO4nilHQC4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PYDJ8MAAADcAAAADwAAAAAAAAAAAAAAAACYAgAAZHJzL2Rv&#10;d25yZXYueG1sUEsFBgAAAAAEAAQA9QAAAIgDAAAAAA==&#10;" fillcolor="white [3201]" strokeweight=".5pt">
                  <v:textbox>
                    <w:txbxContent>
                      <w:p w:rsidR="00EC1AB2" w:rsidRPr="0070504B" w:rsidRDefault="00EC1AB2" w:rsidP="00395AAB">
                        <w:pPr>
                          <w:pStyle w:val="ListParagraph"/>
                          <w:numPr>
                            <w:ilvl w:val="0"/>
                            <w:numId w:val="20"/>
                          </w:numPr>
                          <w:rPr>
                            <w:rFonts w:ascii="Times New Roman" w:hAnsi="Times New Roman" w:cs="Times New Roman"/>
                            <w:sz w:val="16"/>
                            <w:szCs w:val="16"/>
                          </w:rPr>
                        </w:pPr>
                        <w:r w:rsidRPr="0070504B">
                          <w:rPr>
                            <w:rFonts w:ascii="Times New Roman" w:hAnsi="Times New Roman" w:cs="Times New Roman"/>
                            <w:sz w:val="16"/>
                            <w:szCs w:val="16"/>
                          </w:rPr>
                          <w:t>Aukštųjų technologijų sektorius</w:t>
                        </w:r>
                      </w:p>
                      <w:p w:rsidR="00EC1AB2" w:rsidRPr="0070504B" w:rsidRDefault="00EC1AB2" w:rsidP="00395AAB">
                        <w:pPr>
                          <w:pStyle w:val="ListParagraph"/>
                          <w:numPr>
                            <w:ilvl w:val="0"/>
                            <w:numId w:val="19"/>
                          </w:numPr>
                          <w:rPr>
                            <w:rFonts w:ascii="Times New Roman" w:hAnsi="Times New Roman" w:cs="Times New Roman"/>
                            <w:sz w:val="16"/>
                            <w:szCs w:val="16"/>
                          </w:rPr>
                        </w:pPr>
                        <w:r w:rsidRPr="0070504B">
                          <w:rPr>
                            <w:rFonts w:ascii="Times New Roman" w:hAnsi="Times New Roman" w:cs="Times New Roman"/>
                            <w:sz w:val="16"/>
                            <w:szCs w:val="16"/>
                          </w:rPr>
                          <w:t>Vidutiniškai aukštųjų technologijų sektorius</w:t>
                        </w:r>
                      </w:p>
                      <w:p w:rsidR="00EC1AB2" w:rsidRPr="003B56C6" w:rsidRDefault="00EC1AB2" w:rsidP="00395AAB">
                        <w:pPr>
                          <w:jc w:val="center"/>
                          <w:rPr>
                            <w:rFonts w:ascii="Times New Roman" w:hAnsi="Times New Roman" w:cs="Times New Roman"/>
                            <w:sz w:val="16"/>
                            <w:szCs w:val="16"/>
                          </w:rPr>
                        </w:pPr>
                      </w:p>
                    </w:txbxContent>
                  </v:textbox>
                </v:shape>
                <v:shape id="Text Box 274" o:spid="_x0000_s1104" type="#_x0000_t202" style="position:absolute;left:69183;top:57624;width:22511;height:49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bU8MA&#10;AADcAAAADwAAAGRycy9kb3ducmV2LnhtbESPQUsDMRSE74L/ITzBm81ail3XpkWlSqGnVvH82Lwm&#10;wc3LkqTb7b9vCoLHYWa+YRar0XdioJhcYAWPkwoEcRu0Y6Pg++vjoQaRMrLGLjApOFOC1fL2ZoGN&#10;Dife0bDPRhQIpwYV2Jz7RsrUWvKYJqEnLt4hRI+5yGikjngqcN/JaVU9SY+Oy4LFnt4ttb/7o1ew&#10;fjPPpq0x2nWtnRvGn8PWfCp1fze+voDINOb/8F97oxVM5zO4nilHQC4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x+bU8MAAADcAAAADwAAAAAAAAAAAAAAAACYAgAAZHJzL2Rv&#10;d25yZXYueG1sUEsFBgAAAAAEAAQA9QAAAIgDAAAAAA==&#10;" fillcolor="white [3201]" strokeweight=".5pt">
                  <v:textbox>
                    <w:txbxContent>
                      <w:p w:rsidR="00EC1AB2" w:rsidRDefault="00EC1AB2" w:rsidP="00395AAB">
                        <w:pPr>
                          <w:pStyle w:val="ListParagraph"/>
                          <w:numPr>
                            <w:ilvl w:val="0"/>
                            <w:numId w:val="18"/>
                          </w:numPr>
                          <w:rPr>
                            <w:rFonts w:ascii="Times New Roman" w:hAnsi="Times New Roman" w:cs="Times New Roman"/>
                            <w:sz w:val="16"/>
                            <w:szCs w:val="16"/>
                          </w:rPr>
                        </w:pPr>
                        <w:r>
                          <w:rPr>
                            <w:rFonts w:ascii="Times New Roman" w:hAnsi="Times New Roman" w:cs="Times New Roman"/>
                            <w:sz w:val="16"/>
                            <w:szCs w:val="16"/>
                          </w:rPr>
                          <w:t>Įmonės veiklos parengiamoji stadija</w:t>
                        </w:r>
                      </w:p>
                      <w:p w:rsidR="00EC1AB2" w:rsidRDefault="00EC1AB2" w:rsidP="00395AAB">
                        <w:pPr>
                          <w:pStyle w:val="ListParagraph"/>
                          <w:numPr>
                            <w:ilvl w:val="0"/>
                            <w:numId w:val="18"/>
                          </w:numPr>
                          <w:rPr>
                            <w:rFonts w:ascii="Times New Roman" w:hAnsi="Times New Roman" w:cs="Times New Roman"/>
                            <w:sz w:val="16"/>
                            <w:szCs w:val="16"/>
                          </w:rPr>
                        </w:pPr>
                        <w:r>
                          <w:rPr>
                            <w:rFonts w:ascii="Times New Roman" w:hAnsi="Times New Roman" w:cs="Times New Roman"/>
                            <w:sz w:val="16"/>
                            <w:szCs w:val="16"/>
                          </w:rPr>
                          <w:t>Įmonės veiklos pradžios stadija</w:t>
                        </w:r>
                      </w:p>
                      <w:p w:rsidR="00EC1AB2" w:rsidRPr="003B56C6" w:rsidRDefault="00EC1AB2" w:rsidP="00395AAB">
                        <w:pPr>
                          <w:pStyle w:val="ListParagraph"/>
                          <w:numPr>
                            <w:ilvl w:val="0"/>
                            <w:numId w:val="18"/>
                          </w:numPr>
                          <w:rPr>
                            <w:rFonts w:ascii="Times New Roman" w:hAnsi="Times New Roman" w:cs="Times New Roman"/>
                            <w:sz w:val="16"/>
                            <w:szCs w:val="16"/>
                          </w:rPr>
                        </w:pPr>
                        <w:r>
                          <w:rPr>
                            <w:rFonts w:ascii="Times New Roman" w:hAnsi="Times New Roman" w:cs="Times New Roman"/>
                            <w:sz w:val="16"/>
                            <w:szCs w:val="16"/>
                          </w:rPr>
                          <w:t>Įmonės veiklos plėtros stadija</w:t>
                        </w:r>
                      </w:p>
                    </w:txbxContent>
                  </v:textbox>
                </v:shape>
                <v:line id="Straight Connector 275" o:spid="_x0000_s1105" style="position:absolute;visibility:visible;mso-wrap-style:square" from="47445,4658" to="47445,65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UtO+cQAAADcAAAADwAAAGRycy9kb3ducmV2LnhtbESPwWrDMBBE74X+g9hCb40cQ9vgRAlJ&#10;IGmutdNDb4u1sUyslZHk2P37qFDocZiZN8xqM9lO3MiH1rGC+SwDQVw73XKj4FwdXhYgQkTW2Dkm&#10;BT8UYLN+fFhhod3In3QrYyMShEOBCkyMfSFlqA1ZDDPXEyfv4rzFmKRvpPY4JrjtZJ5lb9Jiy2nB&#10;YE97Q/W1HKyC72EX/Uclt2M57Y8mP3T14L6Uen6atksQkab4H/5rn7SC/P0Vfs+kIyD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S075xAAAANwAAAAPAAAAAAAAAAAA&#10;AAAAAKECAABkcnMvZG93bnJldi54bWxQSwUGAAAAAAQABAD5AAAAkgMAAAAA&#10;" strokecolor="black [3213]" strokeweight="1.5pt"/>
                <v:shapetype id="_x0000_t32" coordsize="21600,21600" o:spt="32" o:oned="t" path="m,l21600,21600e" filled="f">
                  <v:path arrowok="t" fillok="f" o:connecttype="none"/>
                  <o:lock v:ext="edit" shapetype="t"/>
                </v:shapetype>
                <v:shape id="Straight Arrow Connector 276" o:spid="_x0000_s1106" type="#_x0000_t32" style="position:absolute;left:39854;top:6556;width:7592;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skz8cUAAADcAAAADwAAAGRycy9kb3ducmV2LnhtbESPzWrDMBCE74G+g9hCLyGR64Nt3Cgh&#10;lAR6aEv+HmBrbWwTa2Uk1XbfvioUchxm55ud1WYynRjI+daygudlAoK4srrlWsHlvF8UIHxA1thZ&#10;JgU/5GGzfpitsNR25CMNp1CLCGFfooImhL6U0lcNGfRL2xNH72qdwRClq6V2OEa46WSaJJk02HJs&#10;aLCn14aq2+nbxDfeD/tim+0+P6b6vJtfXO4sfyn19DhtX0AEmsL9+D/9phWkeQZ/YyIB5Po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skz8cUAAADcAAAADwAAAAAAAAAA&#10;AAAAAAChAgAAZHJzL2Rvd25yZXYueG1sUEsFBgAAAAAEAAQA+QAAAJMDAAAAAA==&#10;" strokecolor="black [3213]" strokeweight="1.5pt">
                  <v:stroke endarrow="open"/>
                </v:shape>
                <v:shape id="Straight Arrow Connector 277" o:spid="_x0000_s1107" type="#_x0000_t32" style="position:absolute;left:47445;top:6556;width:854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bUI8UAAADcAAAADwAAAGRycy9kb3ducmV2LnhtbESP3WoCMRSE7wXfIRyhd5rVi67dGkX6&#10;A70oFFcf4LA5JqvJybJJ3e3bN4WCl8PMfMNsdqN34kZ9bAMrWC4KEMRN0C0bBafj+3wNIiZkjS4w&#10;KfihCLvtdLLBSoeBD3SrkxEZwrFCBTalrpIyNpY8xkXoiLN3Dr3HlGVvpO5xyHDv5KooHqXHlvOC&#10;xY5eLDXX+tsruHyVT6frq1mezWfhDrUbjvZtUOphNu6fQSQa0z383/7QClZlCX9n8hGQ2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ObUI8UAAADcAAAADwAAAAAAAAAA&#10;AAAAAAChAgAAZHJzL2Rvd25yZXYueG1sUEsFBgAAAAAEAAQA+QAAAJMDAAAAAA==&#10;" strokecolor="black [3213]" strokeweight="1.5pt">
                  <v:stroke endarrow="open"/>
                </v:shape>
                <v:line id="Straight Connector 278" o:spid="_x0000_s1108" style="position:absolute;visibility:visible;mso-wrap-style:square" from="28122,7677" to="28122,138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0rhZ78AAADcAAAADwAAAGRycy9kb3ducmV2LnhtbERPPW/CMBDdK/EfrEPqVhwytFXAIEAC&#10;ujbAwHaKjzgiPke2Q8K/x0Oljk/ve7kebSse5EPjWMF8loEgrpxuuFZwPu0/vkGEiKyxdUwKnhRg&#10;vZq8LbHQbuBfepSxFimEQ4EKTIxdIWWoDFkMM9cRJ+7mvMWYoK+l9jikcNvKPMs+pcWGU4PBjnaG&#10;qnvZWwXXfhv98SQ3QznuDibft1XvLkq9T8fNAkSkMf6L/9w/WkH+ldamM+kIyNUL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D0rhZ78AAADcAAAADwAAAAAAAAAAAAAAAACh&#10;AgAAZHJzL2Rvd25yZXYueG1sUEsFBgAAAAAEAAQA+QAAAI0DAAAAAA==&#10;" strokecolor="black [3213]" strokeweight="1.5pt"/>
                <v:line id="Straight Connector 279" o:spid="_x0000_s1109" style="position:absolute;visibility:visible;mso-wrap-style:square" from="69183,7332" to="69183,134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AZE/MQAAADcAAAADwAAAGRycy9kb3ducmV2LnhtbESPwW7CMBBE75X6D9ZW6q045NCWgEGA&#10;BOXahB56W8VLHBGvI9sh6d/jSpV6HM3MG81qM9lO3MiH1rGC+SwDQVw73XKj4FwdXt5BhIissXNM&#10;Cn4owGb9+LDCQruRP+lWxkYkCIcCFZgY+0LKUBuyGGauJ07exXmLMUnfSO1xTHDbyTzLXqXFltOC&#10;wZ72huprOVgF38Mu+o9Kbsdy2h9NfujqwX0p9fw0bZcgIk3xP/zXPmkF+dsCfs+kIyD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BkT8xAAAANwAAAAPAAAAAAAAAAAA&#10;AAAAAKECAABkcnMvZG93bnJldi54bWxQSwUGAAAAAAQABAD5AAAAkgMAAAAA&#10;" strokecolor="black [3213]" strokeweight="1.5pt"/>
                <v:rect id="Rectangle 280" o:spid="_x0000_s1110" style="position:absolute;left:30882;top:8108;width:34500;height:150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MC51sEA&#10;AADcAAAADwAAAGRycy9kb3ducmV2LnhtbERPy4rCMBTdD/gP4QruxsQupHZMyzAquHDhC2aWl+ZO&#10;W2xuShO1/r1ZCC4P570sBtuKG/W+caxhNlUgiEtnGq40nE+bzxSED8gGW8ek4UEeinz0scTMuDsf&#10;6HYMlYgh7DPUUIfQZVL6siaLfuo64sj9u95iiLCvpOnxHsNtKxOl5tJiw7Ghxo5+aiovx6vVsDvt&#10;6XI9J7+p/dsli6ZUTq3WWk/Gw/cXiEBDeItf7q3RkKRxfjwTj4DM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DAudbBAAAA3AAAAA8AAAAAAAAAAAAAAAAAmAIAAGRycy9kb3du&#10;cmV2LnhtbFBLBQYAAAAABAAEAPUAAACGAwAAAAA=&#10;" filled="f" strokecolor="black [3213]" strokeweight="1pt">
                  <v:stroke dashstyle="dash"/>
                </v:rect>
                <v:shape id="Straight Arrow Connector 281" o:spid="_x0000_s1111" type="#_x0000_t32" style="position:absolute;left:28122;top:13802;width:276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aZ68UAAADcAAAADwAAAGRycy9kb3ducmV2LnhtbESPQWsCMRSE70L/Q3iF3jS7HqrdGkW0&#10;hR6E4uoPeGyeyWrysmxSd/vvm0Khx2FmvmFWm9E7cac+toEVlLMCBHETdMtGwfn0Pl2CiAlZowtM&#10;Cr4pwmb9MFlhpcPAR7rXyYgM4VihAptSV0kZG0se4yx0xNm7hN5jyrI3Uvc4ZLh3cl4Uz9Jjy3nB&#10;Ykc7S82t/vIKrp+Ll/Ntb8qLORTuWLvhZN8GpZ4ex+0riERj+g//tT+0gvmyhN8z+QjI9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ZaZ68UAAADcAAAADwAAAAAAAAAA&#10;AAAAAAChAgAAZHJzL2Rvd25yZXYueG1sUEsFBgAAAAAEAAQA+QAAAJMDAAAAAA==&#10;" strokecolor="black [3213]" strokeweight="1.5pt">
                  <v:stroke endarrow="open"/>
                </v:shape>
                <v:shape id="Straight Arrow Connector 282" o:spid="_x0000_s1112" type="#_x0000_t32" style="position:absolute;left:65301;top:13457;width:3802;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CdF1cYAAADcAAAADwAAAGRycy9kb3ducmV2LnhtbESPwWrDMBBE74X+g9hAL6WW60NqnCgh&#10;lAR6SEqT+AO21sY2sVZGUm3n76NCocdhdt7sLNeT6cRAzreWFbwmKQjiyuqWawXlefeSg/ABWWNn&#10;mRTcyMN69fiwxELbkY80nEItIoR9gQqaEPpCSl81ZNAntieO3sU6gyFKV0vtcIxw08ksTefSYMux&#10;ocGe3huqrqcfE9/Yf+3yzXz7eZjq8/a5dG/O8rdST7NpswARaAr/x3/pD60gyzP4HRMJIF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gnRdXGAAAA3AAAAA8AAAAAAAAA&#10;AAAAAAAAoQIAAGRycy9kb3ducmV2LnhtbFBLBQYAAAAABAAEAPkAAACUAwAAAAA=&#10;" strokecolor="black [3213]" strokeweight="1.5pt">
                  <v:stroke endarrow="open"/>
                </v:shape>
                <v:rect id="Rectangle 283" o:spid="_x0000_s1113" style="position:absolute;left:5175;top:23808;width:88067;height:263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Os/o8MA&#10;AADcAAAADwAAAGRycy9kb3ducmV2LnhtbESPS2vCQBSF9wX/w3AFd3WiQiupo/hALG6qUbu+ZK5J&#10;MHMnZsYY/32nILg8nMfHmcxaU4qGaldYVjDoRyCIU6sLzhQcD+v3MQjnkTWWlknBgxzMpp23Ccba&#10;3nlPTeIzEUbYxagg976KpXRpTgZd31bEwTvb2qAPss6krvEexk0ph1H0IQ0WHAg5VrTMKb0kNxMg&#10;zYKv64T2v9vdavMjk+bzcJJK9brt/AuEp9a/ws/2t1YwHI/g/0w4AnL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Os/o8MAAADcAAAADwAAAAAAAAAAAAAAAACYAgAAZHJzL2Rv&#10;d25yZXYueG1sUEsFBgAAAAAEAAQA9QAAAIgDAAAAAA==&#10;" filled="f" strokecolor="black [3213]" strokeweight="1pt">
                  <v:stroke dashstyle="longDashDotDot"/>
                </v:rect>
                <v:rect id="Rectangle 284" o:spid="_x0000_s1114" style="position:absolute;left:5175;top:50982;width:88067;height:1311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bRAMQA&#10;AADcAAAADwAAAGRycy9kb3ducmV2LnhtbESP3YrCMBSE74V9h3AWvFvTLSJSjeLPKqs34s8DHJtj&#10;W2xOShK1+/ZGWPBymJlvmPG0NbW4k/OVZQXfvQQEcW51xYWC03H1NQThA7LG2jIp+CMP08lHZ4yZ&#10;tg/e0/0QChEh7DNUUIbQZFL6vCSDvmcb4uhdrDMYonSF1A4fEW5qmSbJQBqsOC6U2NCipPx6uBkF&#10;bp1u1juW12r5M6vPi/l2KYutUt3PdjYCEagN7/B/+1crSId9eJ2JR0BO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d20QDEAAAA3AAAAA8AAAAAAAAAAAAAAAAAmAIAAGRycy9k&#10;b3ducmV2LnhtbFBLBQYAAAAABAAEAPUAAACJAwAAAAA=&#10;" filled="f" strokecolor="#0f243e [1615]" strokeweight="1pt"/>
                <v:shape id="Straight Arrow Connector 285" o:spid="_x0000_s1115" type="#_x0000_t32" style="position:absolute;left:21307;top:7677;width:172;height:1613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2f6MUAAADcAAAADwAAAGRycy9kb3ducmV2LnhtbESP3WoCMRSE7wXfIRyhd5pVaNXVKKU/&#10;0IuCuPoAh80xWU1Olk3qbt++KRR6OczMN8x2P3gn7tTFJrCC+awAQVwH3bBRcD69T1cgYkLW6AKT&#10;gm+KsN+NR1ssdej5SPcqGZEhHEtUYFNqSyljbcljnIWWOHuX0HlMWXZG6g77DPdOLoriSXpsOC9Y&#10;bOnFUn2rvryC62G5Pt9ezfxiPgt3rFx/sm+9Ug+T4XkDItGQ/sN/7Q+tYLF6hN8z+QjI3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q2f6MUAAADcAAAADwAAAAAAAAAA&#10;AAAAAAChAgAAZHJzL2Rvd25yZXYueG1sUEsFBgAAAAAEAAQA+QAAAJMDAAAAAA==&#10;" strokecolor="black [3213]" strokeweight="1.5pt">
                  <v:stroke endarrow="open"/>
                </v:shape>
                <v:shape id="Straight Arrow Connector 286" o:spid="_x0000_s1116" type="#_x0000_t32" style="position:absolute;left:73928;top:7504;width:172;height:1613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n8Bn8QAAADcAAAADwAAAGRycy9kb3ducmV2LnhtbESPQWsCMRSE70L/Q3iF3jSrB6urUUqr&#10;0EOhuPoDHptnspq8LJvU3f77RhB6HGbmG2a9HbwTN+piE1jBdFKAIK6DbtgoOB334wWImJA1usCk&#10;4JcibDdPozWWOvR8oFuVjMgQjiUqsCm1pZSxtuQxTkJLnL1z6DymLDsjdYd9hnsnZ0Uxlx4bzgsW&#10;W3q3VF+rH6/g8v26PF0/zPRsvgp3qFx/tLteqZfn4W0FItGQ/sOP9qdWMFvM4X4mHwG5+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wGfxAAAANwAAAAPAAAAAAAAAAAA&#10;AAAAAKECAABkcnMvZG93bnJldi54bWxQSwUGAAAAAAQABAD5AAAAkgMAAAAA&#10;" strokecolor="black [3213]" strokeweight="1.5pt">
                  <v:stroke endarrow="open"/>
                </v:shape>
                <v:line id="Straight Connector 287" o:spid="_x0000_s1117" style="position:absolute;flip:x;visibility:visible;mso-wrap-style:square" from="0,6556" to="5607,65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VyQ0MUAAADcAAAADwAAAGRycy9kb3ducmV2LnhtbESPT2vCQBTE70K/w/IK3ppNRK1EV2nF&#10;ingQ/9T7I/u6Cc2+Ddmtxm/vCgWPw8z8hpktOluLC7W+cqwgS1IQxIXTFRsF36evtwkIH5A11o5J&#10;wY08LOYvvRnm2l35QJdjMCJC2OeooAyhyaX0RUkWfeIa4uj9uNZiiLI1Urd4jXBby0GajqXFiuNC&#10;iQ0tSyp+j39WwQr1enjYjlb6tNsbM+yy9POcKdV/7T6mIAJ14Rn+b2+0gsHkHR5n4hGQ8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VyQ0MUAAADcAAAADwAAAAAAAAAA&#10;AAAAAAChAgAAZHJzL2Rvd25yZXYueG1sUEsFBgAAAAAEAAQA+QAAAJMDAAAAAA==&#10;" strokecolor="black [3213]" strokeweight="1.5pt"/>
                <v:line id="Straight Connector 288" o:spid="_x0000_s1118" style="position:absolute;flip:x;visibility:visible;mso-wrap-style:square" from="91353,6469" to="96960,64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MMEosAAAADcAAAADwAAAGRycy9kb3ducmV2LnhtbERPy4rCMBTdC/5DuMLsNK2olI5RVByR&#10;WYiv2V+aO2mZ5qY0UevfTxaCy8N5z5edrcWdWl85VpCOEhDEhdMVGwXXy9cwA+EDssbaMSl4kofl&#10;ot+bY67dg090PwcjYgj7HBWUITS5lL4oyaIfuYY4cr+utRgibI3ULT5iuK3lOElm0mLFsaHEhjYl&#10;FX/nm1WwRb2bnL6nW305HI2ZdGmy/kmV+hh0q08QgbrwFr/ce61gnMW18Uw8AnLx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DDBKLAAAAA3AAAAA8AAAAAAAAAAAAAAAAA&#10;oQIAAGRycy9kb3ducmV2LnhtbFBLBQYAAAAABAAEAPkAAACOAwAAAAA=&#10;" strokecolor="black [3213]" strokeweight="1.5pt"/>
                <v:line id="Straight Connector 289" o:spid="_x0000_s1119" style="position:absolute;visibility:visible;mso-wrap-style:square" from="0,6556" to="517,570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dM028MAAADcAAAADwAAAGRycy9kb3ducmV2LnhtbESPzWrDMBCE74W+g9hCb41cH0rqRjZp&#10;ID/XOsmht8XaWqbWykhy7Lx9FCj0OMzMN8yqmm0vLuRD51jB6yIDQdw43XGr4HTcvixBhIissXdM&#10;Cq4UoCofH1ZYaDfxF13q2IoE4VCgAhPjUEgZGkMWw8INxMn7cd5iTNK3UnucEtz2Ms+yN2mx47Rg&#10;cKCNoea3Hq2C7/Ez+v1Rrqd63uxMvu2b0Z2Ven6a1x8gIs3xP/zXPmgF+fId7mfSEZDl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XTNNvDAAAA3AAAAA8AAAAAAAAAAAAA&#10;AAAAoQIAAGRycy9kb3ducmV2LnhtbFBLBQYAAAAABAAEAPkAAACRAwAAAAA=&#10;" strokecolor="black [3213]" strokeweight="1.5pt"/>
                <v:line id="Straight Connector 290" o:spid="_x0000_s1120" style="position:absolute;visibility:visible;mso-wrap-style:square" from="96960,6469" to="97475,569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TALm78AAADcAAAADwAAAGRycy9kb3ducmV2LnhtbERPPW/CMBDdK/EfrEPqVhwyVG3AIEAC&#10;ujbAwHaKjzgiPke2Q8K/x0Oljk/ve7kebSse5EPjWMF8loEgrpxuuFZwPu0/vkCEiKyxdUwKnhRg&#10;vZq8LbHQbuBfepSxFimEQ4EKTIxdIWWoDFkMM9cRJ+7mvMWYoK+l9jikcNvKPMs+pcWGU4PBjnaG&#10;qnvZWwXXfhv98SQ3QznuDibft1XvLkq9T8fNAkSkMf6L/9w/WkH+neanM+kIyNUL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QTALm78AAADcAAAADwAAAAAAAAAAAAAAAACh&#10;AgAAZHJzL2Rvd25yZXYueG1sUEsFBgAAAAAEAAQA+QAAAI0DAAAAAA==&#10;" strokecolor="black [3213]" strokeweight="1.5pt"/>
                <v:shape id="Straight Arrow Connector 291" o:spid="_x0000_s1121" type="#_x0000_t32" style="position:absolute;left:517;top:56934;width:466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8PNsUAAADcAAAADwAAAGRycy9kb3ducmV2LnhtbESPQWsCMRSE74X+h/AKvdXseqh1NUpp&#10;FXooiKs/4LF5JqvJy7JJ3e2/bwShx2FmvmGW69E7caU+toEVlJMCBHETdMtGwfGwfXkDEROyRheY&#10;FPxShPXq8WGJlQ4D7+laJyMyhGOFCmxKXSVlbCx5jJPQEWfvFHqPKcveSN3jkOHeyWlRvEqPLecF&#10;ix19WGou9Y9XcN7N5sfLpylP5rtw+9oNB7sZlHp+Gt8XIBKN6T98b39pBdN5Cbcz+QjI1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E8PNsUAAADcAAAADwAAAAAAAAAA&#10;AAAAAAChAgAAZHJzL2Rvd25yZXYueG1sUEsFBgAAAAAEAAQA+QAAAJMDAAAAAA==&#10;" strokecolor="black [3213]" strokeweight="1.5pt">
                  <v:stroke endarrow="open"/>
                </v:shape>
                <v:shape id="Straight Arrow Connector 292" o:spid="_x0000_s1122" type="#_x0000_t32" style="position:absolute;left:92820;top:56848;width:4661;height:0;rotation:18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dPSMUAAADcAAAADwAAAGRycy9kb3ducmV2LnhtbESPQWvCQBSE7wX/w/KEXkrdJIeiqauU&#10;iLSngtGgx0f2NQlm34bsGpN/3xUKPQ4z8w2z3o6mFQP1rrGsIF5EIIhLqxuuFJyO+9clCOeRNbaW&#10;ScFEDrab2dMaU23vfKAh95UIEHYpKqi971IpXVmTQbewHXHwfmxv0AfZV1L3eA9w08okit6kwYbD&#10;Qo0dZTWV1/xmFBS35fk7m66fhX8phktBOxNfjko9z8ePdxCeRv8f/mt/aQXJKoHHmXAE5OY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UdPSMUAAADcAAAADwAAAAAAAAAA&#10;AAAAAAChAgAAZHJzL2Rvd25yZXYueG1sUEsFBgAAAAAEAAQA+QAAAJMDAAAAAA==&#10;" strokecolor="black [3213]" strokeweight="1.5pt">
                  <v:stroke endarrow="open"/>
                </v:shape>
                <v:line id="Straight Connector 293" o:spid="_x0000_s1123" style="position:absolute;visibility:visible;mso-wrap-style:square" from="47445,11559" to="47445,123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KV7MQAAADcAAAADwAAAGRycy9kb3ducmV2LnhtbESPwWrDMBBE74X+g9hCb40cF0rjRAlJ&#10;IGmutdNDb4u1sUyslZHk2P37qFDocZiZN8xqM9lO3MiH1rGC+SwDQVw73XKj4FwdXt5BhIissXNM&#10;Cn4owGb9+LDCQruRP+lWxkYkCIcCFZgY+0LKUBuyGGauJ07exXmLMUnfSO1xTHDbyTzL3qTFltOC&#10;wZ72huprOVgF38Mu+o9Kbsdy2h9NfujqwX0p9fw0bZcgIk3xP/zXPmkF+eIVfs+kIyD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4pXsxAAAANwAAAAPAAAAAAAAAAAA&#10;AAAAAKECAABkcnMvZG93bnJldi54bWxQSwUGAAAAAAQABAD5AAAAkgMAAAAA&#10;" strokecolor="black [3213]" strokeweight="1.5pt"/>
                <v:line id="Straight Connector 294" o:spid="_x0000_s1124" style="position:absolute;visibility:visible;mso-wrap-style:square" from="47445,18891" to="47445,198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sNmMQAAADcAAAADwAAAGRycy9kb3ducmV2LnhtbESPwWrDMBBE74X+g9hCb40cU0rjRAlJ&#10;IGmutdNDb4u1sUyslZHk2P37qFDocZiZN8xqM9lO3MiH1rGC+SwDQVw73XKj4FwdXt5BhIissXNM&#10;Cn4owGb9+LDCQruRP+lWxkYkCIcCFZgY+0LKUBuyGGauJ07exXmLMUnfSO1xTHDbyTzL3qTFltOC&#10;wZ72huprOVgF38Mu+o9Kbsdy2h9NfujqwX0p9fw0bZcgIk3xP/zXPmkF+eIVfs+kIyD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w2YxAAAANwAAAAPAAAAAAAAAAAA&#10;AAAAAKECAABkcnMvZG93bnJldi54bWxQSwUGAAAAAAQABAD5AAAAkgMAAAAA&#10;" strokecolor="black [3213]" strokeweight="1.5pt"/>
                <v:line id="Straight Connector 295" o:spid="_x0000_s1125" style="position:absolute;flip:x;visibility:visible;mso-wrap-style:square" from="30106,26138" to="31844,261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xs94cQAAADcAAAADwAAAGRycy9kb3ducmV2LnhtbESPQWvCQBSE7wX/w/IK3uomoqIxq9ii&#10;UjyImvb+yD43odm3Ibtq+u+7hUKPw8x8w+Tr3jbiTp2vHStIRwkI4tLpmo2Cj2L3MgfhA7LGxjEp&#10;+CYP69XgKcdMuwef6X4JRkQI+wwVVCG0mZS+rMiiH7mWOHpX11kMUXZG6g4fEW4bOU6SmbRYc1yo&#10;sKW3isqvy80q2KLeT86H6VYXx5Mxkz5NXj9TpYbP/WYJIlAf/sN/7XetYLyYwu+ZeATk6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Gz3hxAAAANwAAAAPAAAAAAAAAAAA&#10;AAAAAKECAABkcnMvZG93bnJldi54bWxQSwUGAAAAAAQABAD5AAAAkgMAAAAA&#10;" strokecolor="black [3213]" strokeweight="1.5pt"/>
                <v:line id="Straight Connector 296" o:spid="_x0000_s1126" style="position:absolute;flip:x;visibility:visible;mso-wrap-style:square" from="30106,31486" to="31745,314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8mjlsQAAADcAAAADwAAAGRycy9kb3ducmV2LnhtbESPQWvCQBSE7wX/w/IK3nQTsaLRVVRU&#10;pIfSaHt/ZJ+b0OzbkF01/fduQehxmJlvmMWqs7W4UesrxwrSYQKCuHC6YqPg67wfTEH4gKyxdkwK&#10;fsnDatl7WWCm3Z1zup2CERHCPkMFZQhNJqUvSrLoh64hjt7FtRZDlK2RusV7hNtajpJkIi1WHBdK&#10;bGhbUvFzuloFO9SHcf7+ttPnj09jxl2abL5Tpfqv3XoOIlAX/sPP9lErGM0m8HcmHgG5f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yaOWxAAAANwAAAAPAAAAAAAAAAAA&#10;AAAAAKECAABkcnMvZG93bnJldi54bWxQSwUGAAAAAAQABAD5AAAAkgMAAAAA&#10;" strokecolor="black [3213]" strokeweight="1.5pt"/>
                <v:line id="Straight Connector 297" o:spid="_x0000_s1127" style="position:absolute;flip:x;visibility:visible;mso-wrap-style:square" from="30106,37007" to="31744,370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IUGDcUAAADcAAAADwAAAGRycy9kb3ducmV2LnhtbESPT2vCQBTE7wW/w/IEb3WToLVNXYMt&#10;WqSH4t/7I/u6CWbfhuyq6bd3C4Ueh5n5DTMvetuIK3W+dqwgHScgiEunazYKjof14zMIH5A1No5J&#10;wQ95KBaDhznm2t14R9d9MCJC2OeooAqhzaX0ZUUW/di1xNH7dp3FEGVnpO7wFuG2kVmSPEmLNceF&#10;Clt6r6g87y9WwQr1x2T3OV3pw9fWmEmfJm+nVKnRsF++ggjUh//wX3ujFWQvM/g9E4+AXN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IUGDcUAAADcAAAADwAAAAAAAAAA&#10;AAAAAAChAgAAZHJzL2Rvd25yZXYueG1sUEsFBgAAAAAEAAQA+QAAAJMDAAAAAA==&#10;" strokecolor="black [3213]" strokeweight="1.5pt"/>
                <v:line id="Straight Connector 298" o:spid="_x0000_s1128" style="position:absolute;flip:x;visibility:visible;mso-wrap-style:square" from="30192,41751" to="31830,417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RqSf8EAAADcAAAADwAAAGRycy9kb3ducmV2LnhtbERPy4rCMBTdC/5DuII7TSsq2jGKijMM&#10;LsTHzP7S3EmLzU1pota/nywEl4fzXqxaW4k7Nb50rCAdJiCIc6dLNgp+Lp+DGQgfkDVWjknBkzys&#10;lt3OAjPtHnyi+zkYEUPYZ6igCKHOpPR5QRb90NXEkftzjcUQYWOkbvARw20lR0kylRZLjg0F1rQt&#10;KL+eb1bBDvXX+LSf7PTlcDRm3KbJ5jdVqt9r1x8gArXhLX65v7WC0TyujWfiEZDL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1GpJ/wQAAANwAAAAPAAAAAAAAAAAAAAAA&#10;AKECAABkcnMvZG93bnJldi54bWxQSwUGAAAAAAQABAD5AAAAjwMAAAAA&#10;" strokecolor="black [3213]" strokeweight="1.5pt"/>
                <v:line id="Straight Connector 299" o:spid="_x0000_s1129" style="position:absolute;flip:x;visibility:visible;mso-wrap-style:square" from="30106,47013" to="31744,470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Y35MUAAADcAAAADwAAAGRycy9kb3ducmV2LnhtbESPT2vCQBTE70K/w/IK3ppNRKVGV2nF&#10;ingQ/9T7I/u6Cc2+Ddmtxm/vCgWPw8z8hpktOluLC7W+cqwgS1IQxIXTFRsF36evt3cQPiBrrB2T&#10;ght5WMxfejPMtbvygS7HYESEsM9RQRlCk0vpi5Is+sQ1xNH7ca3FEGVrpG7xGuG2loM0HUuLFceF&#10;EhtallT8Hv+sghXq9fCwHa30abc3Zthl6ec5U6r/2n1MQQTqwjP8395oBYPJBB5n4hGQ8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lY35MUAAADcAAAADwAAAAAAAAAA&#10;AAAAAAChAgAAZHJzL2Rvd25yZXYueG1sUEsFBgAAAAAEAAQA+QAAAJMDAAAAAA==&#10;" strokecolor="black [3213]" strokeweight="1.5pt"/>
                <v:line id="Straight Connector 300" o:spid="_x0000_s1130" style="position:absolute;flip:x;visibility:visible;mso-wrap-style:square" from="64698,26138" to="66436,261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cEY8EAAADcAAAADwAAAGRycy9kb3ducmV2LnhtbERPy2oCMRTdF/oP4RbcaTI+ioxGaUVF&#10;upD62l8mt5mhk5thEnX8e7ModHk47/myc7W4URsqzxqygQJBXHhTsdVwPm36UxAhIhusPZOGBwVY&#10;Ll5f5pgbf+cD3Y7RihTCIUcNZYxNLmUoSnIYBr4hTtyPbx3GBFsrTYv3FO5qOVTqXTqsODWU2NCq&#10;pOL3eHUa1mi248PXZG1O+29rx12mPi+Z1r237mMGIlIX/8V/7p3RMFJpfjqTjoBcP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VhwRjwQAAANwAAAAPAAAAAAAAAAAAAAAA&#10;AKECAABkcnMvZG93bnJldi54bWxQSwUGAAAAAAQABAD5AAAAjwMAAAAA&#10;" strokecolor="black [3213]" strokeweight="1.5pt"/>
                <v:line id="Straight Connector 301" o:spid="_x0000_s1131" style="position:absolute;flip:x;visibility:visible;mso-wrap-style:square" from="64698,31055" to="66431,310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suh+MQAAADcAAAADwAAAGRycy9kb3ducmV2LnhtbESPT2sCMRTE7wW/Q3hCb5psa0VWo9ii&#10;Ij2U+u/+2Dyzi5uXZZPq9ts3gtDjMDO/YWaLztXiSm2oPGvIhgoEceFNxVbD8bAeTECEiGyw9kwa&#10;finAYt57mmFu/I13dN1HKxKEQ44ayhibXMpQlOQwDH1DnLyzbx3GJFsrTYu3BHe1fFFqLB1WnBZK&#10;bOijpOKy/3EaVmg2o93n28ocvr6tHXWZej9lWj/3u+UURKQu/ocf7a3R8KoyuJ9JR0D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6y6H4xAAAANwAAAAPAAAAAAAAAAAA&#10;AAAAAKECAABkcnMvZG93bnJldi54bWxQSwUGAAAAAAQABAD5AAAAkgMAAAAA&#10;" strokecolor="black [3213]" strokeweight="1.5pt"/>
                <v:line id="Straight Connector 302" o:spid="_x0000_s1132" style="position:absolute;flip:x;visibility:visible;mso-wrap-style:square" from="64698,37007" to="66431,370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k/j8QAAADcAAAADwAAAGRycy9kb3ducmV2LnhtbESPQWsCMRSE7wX/Q3iCN01WbSmrUVpR&#10;kR6kar0/Nq/ZpZuXZRN1++8bQehxmJlvmPmyc7W4UhsqzxqykQJBXHhTsdXwddoMX0GEiGyw9kwa&#10;finActF7mmNu/I0PdD1GKxKEQ44ayhibXMpQlOQwjHxDnLxv3zqMSbZWmhZvCe5qOVbqRTqsOC2U&#10;2NCqpOLneHEa1mi208PH89qc9p/WTrtMvZ8zrQf97m0GIlIX/8OP9s5omKgx3M+kIyA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GT+PxAAAANwAAAAPAAAAAAAAAAAA&#10;AAAAAKECAABkcnMvZG93bnJldi54bWxQSwUGAAAAAAQABAD5AAAAkgMAAAAA&#10;" strokecolor="black [3213]" strokeweight="1.5pt"/>
                <v:line id="Straight Connector 303" o:spid="_x0000_s1133" style="position:absolute;flip:x;visibility:visible;mso-wrap-style:square" from="64698,41751" to="66431,417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WaFMQAAADcAAAADwAAAGRycy9kb3ducmV2LnhtbESPQWsCMRSE7wX/Q3iCN01WbSmrUVpR&#10;kR6kar0/Nq/ZpZuXZRN1++8bQehxmJlvmPmyc7W4UhsqzxqykQJBXHhTsdXwddoMX0GEiGyw9kwa&#10;finActF7mmNu/I0PdD1GKxKEQ44ayhibXMpQlOQwjHxDnLxv3zqMSbZWmhZvCe5qOVbqRTqsOC2U&#10;2NCqpOLneHEa1mi208PH89qc9p/WTrtMvZ8zrQf97m0GIlIX/8OP9s5omKgJ3M+kIyA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VZoUxAAAANwAAAAPAAAAAAAAAAAA&#10;AAAAAKECAABkcnMvZG93bnJldi54bWxQSwUGAAAAAAQABAD5AAAAkgMAAAAA&#10;" strokecolor="black [3213]" strokeweight="1.5pt"/>
                <v:line id="Straight Connector 304" o:spid="_x0000_s1134" style="position:absolute;flip:x;visibility:visible;mso-wrap-style:square" from="64698,47013" to="66431,470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rwCYMQAAADcAAAADwAAAGRycy9kb3ducmV2LnhtbESPQWsCMRSE7wX/Q3iF3jTZuhVZjWJF&#10;pfRQqrb3x+aZXbp5WTaprv/eFIQeh5n5hpkve9eIM3Wh9qwhGykQxKU3NVsNX8ftcAoiRGSDjWfS&#10;cKUAy8XgYY6F8Rfe0/kQrUgQDgVqqGJsCylDWZHDMPItcfJOvnMYk+ysNB1eEtw18lmpiXRYc1qo&#10;sKV1ReXP4ddp2KDZ5fv3l405fnxam/eZev3OtH567FczEJH6+B++t9+MhrHK4e9MOgJyc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vAJgxAAAANwAAAAPAAAAAAAAAAAA&#10;AAAAAKECAABkcnMvZG93bnJldi54bWxQSwUGAAAAAAQABAD5AAAAkgMAAAAA&#10;" strokecolor="black [3213]" strokeweight="1.5pt"/>
                <v:line id="Straight Connector 305" o:spid="_x0000_s1135" style="position:absolute;flip:x;visibility:visible;mso-wrap-style:square" from="28122,54346" to="29329,54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Cn+8QAAADcAAAADwAAAGRycy9kb3ducmV2LnhtbESPQWsCMRSE74L/ITyht5psq6WsRtFi&#10;pXiQrtb7Y/OaXbp5WTaprv++EQoeh5n5hpkve9eIM3Wh9qwhGysQxKU3NVsNX8f3x1cQISIbbDyT&#10;hisFWC6Ggznmxl+4oPMhWpEgHHLUUMXY5lKGsiKHYexb4uR9+85hTLKz0nR4SXDXyCelXqTDmtNC&#10;hS29VVT+HH6dhg2a7aTYTTfmuP+0dtJnan3KtH4Y9asZiEh9vIf/2x9Gw7Oawu1MOgJy8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8Kf7xAAAANwAAAAPAAAAAAAAAAAA&#10;AAAAAKECAABkcnMvZG93bnJldi54bWxQSwUGAAAAAAQABAD5AAAAkgMAAAAA&#10;" strokecolor="black [3213]" strokeweight="1.5pt"/>
                <v:line id="Straight Connector 306" o:spid="_x0000_s1136" style="position:absolute;flip:x;visibility:visible;mso-wrap-style:square" from="28122,60126" to="29328,601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I5jMQAAADcAAAADwAAAGRycy9kb3ducmV2LnhtbESPQWsCMRSE7wX/Q3iF3jRZq1JWo2ix&#10;RTxI1fb+2DyzSzcvyybV9d8bQehxmJlvmNmic7U4UxsqzxqygQJBXHhTsdXwffzov4EIEdlg7Zk0&#10;XCnAYt57mmFu/IX3dD5EKxKEQ44ayhibXMpQlOQwDHxDnLyTbx3GJFsrTYuXBHe1HCo1kQ4rTgsl&#10;NvReUvF7+HMa1mg+R/vteG2Ouy9rR12mVj+Z1i/P3XIKIlIX/8OP9sZoeFUTuJ9JR0DO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1IjmMxAAAANwAAAAPAAAAAAAAAAAA&#10;AAAAAKECAABkcnMvZG93bnJldi54bWxQSwUGAAAAAAQABAD5AAAAkgMAAAAA&#10;" strokecolor="black [3213]" strokeweight="1.5pt"/>
                <v:line id="Straight Connector 307" o:spid="_x0000_s1137" style="position:absolute;flip:x;visibility:visible;mso-wrap-style:square" from="68062,54346" to="69268,54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m6cF8QAAADcAAAADwAAAGRycy9kb3ducmV2LnhtbESPT2sCMRTE7wW/Q3hCb5qstVVWo9hi&#10;S/FQ/Ht/bJ7Zxc3Lskl1++2bgtDjMDO/YebLztXiSm2oPGvIhgoEceFNxVbD8fA+mIIIEdlg7Zk0&#10;/FCA5aL3MMfc+Bvv6LqPViQIhxw1lDE2uZShKMlhGPqGOHln3zqMSbZWmhZvCe5qOVLqRTqsOC2U&#10;2NBbScVl/+00rNF8jHeb57U5fG2tHXeZej1lWj/2u9UMRKQu/ofv7U+j4UlN4O9MOgJy8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bpwXxAAAANwAAAAPAAAAAAAAAAAA&#10;AAAAAKECAABkcnMvZG93bnJldi54bWxQSwUGAAAAAAQABAD5AAAAkgMAAAAA&#10;" strokecolor="black [3213]" strokeweight="1.5pt"/>
                <v:line id="Straight Connector 308" o:spid="_x0000_s1138" style="position:absolute;flip:x;visibility:visible;mso-wrap-style:square" from="67976,59694" to="69182,596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IZcEAAADcAAAADwAAAGRycy9kb3ducmV2LnhtbERPy2oCMRTdF/oP4RbcaTI+ioxGaUVF&#10;upD62l8mt5mhk5thEnX8e7ModHk47/myc7W4URsqzxqygQJBXHhTsdVwPm36UxAhIhusPZOGBwVY&#10;Ll5f5pgbf+cD3Y7RihTCIUcNZYxNLmUoSnIYBr4hTtyPbx3GBFsrTYv3FO5qOVTqXTqsODWU2NCq&#10;pOL3eHUa1mi248PXZG1O+29rx12mPi+Z1r237mMGIlIX/8V/7p3RMFJpbTqTjoBcP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r8QhlwQAAANwAAAAPAAAAAAAAAAAAAAAA&#10;AKECAABkcnMvZG93bnJldi54bWxQSwUGAAAAAAQABAD5AAAAjwMAAAAA&#10;" strokecolor="black [3213]" strokeweight="1.5pt"/>
              </v:group>
            </w:pict>
          </mc:Fallback>
        </mc:AlternateContent>
      </w:r>
    </w:p>
    <w:sectPr w:rsidR="00D12AB2" w:rsidRPr="00EC1AB2" w:rsidSect="00395AAB">
      <w:pgSz w:w="11906" w:h="16838"/>
      <w:pgMar w:top="567" w:right="1134" w:bottom="1418" w:left="1134"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54B62" w:rsidRDefault="00554B62" w:rsidP="00222D14">
      <w:pPr>
        <w:spacing w:after="0" w:line="240" w:lineRule="auto"/>
      </w:pPr>
      <w:r>
        <w:separator/>
      </w:r>
    </w:p>
  </w:endnote>
  <w:endnote w:type="continuationSeparator" w:id="0">
    <w:p w:rsidR="00554B62" w:rsidRDefault="00554B62" w:rsidP="00222D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n-ea">
    <w:panose1 w:val="00000000000000000000"/>
    <w:charset w:val="00"/>
    <w:family w:val="roman"/>
    <w:notTrueType/>
    <w:pitch w:val="default"/>
  </w:font>
  <w:font w:name="Calibri">
    <w:panose1 w:val="020F0502020204030204"/>
    <w:charset w:val="BA"/>
    <w:family w:val="swiss"/>
    <w:pitch w:val="variable"/>
    <w:sig w:usb0="E10002FF" w:usb1="4000ACFF" w:usb2="00000009"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MinionPro-Regular">
    <w:altName w:val="MS Mincho"/>
    <w:panose1 w:val="00000000000000000000"/>
    <w:charset w:val="80"/>
    <w:family w:val="auto"/>
    <w:notTrueType/>
    <w:pitch w:val="default"/>
    <w:sig w:usb0="00000001" w:usb1="08070000" w:usb2="00000010" w:usb3="00000000" w:csb0="00020000" w:csb1="00000000"/>
  </w:font>
  <w:font w:name="Batang">
    <w:altName w:val="바탕"/>
    <w:panose1 w:val="02030600000101010101"/>
    <w:charset w:val="81"/>
    <w:family w:val="roman"/>
    <w:pitch w:val="variable"/>
    <w:sig w:usb0="B00002AF" w:usb1="69D77CFB" w:usb2="00000030" w:usb3="00000000" w:csb0="0008009F" w:csb1="00000000"/>
  </w:font>
  <w:font w:name="+mj-ea">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54B62" w:rsidRDefault="00554B62" w:rsidP="00222D14">
      <w:pPr>
        <w:spacing w:after="0" w:line="240" w:lineRule="auto"/>
      </w:pPr>
      <w:r>
        <w:separator/>
      </w:r>
    </w:p>
  </w:footnote>
  <w:footnote w:type="continuationSeparator" w:id="0">
    <w:p w:rsidR="00554B62" w:rsidRDefault="00554B62" w:rsidP="00222D1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1AB2" w:rsidRDefault="00EC1AB2" w:rsidP="00F3420B">
    <w:pPr>
      <w:pStyle w:val="Header"/>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36018839"/>
      <w:docPartObj>
        <w:docPartGallery w:val="Page Numbers (Top of Page)"/>
        <w:docPartUnique/>
      </w:docPartObj>
    </w:sdtPr>
    <w:sdtEndPr>
      <w:rPr>
        <w:rFonts w:ascii="Times New Roman" w:hAnsi="Times New Roman" w:cs="Times New Roman"/>
        <w:sz w:val="24"/>
        <w:szCs w:val="24"/>
      </w:rPr>
    </w:sdtEndPr>
    <w:sdtContent>
      <w:p w:rsidR="00EC1AB2" w:rsidRPr="00283F81" w:rsidRDefault="00EC1AB2">
        <w:pPr>
          <w:pStyle w:val="Header"/>
          <w:jc w:val="center"/>
          <w:rPr>
            <w:rFonts w:ascii="Times New Roman" w:hAnsi="Times New Roman" w:cs="Times New Roman"/>
            <w:sz w:val="24"/>
            <w:szCs w:val="24"/>
          </w:rPr>
        </w:pPr>
        <w:r w:rsidRPr="00283F81">
          <w:rPr>
            <w:rFonts w:ascii="Times New Roman" w:hAnsi="Times New Roman" w:cs="Times New Roman"/>
            <w:sz w:val="24"/>
            <w:szCs w:val="24"/>
          </w:rPr>
          <w:fldChar w:fldCharType="begin"/>
        </w:r>
        <w:r w:rsidRPr="00283F81">
          <w:rPr>
            <w:rFonts w:ascii="Times New Roman" w:hAnsi="Times New Roman" w:cs="Times New Roman"/>
            <w:sz w:val="24"/>
            <w:szCs w:val="24"/>
          </w:rPr>
          <w:instrText>PAGE   \* MERGEFORMAT</w:instrText>
        </w:r>
        <w:r w:rsidRPr="00283F81">
          <w:rPr>
            <w:rFonts w:ascii="Times New Roman" w:hAnsi="Times New Roman" w:cs="Times New Roman"/>
            <w:sz w:val="24"/>
            <w:szCs w:val="24"/>
          </w:rPr>
          <w:fldChar w:fldCharType="separate"/>
        </w:r>
        <w:r w:rsidR="007E5CE2">
          <w:rPr>
            <w:rFonts w:ascii="Times New Roman" w:hAnsi="Times New Roman" w:cs="Times New Roman"/>
            <w:noProof/>
            <w:sz w:val="24"/>
            <w:szCs w:val="24"/>
          </w:rPr>
          <w:t>75</w:t>
        </w:r>
        <w:r w:rsidRPr="00283F81">
          <w:rPr>
            <w:rFonts w:ascii="Times New Roman" w:hAnsi="Times New Roman" w:cs="Times New Roman"/>
            <w:sz w:val="24"/>
            <w:szCs w:val="24"/>
          </w:rPr>
          <w:fldChar w:fldCharType="end"/>
        </w:r>
      </w:p>
    </w:sdtContent>
  </w:sdt>
  <w:p w:rsidR="00EC1AB2" w:rsidRDefault="00EC1AB2" w:rsidP="00F3420B">
    <w:pPr>
      <w:pStyle w:val="Heade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F0D73"/>
    <w:multiLevelType w:val="hybridMultilevel"/>
    <w:tmpl w:val="06927AF2"/>
    <w:lvl w:ilvl="0" w:tplc="214CBA8C">
      <w:start w:val="1"/>
      <w:numFmt w:val="decimal"/>
      <w:lvlText w:val="%1."/>
      <w:lvlJc w:val="left"/>
      <w:pPr>
        <w:ind w:left="1080" w:hanging="360"/>
      </w:pPr>
      <w:rPr>
        <w:rFonts w:hint="default"/>
        <w:b/>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
    <w:nsid w:val="023B4A27"/>
    <w:multiLevelType w:val="hybridMultilevel"/>
    <w:tmpl w:val="0796659E"/>
    <w:lvl w:ilvl="0" w:tplc="04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4990C94"/>
    <w:multiLevelType w:val="hybridMultilevel"/>
    <w:tmpl w:val="B03C6DBA"/>
    <w:lvl w:ilvl="0" w:tplc="3132C74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nsid w:val="07E17129"/>
    <w:multiLevelType w:val="hybridMultilevel"/>
    <w:tmpl w:val="7A8CA9D8"/>
    <w:lvl w:ilvl="0" w:tplc="04270015">
      <w:start w:val="1"/>
      <w:numFmt w:val="upp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nsid w:val="08112EEA"/>
    <w:multiLevelType w:val="hybridMultilevel"/>
    <w:tmpl w:val="E2E4BFB4"/>
    <w:lvl w:ilvl="0" w:tplc="65F4BC36">
      <w:start w:val="1"/>
      <w:numFmt w:val="bullet"/>
      <w:lvlText w:val=""/>
      <w:lvlJc w:val="left"/>
      <w:pPr>
        <w:ind w:left="720" w:hanging="360"/>
      </w:pPr>
      <w:rPr>
        <w:rFonts w:ascii="Symbol" w:hAnsi="Symbol" w:hint="default"/>
        <w:sz w:val="16"/>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5">
    <w:nsid w:val="085A1B95"/>
    <w:multiLevelType w:val="hybridMultilevel"/>
    <w:tmpl w:val="3FCCFE54"/>
    <w:lvl w:ilvl="0" w:tplc="C0728CD4">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6">
    <w:nsid w:val="0AD6541C"/>
    <w:multiLevelType w:val="hybridMultilevel"/>
    <w:tmpl w:val="2650324A"/>
    <w:lvl w:ilvl="0" w:tplc="0396070E">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7">
    <w:nsid w:val="13AE3D28"/>
    <w:multiLevelType w:val="hybridMultilevel"/>
    <w:tmpl w:val="74127A94"/>
    <w:lvl w:ilvl="0" w:tplc="44642DB8">
      <w:start w:val="1"/>
      <w:numFmt w:val="decimal"/>
      <w:lvlText w:val="%1."/>
      <w:lvlJc w:val="left"/>
      <w:pPr>
        <w:ind w:left="1800" w:hanging="360"/>
      </w:pPr>
      <w:rPr>
        <w:rFonts w:hint="default"/>
      </w:rPr>
    </w:lvl>
    <w:lvl w:ilvl="1" w:tplc="04270019" w:tentative="1">
      <w:start w:val="1"/>
      <w:numFmt w:val="lowerLetter"/>
      <w:lvlText w:val="%2."/>
      <w:lvlJc w:val="left"/>
      <w:pPr>
        <w:ind w:left="2520" w:hanging="360"/>
      </w:pPr>
    </w:lvl>
    <w:lvl w:ilvl="2" w:tplc="0427001B" w:tentative="1">
      <w:start w:val="1"/>
      <w:numFmt w:val="lowerRoman"/>
      <w:lvlText w:val="%3."/>
      <w:lvlJc w:val="right"/>
      <w:pPr>
        <w:ind w:left="3240" w:hanging="180"/>
      </w:pPr>
    </w:lvl>
    <w:lvl w:ilvl="3" w:tplc="0427000F" w:tentative="1">
      <w:start w:val="1"/>
      <w:numFmt w:val="decimal"/>
      <w:lvlText w:val="%4."/>
      <w:lvlJc w:val="left"/>
      <w:pPr>
        <w:ind w:left="3960" w:hanging="360"/>
      </w:pPr>
    </w:lvl>
    <w:lvl w:ilvl="4" w:tplc="04270019" w:tentative="1">
      <w:start w:val="1"/>
      <w:numFmt w:val="lowerLetter"/>
      <w:lvlText w:val="%5."/>
      <w:lvlJc w:val="left"/>
      <w:pPr>
        <w:ind w:left="4680" w:hanging="360"/>
      </w:pPr>
    </w:lvl>
    <w:lvl w:ilvl="5" w:tplc="0427001B" w:tentative="1">
      <w:start w:val="1"/>
      <w:numFmt w:val="lowerRoman"/>
      <w:lvlText w:val="%6."/>
      <w:lvlJc w:val="right"/>
      <w:pPr>
        <w:ind w:left="5400" w:hanging="180"/>
      </w:pPr>
    </w:lvl>
    <w:lvl w:ilvl="6" w:tplc="0427000F" w:tentative="1">
      <w:start w:val="1"/>
      <w:numFmt w:val="decimal"/>
      <w:lvlText w:val="%7."/>
      <w:lvlJc w:val="left"/>
      <w:pPr>
        <w:ind w:left="6120" w:hanging="360"/>
      </w:pPr>
    </w:lvl>
    <w:lvl w:ilvl="7" w:tplc="04270019" w:tentative="1">
      <w:start w:val="1"/>
      <w:numFmt w:val="lowerLetter"/>
      <w:lvlText w:val="%8."/>
      <w:lvlJc w:val="left"/>
      <w:pPr>
        <w:ind w:left="6840" w:hanging="360"/>
      </w:pPr>
    </w:lvl>
    <w:lvl w:ilvl="8" w:tplc="0427001B" w:tentative="1">
      <w:start w:val="1"/>
      <w:numFmt w:val="lowerRoman"/>
      <w:lvlText w:val="%9."/>
      <w:lvlJc w:val="right"/>
      <w:pPr>
        <w:ind w:left="7560" w:hanging="180"/>
      </w:pPr>
    </w:lvl>
  </w:abstractNum>
  <w:abstractNum w:abstractNumId="8">
    <w:nsid w:val="17CC2F07"/>
    <w:multiLevelType w:val="hybridMultilevel"/>
    <w:tmpl w:val="BC98BAB4"/>
    <w:lvl w:ilvl="0" w:tplc="E0141808">
      <w:start w:val="1"/>
      <w:numFmt w:val="bullet"/>
      <w:lvlText w:val=""/>
      <w:lvlJc w:val="left"/>
      <w:pPr>
        <w:ind w:left="720" w:hanging="360"/>
      </w:pPr>
      <w:rPr>
        <w:rFonts w:ascii="Symbol" w:hAnsi="Symbol" w:hint="default"/>
        <w:sz w:val="16"/>
        <w14:ligatures w14:val="none"/>
        <w14:numForm w14:val="default"/>
        <w14:numSpacing w14:val="default"/>
        <w14:stylisticSets/>
        <w14:cntxtAlts w14:val="0"/>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9">
    <w:nsid w:val="17F011E1"/>
    <w:multiLevelType w:val="hybridMultilevel"/>
    <w:tmpl w:val="B5E45BCA"/>
    <w:lvl w:ilvl="0" w:tplc="C60A26B8">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0">
    <w:nsid w:val="19255E7A"/>
    <w:multiLevelType w:val="hybridMultilevel"/>
    <w:tmpl w:val="F04654A4"/>
    <w:lvl w:ilvl="0" w:tplc="0427000F">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
    <w:nsid w:val="1A236D40"/>
    <w:multiLevelType w:val="hybridMultilevel"/>
    <w:tmpl w:val="F9DE7E9A"/>
    <w:lvl w:ilvl="0" w:tplc="04270015">
      <w:start w:val="1"/>
      <w:numFmt w:val="upp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
    <w:nsid w:val="1B7B0276"/>
    <w:multiLevelType w:val="hybridMultilevel"/>
    <w:tmpl w:val="5150CA6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nsid w:val="1C453D29"/>
    <w:multiLevelType w:val="hybridMultilevel"/>
    <w:tmpl w:val="24F2D1E0"/>
    <w:lvl w:ilvl="0" w:tplc="0427000F">
      <w:start w:val="1"/>
      <w:numFmt w:val="decimal"/>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4">
    <w:nsid w:val="1D1A1AC2"/>
    <w:multiLevelType w:val="multilevel"/>
    <w:tmpl w:val="568CA7DE"/>
    <w:lvl w:ilvl="0">
      <w:start w:val="1"/>
      <w:numFmt w:val="decimal"/>
      <w:lvlText w:val="%1."/>
      <w:lvlJc w:val="left"/>
      <w:pPr>
        <w:ind w:left="927" w:hanging="360"/>
      </w:pPr>
      <w:rPr>
        <w:rFonts w:ascii="Times New Roman" w:eastAsia="+mn-ea" w:hAnsi="Times New Roman" w:cstheme="minorBidi"/>
        <w:i w:val="0"/>
      </w:rPr>
    </w:lvl>
    <w:lvl w:ilvl="1">
      <w:start w:val="1"/>
      <w:numFmt w:val="decimal"/>
      <w:isLgl/>
      <w:lvlText w:val="%1.%2."/>
      <w:lvlJc w:val="left"/>
      <w:pPr>
        <w:ind w:left="927" w:hanging="36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367" w:hanging="1800"/>
      </w:pPr>
      <w:rPr>
        <w:rFonts w:hint="default"/>
      </w:rPr>
    </w:lvl>
  </w:abstractNum>
  <w:abstractNum w:abstractNumId="15">
    <w:nsid w:val="1D2C6285"/>
    <w:multiLevelType w:val="hybridMultilevel"/>
    <w:tmpl w:val="940C12A0"/>
    <w:lvl w:ilvl="0" w:tplc="0A7C90CA">
      <w:start w:val="1"/>
      <w:numFmt w:val="bullet"/>
      <w:lvlText w:val=""/>
      <w:lvlJc w:val="left"/>
      <w:pPr>
        <w:ind w:left="720" w:hanging="360"/>
      </w:pPr>
      <w:rPr>
        <w:rFonts w:ascii="Symbol" w:hAnsi="Symbol" w:hint="default"/>
        <w:sz w:val="16"/>
        <w14:ligatures w14:val="none"/>
        <w14:numForm w14:val="default"/>
        <w14:numSpacing w14:val="default"/>
        <w14:stylisticSets/>
        <w14:cntxtAlts w14:val="0"/>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6">
    <w:nsid w:val="1EAB3FB5"/>
    <w:multiLevelType w:val="multilevel"/>
    <w:tmpl w:val="C602B202"/>
    <w:lvl w:ilvl="0">
      <w:start w:val="2"/>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nsid w:val="2C336AD2"/>
    <w:multiLevelType w:val="hybridMultilevel"/>
    <w:tmpl w:val="A8EAA8CA"/>
    <w:lvl w:ilvl="0" w:tplc="5E28B78A">
      <w:start w:val="1"/>
      <w:numFmt w:val="decimal"/>
      <w:lvlText w:val="%1."/>
      <w:lvlJc w:val="left"/>
      <w:pPr>
        <w:ind w:left="2016" w:hanging="360"/>
      </w:pPr>
      <w:rPr>
        <w:rFonts w:hint="default"/>
      </w:rPr>
    </w:lvl>
    <w:lvl w:ilvl="1" w:tplc="04270019" w:tentative="1">
      <w:start w:val="1"/>
      <w:numFmt w:val="lowerLetter"/>
      <w:lvlText w:val="%2."/>
      <w:lvlJc w:val="left"/>
      <w:pPr>
        <w:ind w:left="2736" w:hanging="360"/>
      </w:pPr>
    </w:lvl>
    <w:lvl w:ilvl="2" w:tplc="0427001B" w:tentative="1">
      <w:start w:val="1"/>
      <w:numFmt w:val="lowerRoman"/>
      <w:lvlText w:val="%3."/>
      <w:lvlJc w:val="right"/>
      <w:pPr>
        <w:ind w:left="3456" w:hanging="180"/>
      </w:pPr>
    </w:lvl>
    <w:lvl w:ilvl="3" w:tplc="0427000F" w:tentative="1">
      <w:start w:val="1"/>
      <w:numFmt w:val="decimal"/>
      <w:lvlText w:val="%4."/>
      <w:lvlJc w:val="left"/>
      <w:pPr>
        <w:ind w:left="4176" w:hanging="360"/>
      </w:pPr>
    </w:lvl>
    <w:lvl w:ilvl="4" w:tplc="04270019" w:tentative="1">
      <w:start w:val="1"/>
      <w:numFmt w:val="lowerLetter"/>
      <w:lvlText w:val="%5."/>
      <w:lvlJc w:val="left"/>
      <w:pPr>
        <w:ind w:left="4896" w:hanging="360"/>
      </w:pPr>
    </w:lvl>
    <w:lvl w:ilvl="5" w:tplc="0427001B" w:tentative="1">
      <w:start w:val="1"/>
      <w:numFmt w:val="lowerRoman"/>
      <w:lvlText w:val="%6."/>
      <w:lvlJc w:val="right"/>
      <w:pPr>
        <w:ind w:left="5616" w:hanging="180"/>
      </w:pPr>
    </w:lvl>
    <w:lvl w:ilvl="6" w:tplc="0427000F" w:tentative="1">
      <w:start w:val="1"/>
      <w:numFmt w:val="decimal"/>
      <w:lvlText w:val="%7."/>
      <w:lvlJc w:val="left"/>
      <w:pPr>
        <w:ind w:left="6336" w:hanging="360"/>
      </w:pPr>
    </w:lvl>
    <w:lvl w:ilvl="7" w:tplc="04270019" w:tentative="1">
      <w:start w:val="1"/>
      <w:numFmt w:val="lowerLetter"/>
      <w:lvlText w:val="%8."/>
      <w:lvlJc w:val="left"/>
      <w:pPr>
        <w:ind w:left="7056" w:hanging="360"/>
      </w:pPr>
    </w:lvl>
    <w:lvl w:ilvl="8" w:tplc="0427001B" w:tentative="1">
      <w:start w:val="1"/>
      <w:numFmt w:val="lowerRoman"/>
      <w:lvlText w:val="%9."/>
      <w:lvlJc w:val="right"/>
      <w:pPr>
        <w:ind w:left="7776" w:hanging="180"/>
      </w:pPr>
    </w:lvl>
  </w:abstractNum>
  <w:abstractNum w:abstractNumId="18">
    <w:nsid w:val="2DC17711"/>
    <w:multiLevelType w:val="multilevel"/>
    <w:tmpl w:val="2674BB4C"/>
    <w:lvl w:ilvl="0">
      <w:start w:val="1"/>
      <w:numFmt w:val="decimal"/>
      <w:lvlText w:val="%1."/>
      <w:lvlJc w:val="left"/>
      <w:pPr>
        <w:ind w:left="720" w:hanging="360"/>
      </w:pPr>
      <w:rPr>
        <w:rFonts w:hint="default"/>
      </w:rPr>
    </w:lvl>
    <w:lvl w:ilvl="1">
      <w:start w:val="1"/>
      <w:numFmt w:val="decimal"/>
      <w:isLgl/>
      <w:lvlText w:val="%1.%2."/>
      <w:lvlJc w:val="left"/>
      <w:pPr>
        <w:ind w:left="2016" w:hanging="720"/>
      </w:pPr>
      <w:rPr>
        <w:rFonts w:hint="default"/>
      </w:rPr>
    </w:lvl>
    <w:lvl w:ilvl="2">
      <w:start w:val="1"/>
      <w:numFmt w:val="decimal"/>
      <w:isLgl/>
      <w:lvlText w:val="%1.%2.%3."/>
      <w:lvlJc w:val="left"/>
      <w:pPr>
        <w:ind w:left="2952" w:hanging="720"/>
      </w:pPr>
      <w:rPr>
        <w:rFonts w:hint="default"/>
      </w:rPr>
    </w:lvl>
    <w:lvl w:ilvl="3">
      <w:start w:val="1"/>
      <w:numFmt w:val="decimal"/>
      <w:isLgl/>
      <w:lvlText w:val="%1.%2.%3.%4."/>
      <w:lvlJc w:val="left"/>
      <w:pPr>
        <w:ind w:left="4248" w:hanging="1080"/>
      </w:pPr>
      <w:rPr>
        <w:rFonts w:hint="default"/>
      </w:rPr>
    </w:lvl>
    <w:lvl w:ilvl="4">
      <w:start w:val="1"/>
      <w:numFmt w:val="decimal"/>
      <w:isLgl/>
      <w:lvlText w:val="%1.%2.%3.%4.%5."/>
      <w:lvlJc w:val="left"/>
      <w:pPr>
        <w:ind w:left="5184" w:hanging="1080"/>
      </w:pPr>
      <w:rPr>
        <w:rFonts w:hint="default"/>
      </w:rPr>
    </w:lvl>
    <w:lvl w:ilvl="5">
      <w:start w:val="1"/>
      <w:numFmt w:val="decimal"/>
      <w:isLgl/>
      <w:lvlText w:val="%1.%2.%3.%4.%5.%6."/>
      <w:lvlJc w:val="left"/>
      <w:pPr>
        <w:ind w:left="6480" w:hanging="1440"/>
      </w:pPr>
      <w:rPr>
        <w:rFonts w:hint="default"/>
      </w:rPr>
    </w:lvl>
    <w:lvl w:ilvl="6">
      <w:start w:val="1"/>
      <w:numFmt w:val="decimal"/>
      <w:isLgl/>
      <w:lvlText w:val="%1.%2.%3.%4.%5.%6.%7."/>
      <w:lvlJc w:val="left"/>
      <w:pPr>
        <w:ind w:left="7776" w:hanging="1800"/>
      </w:pPr>
      <w:rPr>
        <w:rFonts w:hint="default"/>
      </w:rPr>
    </w:lvl>
    <w:lvl w:ilvl="7">
      <w:start w:val="1"/>
      <w:numFmt w:val="decimal"/>
      <w:isLgl/>
      <w:lvlText w:val="%1.%2.%3.%4.%5.%6.%7.%8."/>
      <w:lvlJc w:val="left"/>
      <w:pPr>
        <w:ind w:left="8712" w:hanging="1800"/>
      </w:pPr>
      <w:rPr>
        <w:rFonts w:hint="default"/>
      </w:rPr>
    </w:lvl>
    <w:lvl w:ilvl="8">
      <w:start w:val="1"/>
      <w:numFmt w:val="decimal"/>
      <w:isLgl/>
      <w:lvlText w:val="%1.%2.%3.%4.%5.%6.%7.%8.%9."/>
      <w:lvlJc w:val="left"/>
      <w:pPr>
        <w:ind w:left="10008" w:hanging="2160"/>
      </w:pPr>
      <w:rPr>
        <w:rFonts w:hint="default"/>
      </w:rPr>
    </w:lvl>
  </w:abstractNum>
  <w:abstractNum w:abstractNumId="19">
    <w:nsid w:val="2FFB68B0"/>
    <w:multiLevelType w:val="hybridMultilevel"/>
    <w:tmpl w:val="F04654A4"/>
    <w:lvl w:ilvl="0" w:tplc="0427000F">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nsid w:val="35D61727"/>
    <w:multiLevelType w:val="hybridMultilevel"/>
    <w:tmpl w:val="6BBA5806"/>
    <w:lvl w:ilvl="0" w:tplc="EC449318">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1">
    <w:nsid w:val="395C401A"/>
    <w:multiLevelType w:val="hybridMultilevel"/>
    <w:tmpl w:val="AA1A54CE"/>
    <w:lvl w:ilvl="0" w:tplc="B8B4602A">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2">
    <w:nsid w:val="397F766B"/>
    <w:multiLevelType w:val="hybridMultilevel"/>
    <w:tmpl w:val="2B2EED36"/>
    <w:lvl w:ilvl="0" w:tplc="7856FF98">
      <w:start w:val="1"/>
      <w:numFmt w:val="decimal"/>
      <w:lvlText w:val="%1."/>
      <w:lvlJc w:val="left"/>
      <w:pPr>
        <w:ind w:left="927" w:hanging="360"/>
      </w:pPr>
      <w:rPr>
        <w:rFonts w:hint="default"/>
        <w:i/>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3">
    <w:nsid w:val="3B6C6DE6"/>
    <w:multiLevelType w:val="multilevel"/>
    <w:tmpl w:val="BA52515C"/>
    <w:lvl w:ilvl="0">
      <w:start w:val="1"/>
      <w:numFmt w:val="decimal"/>
      <w:lvlText w:val="%1."/>
      <w:lvlJc w:val="left"/>
      <w:pPr>
        <w:ind w:left="360" w:hanging="360"/>
      </w:pPr>
      <w:rPr>
        <w:rFonts w:eastAsia="Calibri" w:hint="default"/>
        <w:color w:val="104A96"/>
      </w:rPr>
    </w:lvl>
    <w:lvl w:ilvl="1">
      <w:start w:val="1"/>
      <w:numFmt w:val="decimal"/>
      <w:lvlText w:val="%1.%2."/>
      <w:lvlJc w:val="left"/>
      <w:pPr>
        <w:ind w:left="580" w:hanging="360"/>
      </w:pPr>
      <w:rPr>
        <w:rFonts w:eastAsia="Calibri" w:hint="default"/>
        <w:color w:val="104A96"/>
      </w:rPr>
    </w:lvl>
    <w:lvl w:ilvl="2">
      <w:start w:val="1"/>
      <w:numFmt w:val="decimal"/>
      <w:lvlText w:val="%1.%2.%3."/>
      <w:lvlJc w:val="left"/>
      <w:pPr>
        <w:ind w:left="1160" w:hanging="720"/>
      </w:pPr>
      <w:rPr>
        <w:rFonts w:eastAsia="Calibri" w:hint="default"/>
        <w:color w:val="104A96"/>
      </w:rPr>
    </w:lvl>
    <w:lvl w:ilvl="3">
      <w:start w:val="1"/>
      <w:numFmt w:val="decimal"/>
      <w:lvlText w:val="%1.%2.%3.%4."/>
      <w:lvlJc w:val="left"/>
      <w:pPr>
        <w:ind w:left="1380" w:hanging="720"/>
      </w:pPr>
      <w:rPr>
        <w:rFonts w:eastAsia="Calibri" w:hint="default"/>
        <w:color w:val="104A96"/>
      </w:rPr>
    </w:lvl>
    <w:lvl w:ilvl="4">
      <w:start w:val="1"/>
      <w:numFmt w:val="decimal"/>
      <w:lvlText w:val="%1.%2.%3.%4.%5."/>
      <w:lvlJc w:val="left"/>
      <w:pPr>
        <w:ind w:left="1960" w:hanging="1080"/>
      </w:pPr>
      <w:rPr>
        <w:rFonts w:eastAsia="Calibri" w:hint="default"/>
        <w:color w:val="104A96"/>
      </w:rPr>
    </w:lvl>
    <w:lvl w:ilvl="5">
      <w:start w:val="1"/>
      <w:numFmt w:val="decimal"/>
      <w:lvlText w:val="%1.%2.%3.%4.%5.%6."/>
      <w:lvlJc w:val="left"/>
      <w:pPr>
        <w:ind w:left="2180" w:hanging="1080"/>
      </w:pPr>
      <w:rPr>
        <w:rFonts w:eastAsia="Calibri" w:hint="default"/>
        <w:color w:val="104A96"/>
      </w:rPr>
    </w:lvl>
    <w:lvl w:ilvl="6">
      <w:start w:val="1"/>
      <w:numFmt w:val="decimal"/>
      <w:lvlText w:val="%1.%2.%3.%4.%5.%6.%7."/>
      <w:lvlJc w:val="left"/>
      <w:pPr>
        <w:ind w:left="2760" w:hanging="1440"/>
      </w:pPr>
      <w:rPr>
        <w:rFonts w:eastAsia="Calibri" w:hint="default"/>
        <w:color w:val="104A96"/>
      </w:rPr>
    </w:lvl>
    <w:lvl w:ilvl="7">
      <w:start w:val="1"/>
      <w:numFmt w:val="decimal"/>
      <w:lvlText w:val="%1.%2.%3.%4.%5.%6.%7.%8."/>
      <w:lvlJc w:val="left"/>
      <w:pPr>
        <w:ind w:left="2980" w:hanging="1440"/>
      </w:pPr>
      <w:rPr>
        <w:rFonts w:eastAsia="Calibri" w:hint="default"/>
        <w:color w:val="104A96"/>
      </w:rPr>
    </w:lvl>
    <w:lvl w:ilvl="8">
      <w:start w:val="1"/>
      <w:numFmt w:val="decimal"/>
      <w:lvlText w:val="%1.%2.%3.%4.%5.%6.%7.%8.%9."/>
      <w:lvlJc w:val="left"/>
      <w:pPr>
        <w:ind w:left="3560" w:hanging="1800"/>
      </w:pPr>
      <w:rPr>
        <w:rFonts w:eastAsia="Calibri" w:hint="default"/>
        <w:color w:val="104A96"/>
      </w:rPr>
    </w:lvl>
  </w:abstractNum>
  <w:abstractNum w:abstractNumId="24">
    <w:nsid w:val="3FDA5DAA"/>
    <w:multiLevelType w:val="hybridMultilevel"/>
    <w:tmpl w:val="3208CBF8"/>
    <w:lvl w:ilvl="0" w:tplc="70225960">
      <w:start w:val="1"/>
      <w:numFmt w:val="decimal"/>
      <w:lvlText w:val="%1."/>
      <w:lvlJc w:val="left"/>
      <w:pPr>
        <w:ind w:left="720" w:hanging="360"/>
      </w:pPr>
      <w:rPr>
        <w:rFonts w:hint="default"/>
        <w:b w:val="0"/>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34F7F6B"/>
    <w:multiLevelType w:val="hybridMultilevel"/>
    <w:tmpl w:val="54DE193A"/>
    <w:lvl w:ilvl="0" w:tplc="1D76B9E6">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6">
    <w:nsid w:val="45035420"/>
    <w:multiLevelType w:val="hybridMultilevel"/>
    <w:tmpl w:val="22E28888"/>
    <w:lvl w:ilvl="0" w:tplc="FF54C35E">
      <w:start w:val="1"/>
      <w:numFmt w:val="bullet"/>
      <w:lvlText w:val=""/>
      <w:lvlJc w:val="left"/>
      <w:pPr>
        <w:ind w:left="720" w:hanging="360"/>
      </w:pPr>
      <w:rPr>
        <w:rFonts w:ascii="Symbol" w:hAnsi="Symbol" w:hint="default"/>
        <w:sz w:val="16"/>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7">
    <w:nsid w:val="46DE08D2"/>
    <w:multiLevelType w:val="hybridMultilevel"/>
    <w:tmpl w:val="25B02CBA"/>
    <w:lvl w:ilvl="0" w:tplc="0427000F">
      <w:start w:val="1"/>
      <w:numFmt w:val="decimal"/>
      <w:lvlText w:val="%1."/>
      <w:lvlJc w:val="left"/>
      <w:pPr>
        <w:tabs>
          <w:tab w:val="num" w:pos="1080"/>
        </w:tabs>
        <w:ind w:left="1080" w:hanging="360"/>
      </w:pPr>
      <w:rPr>
        <w:rFonts w:hint="default"/>
      </w:rPr>
    </w:lvl>
    <w:lvl w:ilvl="1" w:tplc="AE3CB94A" w:tentative="1">
      <w:start w:val="1"/>
      <w:numFmt w:val="bullet"/>
      <w:lvlText w:val="•"/>
      <w:lvlJc w:val="left"/>
      <w:pPr>
        <w:tabs>
          <w:tab w:val="num" w:pos="1800"/>
        </w:tabs>
        <w:ind w:left="1800" w:hanging="360"/>
      </w:pPr>
      <w:rPr>
        <w:rFonts w:ascii="Arial" w:hAnsi="Arial" w:hint="default"/>
      </w:rPr>
    </w:lvl>
    <w:lvl w:ilvl="2" w:tplc="0144E52E" w:tentative="1">
      <w:start w:val="1"/>
      <w:numFmt w:val="bullet"/>
      <w:lvlText w:val="•"/>
      <w:lvlJc w:val="left"/>
      <w:pPr>
        <w:tabs>
          <w:tab w:val="num" w:pos="2520"/>
        </w:tabs>
        <w:ind w:left="2520" w:hanging="360"/>
      </w:pPr>
      <w:rPr>
        <w:rFonts w:ascii="Arial" w:hAnsi="Arial" w:hint="default"/>
      </w:rPr>
    </w:lvl>
    <w:lvl w:ilvl="3" w:tplc="D7880096" w:tentative="1">
      <w:start w:val="1"/>
      <w:numFmt w:val="bullet"/>
      <w:lvlText w:val="•"/>
      <w:lvlJc w:val="left"/>
      <w:pPr>
        <w:tabs>
          <w:tab w:val="num" w:pos="3240"/>
        </w:tabs>
        <w:ind w:left="3240" w:hanging="360"/>
      </w:pPr>
      <w:rPr>
        <w:rFonts w:ascii="Arial" w:hAnsi="Arial" w:hint="default"/>
      </w:rPr>
    </w:lvl>
    <w:lvl w:ilvl="4" w:tplc="EFFAD38A" w:tentative="1">
      <w:start w:val="1"/>
      <w:numFmt w:val="bullet"/>
      <w:lvlText w:val="•"/>
      <w:lvlJc w:val="left"/>
      <w:pPr>
        <w:tabs>
          <w:tab w:val="num" w:pos="3960"/>
        </w:tabs>
        <w:ind w:left="3960" w:hanging="360"/>
      </w:pPr>
      <w:rPr>
        <w:rFonts w:ascii="Arial" w:hAnsi="Arial" w:hint="default"/>
      </w:rPr>
    </w:lvl>
    <w:lvl w:ilvl="5" w:tplc="10169D16" w:tentative="1">
      <w:start w:val="1"/>
      <w:numFmt w:val="bullet"/>
      <w:lvlText w:val="•"/>
      <w:lvlJc w:val="left"/>
      <w:pPr>
        <w:tabs>
          <w:tab w:val="num" w:pos="4680"/>
        </w:tabs>
        <w:ind w:left="4680" w:hanging="360"/>
      </w:pPr>
      <w:rPr>
        <w:rFonts w:ascii="Arial" w:hAnsi="Arial" w:hint="default"/>
      </w:rPr>
    </w:lvl>
    <w:lvl w:ilvl="6" w:tplc="E16ECC64" w:tentative="1">
      <w:start w:val="1"/>
      <w:numFmt w:val="bullet"/>
      <w:lvlText w:val="•"/>
      <w:lvlJc w:val="left"/>
      <w:pPr>
        <w:tabs>
          <w:tab w:val="num" w:pos="5400"/>
        </w:tabs>
        <w:ind w:left="5400" w:hanging="360"/>
      </w:pPr>
      <w:rPr>
        <w:rFonts w:ascii="Arial" w:hAnsi="Arial" w:hint="default"/>
      </w:rPr>
    </w:lvl>
    <w:lvl w:ilvl="7" w:tplc="9E245DA2" w:tentative="1">
      <w:start w:val="1"/>
      <w:numFmt w:val="bullet"/>
      <w:lvlText w:val="•"/>
      <w:lvlJc w:val="left"/>
      <w:pPr>
        <w:tabs>
          <w:tab w:val="num" w:pos="6120"/>
        </w:tabs>
        <w:ind w:left="6120" w:hanging="360"/>
      </w:pPr>
      <w:rPr>
        <w:rFonts w:ascii="Arial" w:hAnsi="Arial" w:hint="default"/>
      </w:rPr>
    </w:lvl>
    <w:lvl w:ilvl="8" w:tplc="A23AF970" w:tentative="1">
      <w:start w:val="1"/>
      <w:numFmt w:val="bullet"/>
      <w:lvlText w:val="•"/>
      <w:lvlJc w:val="left"/>
      <w:pPr>
        <w:tabs>
          <w:tab w:val="num" w:pos="6840"/>
        </w:tabs>
        <w:ind w:left="6840" w:hanging="360"/>
      </w:pPr>
      <w:rPr>
        <w:rFonts w:ascii="Arial" w:hAnsi="Arial" w:hint="default"/>
      </w:rPr>
    </w:lvl>
  </w:abstractNum>
  <w:abstractNum w:abstractNumId="28">
    <w:nsid w:val="4BAD7A68"/>
    <w:multiLevelType w:val="hybridMultilevel"/>
    <w:tmpl w:val="A7A4CC0E"/>
    <w:lvl w:ilvl="0" w:tplc="FE549514">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9">
    <w:nsid w:val="4DB6729F"/>
    <w:multiLevelType w:val="hybridMultilevel"/>
    <w:tmpl w:val="7B6EB892"/>
    <w:lvl w:ilvl="0" w:tplc="0427000F">
      <w:start w:val="1"/>
      <w:numFmt w:val="decimal"/>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30">
    <w:nsid w:val="4E665751"/>
    <w:multiLevelType w:val="hybridMultilevel"/>
    <w:tmpl w:val="10E69A56"/>
    <w:lvl w:ilvl="0" w:tplc="C4DE1EEE">
      <w:start w:val="1"/>
      <w:numFmt w:val="decimal"/>
      <w:lvlText w:val="%1."/>
      <w:lvlJc w:val="left"/>
      <w:pPr>
        <w:ind w:left="927" w:hanging="360"/>
      </w:pPr>
      <w:rPr>
        <w:rFonts w:eastAsia="+mn-ea"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31">
    <w:nsid w:val="51C10E77"/>
    <w:multiLevelType w:val="hybridMultilevel"/>
    <w:tmpl w:val="15804D88"/>
    <w:lvl w:ilvl="0" w:tplc="BD04C516">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731390D"/>
    <w:multiLevelType w:val="hybridMultilevel"/>
    <w:tmpl w:val="400A0982"/>
    <w:lvl w:ilvl="0" w:tplc="3C528524">
      <w:start w:val="1"/>
      <w:numFmt w:val="decimal"/>
      <w:lvlText w:val="%1."/>
      <w:lvlJc w:val="left"/>
      <w:pPr>
        <w:ind w:left="720" w:hanging="360"/>
      </w:pPr>
      <w:rPr>
        <w:rFonts w:asciiTheme="minorHAnsi" w:hAnsiTheme="minorHAnsi" w:hint="default"/>
        <w:b/>
        <w:sz w:val="22"/>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3">
    <w:nsid w:val="594A2A69"/>
    <w:multiLevelType w:val="multilevel"/>
    <w:tmpl w:val="5C4C39EE"/>
    <w:lvl w:ilvl="0">
      <w:start w:val="1"/>
      <w:numFmt w:val="decimal"/>
      <w:lvlText w:val="%1."/>
      <w:lvlJc w:val="left"/>
      <w:pPr>
        <w:ind w:left="360" w:hanging="360"/>
      </w:pPr>
      <w:rPr>
        <w:rFonts w:ascii="Calibri" w:eastAsia="Calibri" w:hAnsi="Calibri" w:cs="Times New Roman" w:hint="default"/>
        <w:color w:val="104A96"/>
      </w:rPr>
    </w:lvl>
    <w:lvl w:ilvl="1">
      <w:start w:val="1"/>
      <w:numFmt w:val="decimal"/>
      <w:lvlText w:val="%1.%2."/>
      <w:lvlJc w:val="left"/>
      <w:pPr>
        <w:ind w:left="580" w:hanging="360"/>
      </w:pPr>
      <w:rPr>
        <w:rFonts w:ascii="Calibri" w:eastAsia="Calibri" w:hAnsi="Calibri" w:cs="Times New Roman" w:hint="default"/>
        <w:color w:val="104A96"/>
      </w:rPr>
    </w:lvl>
    <w:lvl w:ilvl="2">
      <w:start w:val="1"/>
      <w:numFmt w:val="decimal"/>
      <w:lvlText w:val="%1.%2.%3."/>
      <w:lvlJc w:val="left"/>
      <w:pPr>
        <w:ind w:left="1160" w:hanging="720"/>
      </w:pPr>
      <w:rPr>
        <w:rFonts w:ascii="Calibri" w:eastAsia="Calibri" w:hAnsi="Calibri" w:cs="Times New Roman" w:hint="default"/>
        <w:color w:val="104A96"/>
      </w:rPr>
    </w:lvl>
    <w:lvl w:ilvl="3">
      <w:start w:val="1"/>
      <w:numFmt w:val="decimal"/>
      <w:lvlText w:val="%1.%2.%3.%4."/>
      <w:lvlJc w:val="left"/>
      <w:pPr>
        <w:ind w:left="1380" w:hanging="720"/>
      </w:pPr>
      <w:rPr>
        <w:rFonts w:ascii="Calibri" w:eastAsia="Calibri" w:hAnsi="Calibri" w:cs="Times New Roman" w:hint="default"/>
        <w:color w:val="104A96"/>
      </w:rPr>
    </w:lvl>
    <w:lvl w:ilvl="4">
      <w:start w:val="1"/>
      <w:numFmt w:val="decimal"/>
      <w:lvlText w:val="%1.%2.%3.%4.%5."/>
      <w:lvlJc w:val="left"/>
      <w:pPr>
        <w:ind w:left="1960" w:hanging="1080"/>
      </w:pPr>
      <w:rPr>
        <w:rFonts w:ascii="Calibri" w:eastAsia="Calibri" w:hAnsi="Calibri" w:cs="Times New Roman" w:hint="default"/>
        <w:color w:val="104A96"/>
      </w:rPr>
    </w:lvl>
    <w:lvl w:ilvl="5">
      <w:start w:val="1"/>
      <w:numFmt w:val="decimal"/>
      <w:lvlText w:val="%1.%2.%3.%4.%5.%6."/>
      <w:lvlJc w:val="left"/>
      <w:pPr>
        <w:ind w:left="2180" w:hanging="1080"/>
      </w:pPr>
      <w:rPr>
        <w:rFonts w:ascii="Calibri" w:eastAsia="Calibri" w:hAnsi="Calibri" w:cs="Times New Roman" w:hint="default"/>
        <w:color w:val="104A96"/>
      </w:rPr>
    </w:lvl>
    <w:lvl w:ilvl="6">
      <w:start w:val="1"/>
      <w:numFmt w:val="decimal"/>
      <w:lvlText w:val="%1.%2.%3.%4.%5.%6.%7."/>
      <w:lvlJc w:val="left"/>
      <w:pPr>
        <w:ind w:left="2760" w:hanging="1440"/>
      </w:pPr>
      <w:rPr>
        <w:rFonts w:ascii="Calibri" w:eastAsia="Calibri" w:hAnsi="Calibri" w:cs="Times New Roman" w:hint="default"/>
        <w:color w:val="104A96"/>
      </w:rPr>
    </w:lvl>
    <w:lvl w:ilvl="7">
      <w:start w:val="1"/>
      <w:numFmt w:val="decimal"/>
      <w:lvlText w:val="%1.%2.%3.%4.%5.%6.%7.%8."/>
      <w:lvlJc w:val="left"/>
      <w:pPr>
        <w:ind w:left="2980" w:hanging="1440"/>
      </w:pPr>
      <w:rPr>
        <w:rFonts w:ascii="Calibri" w:eastAsia="Calibri" w:hAnsi="Calibri" w:cs="Times New Roman" w:hint="default"/>
        <w:color w:val="104A96"/>
      </w:rPr>
    </w:lvl>
    <w:lvl w:ilvl="8">
      <w:start w:val="1"/>
      <w:numFmt w:val="decimal"/>
      <w:lvlText w:val="%1.%2.%3.%4.%5.%6.%7.%8.%9."/>
      <w:lvlJc w:val="left"/>
      <w:pPr>
        <w:ind w:left="3560" w:hanging="1800"/>
      </w:pPr>
      <w:rPr>
        <w:rFonts w:ascii="Calibri" w:eastAsia="Calibri" w:hAnsi="Calibri" w:cs="Times New Roman" w:hint="default"/>
        <w:color w:val="104A96"/>
      </w:rPr>
    </w:lvl>
  </w:abstractNum>
  <w:abstractNum w:abstractNumId="34">
    <w:nsid w:val="5C3A6D69"/>
    <w:multiLevelType w:val="hybridMultilevel"/>
    <w:tmpl w:val="427878A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5DD907EE"/>
    <w:multiLevelType w:val="multilevel"/>
    <w:tmpl w:val="5E8A68C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6">
    <w:nsid w:val="5E720C73"/>
    <w:multiLevelType w:val="hybridMultilevel"/>
    <w:tmpl w:val="B7024310"/>
    <w:lvl w:ilvl="0" w:tplc="E1A06392">
      <w:start w:val="1"/>
      <w:numFmt w:val="bullet"/>
      <w:lvlText w:val="•"/>
      <w:lvlJc w:val="left"/>
      <w:pPr>
        <w:tabs>
          <w:tab w:val="num" w:pos="720"/>
        </w:tabs>
        <w:ind w:left="720" w:hanging="360"/>
      </w:pPr>
      <w:rPr>
        <w:rFonts w:ascii="Times New Roman" w:hAnsi="Times New Roman" w:hint="default"/>
      </w:rPr>
    </w:lvl>
    <w:lvl w:ilvl="1" w:tplc="0427000F">
      <w:start w:val="1"/>
      <w:numFmt w:val="decimal"/>
      <w:lvlText w:val="%2."/>
      <w:lvlJc w:val="left"/>
      <w:pPr>
        <w:tabs>
          <w:tab w:val="num" w:pos="1440"/>
        </w:tabs>
        <w:ind w:left="1440" w:hanging="360"/>
      </w:pPr>
      <w:rPr>
        <w:rFonts w:hint="default"/>
      </w:rPr>
    </w:lvl>
    <w:lvl w:ilvl="2" w:tplc="637AA372">
      <w:numFmt w:val="bullet"/>
      <w:lvlText w:val="-"/>
      <w:lvlJc w:val="left"/>
      <w:pPr>
        <w:ind w:left="2160" w:hanging="360"/>
      </w:pPr>
      <w:rPr>
        <w:rFonts w:ascii="Times New Roman" w:eastAsia="Calibri" w:hAnsi="Times New Roman" w:cs="Times New Roman" w:hint="default"/>
      </w:rPr>
    </w:lvl>
    <w:lvl w:ilvl="3" w:tplc="E54E64E6" w:tentative="1">
      <w:start w:val="1"/>
      <w:numFmt w:val="bullet"/>
      <w:lvlText w:val="•"/>
      <w:lvlJc w:val="left"/>
      <w:pPr>
        <w:tabs>
          <w:tab w:val="num" w:pos="2880"/>
        </w:tabs>
        <w:ind w:left="2880" w:hanging="360"/>
      </w:pPr>
      <w:rPr>
        <w:rFonts w:ascii="Times New Roman" w:hAnsi="Times New Roman" w:hint="default"/>
      </w:rPr>
    </w:lvl>
    <w:lvl w:ilvl="4" w:tplc="4266B598" w:tentative="1">
      <w:start w:val="1"/>
      <w:numFmt w:val="bullet"/>
      <w:lvlText w:val="•"/>
      <w:lvlJc w:val="left"/>
      <w:pPr>
        <w:tabs>
          <w:tab w:val="num" w:pos="3600"/>
        </w:tabs>
        <w:ind w:left="3600" w:hanging="360"/>
      </w:pPr>
      <w:rPr>
        <w:rFonts w:ascii="Times New Roman" w:hAnsi="Times New Roman" w:hint="default"/>
      </w:rPr>
    </w:lvl>
    <w:lvl w:ilvl="5" w:tplc="05ACE720" w:tentative="1">
      <w:start w:val="1"/>
      <w:numFmt w:val="bullet"/>
      <w:lvlText w:val="•"/>
      <w:lvlJc w:val="left"/>
      <w:pPr>
        <w:tabs>
          <w:tab w:val="num" w:pos="4320"/>
        </w:tabs>
        <w:ind w:left="4320" w:hanging="360"/>
      </w:pPr>
      <w:rPr>
        <w:rFonts w:ascii="Times New Roman" w:hAnsi="Times New Roman" w:hint="default"/>
      </w:rPr>
    </w:lvl>
    <w:lvl w:ilvl="6" w:tplc="4E64AFB6" w:tentative="1">
      <w:start w:val="1"/>
      <w:numFmt w:val="bullet"/>
      <w:lvlText w:val="•"/>
      <w:lvlJc w:val="left"/>
      <w:pPr>
        <w:tabs>
          <w:tab w:val="num" w:pos="5040"/>
        </w:tabs>
        <w:ind w:left="5040" w:hanging="360"/>
      </w:pPr>
      <w:rPr>
        <w:rFonts w:ascii="Times New Roman" w:hAnsi="Times New Roman" w:hint="default"/>
      </w:rPr>
    </w:lvl>
    <w:lvl w:ilvl="7" w:tplc="8DEADCCC" w:tentative="1">
      <w:start w:val="1"/>
      <w:numFmt w:val="bullet"/>
      <w:lvlText w:val="•"/>
      <w:lvlJc w:val="left"/>
      <w:pPr>
        <w:tabs>
          <w:tab w:val="num" w:pos="5760"/>
        </w:tabs>
        <w:ind w:left="5760" w:hanging="360"/>
      </w:pPr>
      <w:rPr>
        <w:rFonts w:ascii="Times New Roman" w:hAnsi="Times New Roman" w:hint="default"/>
      </w:rPr>
    </w:lvl>
    <w:lvl w:ilvl="8" w:tplc="226E2CAA" w:tentative="1">
      <w:start w:val="1"/>
      <w:numFmt w:val="bullet"/>
      <w:lvlText w:val="•"/>
      <w:lvlJc w:val="left"/>
      <w:pPr>
        <w:tabs>
          <w:tab w:val="num" w:pos="6480"/>
        </w:tabs>
        <w:ind w:left="6480" w:hanging="360"/>
      </w:pPr>
      <w:rPr>
        <w:rFonts w:ascii="Times New Roman" w:hAnsi="Times New Roman" w:hint="default"/>
      </w:rPr>
    </w:lvl>
  </w:abstractNum>
  <w:abstractNum w:abstractNumId="37">
    <w:nsid w:val="62603EE9"/>
    <w:multiLevelType w:val="hybridMultilevel"/>
    <w:tmpl w:val="6C2AFCA4"/>
    <w:lvl w:ilvl="0" w:tplc="EE90B912">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38">
    <w:nsid w:val="66866597"/>
    <w:multiLevelType w:val="hybridMultilevel"/>
    <w:tmpl w:val="47307374"/>
    <w:lvl w:ilvl="0" w:tplc="0427000F">
      <w:start w:val="1"/>
      <w:numFmt w:val="decimal"/>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39">
    <w:nsid w:val="67FE4400"/>
    <w:multiLevelType w:val="hybridMultilevel"/>
    <w:tmpl w:val="64765D1C"/>
    <w:lvl w:ilvl="0" w:tplc="C5561AB2">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40">
    <w:nsid w:val="6A0759E2"/>
    <w:multiLevelType w:val="hybridMultilevel"/>
    <w:tmpl w:val="2B629B2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E0F764F"/>
    <w:multiLevelType w:val="multilevel"/>
    <w:tmpl w:val="469E6A96"/>
    <w:lvl w:ilvl="0">
      <w:start w:val="1"/>
      <w:numFmt w:val="decimal"/>
      <w:lvlText w:val="%1."/>
      <w:lvlJc w:val="left"/>
      <w:pPr>
        <w:ind w:left="720" w:hanging="360"/>
      </w:pPr>
      <w:rPr>
        <w:rFonts w:hint="default"/>
      </w:rPr>
    </w:lvl>
    <w:lvl w:ilvl="1">
      <w:start w:val="1"/>
      <w:numFmt w:val="upperRoman"/>
      <w:lvlText w:val="%2."/>
      <w:lvlJc w:val="right"/>
      <w:pPr>
        <w:ind w:left="1658" w:hanging="360"/>
      </w:pPr>
      <w:rPr>
        <w:rFonts w:hint="default"/>
      </w:rPr>
    </w:lvl>
    <w:lvl w:ilvl="2">
      <w:start w:val="1"/>
      <w:numFmt w:val="decimal"/>
      <w:isLgl/>
      <w:lvlText w:val="%1.%2.%3."/>
      <w:lvlJc w:val="left"/>
      <w:pPr>
        <w:ind w:left="2956" w:hanging="720"/>
      </w:pPr>
      <w:rPr>
        <w:rFonts w:hint="default"/>
      </w:rPr>
    </w:lvl>
    <w:lvl w:ilvl="3">
      <w:start w:val="1"/>
      <w:numFmt w:val="decimal"/>
      <w:isLgl/>
      <w:lvlText w:val="%1.%2.%3.%4."/>
      <w:lvlJc w:val="left"/>
      <w:pPr>
        <w:ind w:left="3894" w:hanging="720"/>
      </w:pPr>
      <w:rPr>
        <w:rFonts w:hint="default"/>
      </w:rPr>
    </w:lvl>
    <w:lvl w:ilvl="4">
      <w:start w:val="1"/>
      <w:numFmt w:val="decimal"/>
      <w:isLgl/>
      <w:lvlText w:val="%1.%2.%3.%4.%5."/>
      <w:lvlJc w:val="left"/>
      <w:pPr>
        <w:ind w:left="5192" w:hanging="1080"/>
      </w:pPr>
      <w:rPr>
        <w:rFonts w:hint="default"/>
      </w:rPr>
    </w:lvl>
    <w:lvl w:ilvl="5">
      <w:start w:val="1"/>
      <w:numFmt w:val="decimal"/>
      <w:isLgl/>
      <w:lvlText w:val="%1.%2.%3.%4.%5.%6."/>
      <w:lvlJc w:val="left"/>
      <w:pPr>
        <w:ind w:left="6130" w:hanging="1080"/>
      </w:pPr>
      <w:rPr>
        <w:rFonts w:hint="default"/>
      </w:rPr>
    </w:lvl>
    <w:lvl w:ilvl="6">
      <w:start w:val="1"/>
      <w:numFmt w:val="decimal"/>
      <w:isLgl/>
      <w:lvlText w:val="%1.%2.%3.%4.%5.%6.%7."/>
      <w:lvlJc w:val="left"/>
      <w:pPr>
        <w:ind w:left="7428" w:hanging="1440"/>
      </w:pPr>
      <w:rPr>
        <w:rFonts w:hint="default"/>
      </w:rPr>
    </w:lvl>
    <w:lvl w:ilvl="7">
      <w:start w:val="1"/>
      <w:numFmt w:val="decimal"/>
      <w:isLgl/>
      <w:lvlText w:val="%1.%2.%3.%4.%5.%6.%7.%8."/>
      <w:lvlJc w:val="left"/>
      <w:pPr>
        <w:ind w:left="8366" w:hanging="1440"/>
      </w:pPr>
      <w:rPr>
        <w:rFonts w:hint="default"/>
      </w:rPr>
    </w:lvl>
    <w:lvl w:ilvl="8">
      <w:start w:val="1"/>
      <w:numFmt w:val="decimal"/>
      <w:isLgl/>
      <w:lvlText w:val="%1.%2.%3.%4.%5.%6.%7.%8.%9."/>
      <w:lvlJc w:val="left"/>
      <w:pPr>
        <w:ind w:left="9664" w:hanging="1800"/>
      </w:pPr>
      <w:rPr>
        <w:rFonts w:hint="default"/>
      </w:rPr>
    </w:lvl>
  </w:abstractNum>
  <w:abstractNum w:abstractNumId="42">
    <w:nsid w:val="714662D8"/>
    <w:multiLevelType w:val="hybridMultilevel"/>
    <w:tmpl w:val="FFAAC794"/>
    <w:lvl w:ilvl="0" w:tplc="1250F0F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3">
    <w:nsid w:val="718F4589"/>
    <w:multiLevelType w:val="hybridMultilevel"/>
    <w:tmpl w:val="75E2FB4E"/>
    <w:lvl w:ilvl="0" w:tplc="E9560A96">
      <w:start w:val="1"/>
      <w:numFmt w:val="bullet"/>
      <w:lvlText w:val=""/>
      <w:lvlJc w:val="left"/>
      <w:pPr>
        <w:ind w:left="720" w:hanging="360"/>
      </w:pPr>
      <w:rPr>
        <w:rFonts w:ascii="Symbol" w:hAnsi="Symbol" w:hint="default"/>
        <w:sz w:val="16"/>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4">
    <w:nsid w:val="73F0024A"/>
    <w:multiLevelType w:val="multilevel"/>
    <w:tmpl w:val="AB928646"/>
    <w:lvl w:ilvl="0">
      <w:start w:val="1"/>
      <w:numFmt w:val="decimal"/>
      <w:lvlText w:val="%1."/>
      <w:lvlJc w:val="left"/>
      <w:pPr>
        <w:ind w:left="720" w:hanging="360"/>
      </w:pPr>
      <w:rPr>
        <w:rFonts w:hint="default"/>
      </w:rPr>
    </w:lvl>
    <w:lvl w:ilvl="1">
      <w:start w:val="1"/>
      <w:numFmt w:val="decimal"/>
      <w:isLgl/>
      <w:lvlText w:val="%1.%2."/>
      <w:lvlJc w:val="left"/>
      <w:pPr>
        <w:ind w:left="1287" w:hanging="720"/>
      </w:pPr>
      <w:rPr>
        <w:rFonts w:hint="default"/>
        <w:i w:val="0"/>
      </w:rPr>
    </w:lvl>
    <w:lvl w:ilvl="2">
      <w:start w:val="1"/>
      <w:numFmt w:val="decimal"/>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402" w:hanging="1800"/>
      </w:pPr>
      <w:rPr>
        <w:rFonts w:hint="default"/>
      </w:rPr>
    </w:lvl>
    <w:lvl w:ilvl="7">
      <w:start w:val="1"/>
      <w:numFmt w:val="decimal"/>
      <w:isLgl/>
      <w:lvlText w:val="%1.%2.%3.%4.%5.%6.%7.%8."/>
      <w:lvlJc w:val="left"/>
      <w:pPr>
        <w:ind w:left="3609" w:hanging="1800"/>
      </w:pPr>
      <w:rPr>
        <w:rFonts w:hint="default"/>
      </w:rPr>
    </w:lvl>
    <w:lvl w:ilvl="8">
      <w:start w:val="1"/>
      <w:numFmt w:val="decimal"/>
      <w:isLgl/>
      <w:lvlText w:val="%1.%2.%3.%4.%5.%6.%7.%8.%9."/>
      <w:lvlJc w:val="left"/>
      <w:pPr>
        <w:ind w:left="4176" w:hanging="2160"/>
      </w:pPr>
      <w:rPr>
        <w:rFonts w:hint="default"/>
      </w:rPr>
    </w:lvl>
  </w:abstractNum>
  <w:abstractNum w:abstractNumId="45">
    <w:nsid w:val="79546FE5"/>
    <w:multiLevelType w:val="hybridMultilevel"/>
    <w:tmpl w:val="D1869B4A"/>
    <w:lvl w:ilvl="0" w:tplc="79C050D8">
      <w:start w:val="1"/>
      <w:numFmt w:val="decimal"/>
      <w:lvlText w:val="%1."/>
      <w:lvlJc w:val="left"/>
      <w:pPr>
        <w:ind w:left="927" w:hanging="360"/>
      </w:pPr>
      <w:rPr>
        <w:rFonts w:eastAsia="+mn-ea"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46">
    <w:nsid w:val="7B51314C"/>
    <w:multiLevelType w:val="hybridMultilevel"/>
    <w:tmpl w:val="E2AA24F6"/>
    <w:lvl w:ilvl="0" w:tplc="A02C63E0">
      <w:start w:val="1"/>
      <w:numFmt w:val="bullet"/>
      <w:lvlText w:val=""/>
      <w:lvlJc w:val="left"/>
      <w:pPr>
        <w:ind w:left="720" w:hanging="360"/>
      </w:pPr>
      <w:rPr>
        <w:rFonts w:ascii="Symbol" w:hAnsi="Symbol" w:hint="default"/>
        <w:sz w:val="16"/>
        <w14:ligatures w14:val="none"/>
        <w14:numForm w14:val="default"/>
        <w14:numSpacing w14:val="default"/>
        <w14:stylisticSets/>
        <w14:cntxtAlts w14:val="0"/>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7">
    <w:nsid w:val="7C813537"/>
    <w:multiLevelType w:val="hybridMultilevel"/>
    <w:tmpl w:val="9BF46C1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41"/>
  </w:num>
  <w:num w:numId="2">
    <w:abstractNumId w:val="18"/>
  </w:num>
  <w:num w:numId="3">
    <w:abstractNumId w:val="35"/>
  </w:num>
  <w:num w:numId="4">
    <w:abstractNumId w:val="16"/>
  </w:num>
  <w:num w:numId="5">
    <w:abstractNumId w:val="17"/>
  </w:num>
  <w:num w:numId="6">
    <w:abstractNumId w:val="12"/>
  </w:num>
  <w:num w:numId="7">
    <w:abstractNumId w:val="2"/>
  </w:num>
  <w:num w:numId="8">
    <w:abstractNumId w:val="1"/>
  </w:num>
  <w:num w:numId="9">
    <w:abstractNumId w:val="34"/>
  </w:num>
  <w:num w:numId="10">
    <w:abstractNumId w:val="42"/>
  </w:num>
  <w:num w:numId="11">
    <w:abstractNumId w:val="13"/>
  </w:num>
  <w:num w:numId="12">
    <w:abstractNumId w:val="38"/>
  </w:num>
  <w:num w:numId="13">
    <w:abstractNumId w:val="27"/>
  </w:num>
  <w:num w:numId="14">
    <w:abstractNumId w:val="36"/>
  </w:num>
  <w:num w:numId="15">
    <w:abstractNumId w:val="31"/>
  </w:num>
  <w:num w:numId="16">
    <w:abstractNumId w:val="43"/>
  </w:num>
  <w:num w:numId="17">
    <w:abstractNumId w:val="26"/>
  </w:num>
  <w:num w:numId="18">
    <w:abstractNumId w:val="4"/>
  </w:num>
  <w:num w:numId="19">
    <w:abstractNumId w:val="15"/>
  </w:num>
  <w:num w:numId="20">
    <w:abstractNumId w:val="8"/>
  </w:num>
  <w:num w:numId="21">
    <w:abstractNumId w:val="46"/>
  </w:num>
  <w:num w:numId="22">
    <w:abstractNumId w:val="44"/>
  </w:num>
  <w:num w:numId="23">
    <w:abstractNumId w:val="23"/>
  </w:num>
  <w:num w:numId="24">
    <w:abstractNumId w:val="33"/>
  </w:num>
  <w:num w:numId="25">
    <w:abstractNumId w:val="29"/>
  </w:num>
  <w:num w:numId="26">
    <w:abstractNumId w:val="7"/>
  </w:num>
  <w:num w:numId="27">
    <w:abstractNumId w:val="9"/>
  </w:num>
  <w:num w:numId="28">
    <w:abstractNumId w:val="37"/>
  </w:num>
  <w:num w:numId="29">
    <w:abstractNumId w:val="25"/>
  </w:num>
  <w:num w:numId="30">
    <w:abstractNumId w:val="6"/>
  </w:num>
  <w:num w:numId="31">
    <w:abstractNumId w:val="22"/>
  </w:num>
  <w:num w:numId="32">
    <w:abstractNumId w:val="14"/>
  </w:num>
  <w:num w:numId="33">
    <w:abstractNumId w:val="30"/>
  </w:num>
  <w:num w:numId="34">
    <w:abstractNumId w:val="45"/>
  </w:num>
  <w:num w:numId="35">
    <w:abstractNumId w:val="39"/>
  </w:num>
  <w:num w:numId="36">
    <w:abstractNumId w:val="20"/>
  </w:num>
  <w:num w:numId="37">
    <w:abstractNumId w:val="5"/>
  </w:num>
  <w:num w:numId="38">
    <w:abstractNumId w:val="3"/>
  </w:num>
  <w:num w:numId="39">
    <w:abstractNumId w:val="11"/>
  </w:num>
  <w:num w:numId="40">
    <w:abstractNumId w:val="28"/>
  </w:num>
  <w:num w:numId="41">
    <w:abstractNumId w:val="21"/>
  </w:num>
  <w:num w:numId="42">
    <w:abstractNumId w:val="32"/>
  </w:num>
  <w:num w:numId="43">
    <w:abstractNumId w:val="0"/>
  </w:num>
  <w:num w:numId="44">
    <w:abstractNumId w:val="10"/>
  </w:num>
  <w:num w:numId="45">
    <w:abstractNumId w:val="19"/>
  </w:num>
  <w:num w:numId="46">
    <w:abstractNumId w:val="24"/>
  </w:num>
  <w:num w:numId="47">
    <w:abstractNumId w:val="47"/>
  </w:num>
  <w:num w:numId="48">
    <w:abstractNumId w:val="4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1296"/>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5F9"/>
    <w:rsid w:val="000009AE"/>
    <w:rsid w:val="00000AF2"/>
    <w:rsid w:val="0000106D"/>
    <w:rsid w:val="0000142D"/>
    <w:rsid w:val="000015E8"/>
    <w:rsid w:val="00001704"/>
    <w:rsid w:val="00001876"/>
    <w:rsid w:val="00002A7F"/>
    <w:rsid w:val="0000430D"/>
    <w:rsid w:val="00004960"/>
    <w:rsid w:val="000065ED"/>
    <w:rsid w:val="00006FE7"/>
    <w:rsid w:val="00007E65"/>
    <w:rsid w:val="00011C18"/>
    <w:rsid w:val="00012725"/>
    <w:rsid w:val="00013CFD"/>
    <w:rsid w:val="00015ADE"/>
    <w:rsid w:val="00016CDE"/>
    <w:rsid w:val="000171BB"/>
    <w:rsid w:val="00017857"/>
    <w:rsid w:val="0002135C"/>
    <w:rsid w:val="00023CA6"/>
    <w:rsid w:val="000244B5"/>
    <w:rsid w:val="0002470D"/>
    <w:rsid w:val="00024B49"/>
    <w:rsid w:val="00024CD8"/>
    <w:rsid w:val="00026108"/>
    <w:rsid w:val="000262C7"/>
    <w:rsid w:val="000268D5"/>
    <w:rsid w:val="0003064F"/>
    <w:rsid w:val="00031AAA"/>
    <w:rsid w:val="00031F3E"/>
    <w:rsid w:val="00032401"/>
    <w:rsid w:val="00034424"/>
    <w:rsid w:val="00035D45"/>
    <w:rsid w:val="0003719B"/>
    <w:rsid w:val="0004186F"/>
    <w:rsid w:val="000438C7"/>
    <w:rsid w:val="00043CEA"/>
    <w:rsid w:val="00044C4E"/>
    <w:rsid w:val="00046F92"/>
    <w:rsid w:val="0005263B"/>
    <w:rsid w:val="00052A6E"/>
    <w:rsid w:val="000541DE"/>
    <w:rsid w:val="00055259"/>
    <w:rsid w:val="00055706"/>
    <w:rsid w:val="00057832"/>
    <w:rsid w:val="0006174C"/>
    <w:rsid w:val="00061ED5"/>
    <w:rsid w:val="00062F79"/>
    <w:rsid w:val="00064480"/>
    <w:rsid w:val="000648F1"/>
    <w:rsid w:val="0006531E"/>
    <w:rsid w:val="000725C0"/>
    <w:rsid w:val="000728C1"/>
    <w:rsid w:val="0007627A"/>
    <w:rsid w:val="00076FF4"/>
    <w:rsid w:val="00077F6F"/>
    <w:rsid w:val="00081C80"/>
    <w:rsid w:val="00081D87"/>
    <w:rsid w:val="00082246"/>
    <w:rsid w:val="00082E41"/>
    <w:rsid w:val="00083686"/>
    <w:rsid w:val="00084AE1"/>
    <w:rsid w:val="00087787"/>
    <w:rsid w:val="00087883"/>
    <w:rsid w:val="00090890"/>
    <w:rsid w:val="00090DF6"/>
    <w:rsid w:val="00091BB8"/>
    <w:rsid w:val="00091C3D"/>
    <w:rsid w:val="00091CC5"/>
    <w:rsid w:val="00093237"/>
    <w:rsid w:val="00094C17"/>
    <w:rsid w:val="00096D67"/>
    <w:rsid w:val="00097165"/>
    <w:rsid w:val="000A11A6"/>
    <w:rsid w:val="000A2054"/>
    <w:rsid w:val="000A3A53"/>
    <w:rsid w:val="000A4E60"/>
    <w:rsid w:val="000A77FF"/>
    <w:rsid w:val="000B0C5C"/>
    <w:rsid w:val="000B21D4"/>
    <w:rsid w:val="000B345A"/>
    <w:rsid w:val="000B7269"/>
    <w:rsid w:val="000C0A0B"/>
    <w:rsid w:val="000C10A9"/>
    <w:rsid w:val="000C16F4"/>
    <w:rsid w:val="000C2B8E"/>
    <w:rsid w:val="000C4C8C"/>
    <w:rsid w:val="000C551A"/>
    <w:rsid w:val="000C5B99"/>
    <w:rsid w:val="000C5D41"/>
    <w:rsid w:val="000C68D9"/>
    <w:rsid w:val="000C7B00"/>
    <w:rsid w:val="000D0096"/>
    <w:rsid w:val="000D04B1"/>
    <w:rsid w:val="000D2AC2"/>
    <w:rsid w:val="000D471A"/>
    <w:rsid w:val="000D621F"/>
    <w:rsid w:val="000D7115"/>
    <w:rsid w:val="000D73DA"/>
    <w:rsid w:val="000E0086"/>
    <w:rsid w:val="000E52BD"/>
    <w:rsid w:val="000E5D75"/>
    <w:rsid w:val="000E6F22"/>
    <w:rsid w:val="000E7269"/>
    <w:rsid w:val="000E7449"/>
    <w:rsid w:val="000F2064"/>
    <w:rsid w:val="000F3A76"/>
    <w:rsid w:val="000F3B2C"/>
    <w:rsid w:val="000F467F"/>
    <w:rsid w:val="000F64C4"/>
    <w:rsid w:val="000F6742"/>
    <w:rsid w:val="000F6EC6"/>
    <w:rsid w:val="00100BB5"/>
    <w:rsid w:val="001031F5"/>
    <w:rsid w:val="00106CDA"/>
    <w:rsid w:val="0010732A"/>
    <w:rsid w:val="001074E1"/>
    <w:rsid w:val="00107F5A"/>
    <w:rsid w:val="00111A5D"/>
    <w:rsid w:val="00111B87"/>
    <w:rsid w:val="001132FD"/>
    <w:rsid w:val="001137B1"/>
    <w:rsid w:val="00114211"/>
    <w:rsid w:val="0011526A"/>
    <w:rsid w:val="001164CC"/>
    <w:rsid w:val="001212FF"/>
    <w:rsid w:val="001215A6"/>
    <w:rsid w:val="00121C25"/>
    <w:rsid w:val="00122868"/>
    <w:rsid w:val="00123742"/>
    <w:rsid w:val="00123E83"/>
    <w:rsid w:val="0012470F"/>
    <w:rsid w:val="001248CF"/>
    <w:rsid w:val="0012580C"/>
    <w:rsid w:val="00126BBD"/>
    <w:rsid w:val="0012780E"/>
    <w:rsid w:val="0012790C"/>
    <w:rsid w:val="00130E12"/>
    <w:rsid w:val="00130E9B"/>
    <w:rsid w:val="00130F9B"/>
    <w:rsid w:val="001310BF"/>
    <w:rsid w:val="00131F57"/>
    <w:rsid w:val="00131F81"/>
    <w:rsid w:val="00132356"/>
    <w:rsid w:val="00133D05"/>
    <w:rsid w:val="00135528"/>
    <w:rsid w:val="0013557E"/>
    <w:rsid w:val="001356C8"/>
    <w:rsid w:val="00135C47"/>
    <w:rsid w:val="001374DE"/>
    <w:rsid w:val="00142EDF"/>
    <w:rsid w:val="0014384D"/>
    <w:rsid w:val="00143E77"/>
    <w:rsid w:val="001440C1"/>
    <w:rsid w:val="00144C73"/>
    <w:rsid w:val="00146A91"/>
    <w:rsid w:val="001502F3"/>
    <w:rsid w:val="00151F3E"/>
    <w:rsid w:val="00152542"/>
    <w:rsid w:val="001533B0"/>
    <w:rsid w:val="0015364D"/>
    <w:rsid w:val="00155078"/>
    <w:rsid w:val="001562C9"/>
    <w:rsid w:val="0015671B"/>
    <w:rsid w:val="001568E2"/>
    <w:rsid w:val="00157D87"/>
    <w:rsid w:val="00157ED2"/>
    <w:rsid w:val="00157FF6"/>
    <w:rsid w:val="0016099D"/>
    <w:rsid w:val="0016115B"/>
    <w:rsid w:val="00162C08"/>
    <w:rsid w:val="00162DC2"/>
    <w:rsid w:val="0016355B"/>
    <w:rsid w:val="00163C2C"/>
    <w:rsid w:val="00165F47"/>
    <w:rsid w:val="00167F49"/>
    <w:rsid w:val="00172D3D"/>
    <w:rsid w:val="001734C8"/>
    <w:rsid w:val="00173754"/>
    <w:rsid w:val="001743EA"/>
    <w:rsid w:val="00175A04"/>
    <w:rsid w:val="001761AC"/>
    <w:rsid w:val="00176ADE"/>
    <w:rsid w:val="00177BAB"/>
    <w:rsid w:val="00177C92"/>
    <w:rsid w:val="00180992"/>
    <w:rsid w:val="001819E2"/>
    <w:rsid w:val="00183564"/>
    <w:rsid w:val="001840E2"/>
    <w:rsid w:val="0018443E"/>
    <w:rsid w:val="00184A3A"/>
    <w:rsid w:val="00185180"/>
    <w:rsid w:val="00185408"/>
    <w:rsid w:val="001856BA"/>
    <w:rsid w:val="00191389"/>
    <w:rsid w:val="001921C6"/>
    <w:rsid w:val="0019285C"/>
    <w:rsid w:val="0019382D"/>
    <w:rsid w:val="0019503C"/>
    <w:rsid w:val="00196830"/>
    <w:rsid w:val="001A0E6A"/>
    <w:rsid w:val="001A31B3"/>
    <w:rsid w:val="001A3C3E"/>
    <w:rsid w:val="001A3EEB"/>
    <w:rsid w:val="001A6A63"/>
    <w:rsid w:val="001A738C"/>
    <w:rsid w:val="001A7C16"/>
    <w:rsid w:val="001B053C"/>
    <w:rsid w:val="001B3914"/>
    <w:rsid w:val="001B4190"/>
    <w:rsid w:val="001B54BB"/>
    <w:rsid w:val="001B651A"/>
    <w:rsid w:val="001B65B2"/>
    <w:rsid w:val="001B6D65"/>
    <w:rsid w:val="001B7B43"/>
    <w:rsid w:val="001C0E0C"/>
    <w:rsid w:val="001C13F4"/>
    <w:rsid w:val="001C1D49"/>
    <w:rsid w:val="001C2638"/>
    <w:rsid w:val="001C3BFA"/>
    <w:rsid w:val="001C446E"/>
    <w:rsid w:val="001C56D3"/>
    <w:rsid w:val="001C6188"/>
    <w:rsid w:val="001C798E"/>
    <w:rsid w:val="001D0899"/>
    <w:rsid w:val="001D0A57"/>
    <w:rsid w:val="001D19A8"/>
    <w:rsid w:val="001D1E36"/>
    <w:rsid w:val="001D2BE6"/>
    <w:rsid w:val="001D3CF2"/>
    <w:rsid w:val="001D45BE"/>
    <w:rsid w:val="001D75B2"/>
    <w:rsid w:val="001E09CA"/>
    <w:rsid w:val="001E1A95"/>
    <w:rsid w:val="001E2637"/>
    <w:rsid w:val="001E2A86"/>
    <w:rsid w:val="001E3407"/>
    <w:rsid w:val="001E3C2B"/>
    <w:rsid w:val="001E4726"/>
    <w:rsid w:val="001E58B3"/>
    <w:rsid w:val="001E71BD"/>
    <w:rsid w:val="001E78B4"/>
    <w:rsid w:val="001E7A58"/>
    <w:rsid w:val="001F03F5"/>
    <w:rsid w:val="001F1252"/>
    <w:rsid w:val="001F2980"/>
    <w:rsid w:val="001F45AD"/>
    <w:rsid w:val="001F556B"/>
    <w:rsid w:val="001F723C"/>
    <w:rsid w:val="001F798C"/>
    <w:rsid w:val="0020052E"/>
    <w:rsid w:val="002006D4"/>
    <w:rsid w:val="00200ED7"/>
    <w:rsid w:val="00201CA9"/>
    <w:rsid w:val="00203040"/>
    <w:rsid w:val="00205F6B"/>
    <w:rsid w:val="00207594"/>
    <w:rsid w:val="00212905"/>
    <w:rsid w:val="00213950"/>
    <w:rsid w:val="00213DF9"/>
    <w:rsid w:val="00214C7B"/>
    <w:rsid w:val="00215390"/>
    <w:rsid w:val="0021588B"/>
    <w:rsid w:val="00215B6B"/>
    <w:rsid w:val="002201F0"/>
    <w:rsid w:val="00220647"/>
    <w:rsid w:val="002224FC"/>
    <w:rsid w:val="00222D14"/>
    <w:rsid w:val="00222E37"/>
    <w:rsid w:val="00222F9E"/>
    <w:rsid w:val="00223F41"/>
    <w:rsid w:val="0022504B"/>
    <w:rsid w:val="0022543A"/>
    <w:rsid w:val="002265CD"/>
    <w:rsid w:val="00230B95"/>
    <w:rsid w:val="002323AE"/>
    <w:rsid w:val="0023358A"/>
    <w:rsid w:val="002337A6"/>
    <w:rsid w:val="00234516"/>
    <w:rsid w:val="00235845"/>
    <w:rsid w:val="00235D7E"/>
    <w:rsid w:val="002372B5"/>
    <w:rsid w:val="0024142C"/>
    <w:rsid w:val="0024192E"/>
    <w:rsid w:val="00241FFA"/>
    <w:rsid w:val="002424B6"/>
    <w:rsid w:val="0024255F"/>
    <w:rsid w:val="0024405B"/>
    <w:rsid w:val="0024409B"/>
    <w:rsid w:val="00244734"/>
    <w:rsid w:val="00244CFB"/>
    <w:rsid w:val="00246C5E"/>
    <w:rsid w:val="00246F44"/>
    <w:rsid w:val="00247D03"/>
    <w:rsid w:val="00251394"/>
    <w:rsid w:val="00251EE2"/>
    <w:rsid w:val="00252C0C"/>
    <w:rsid w:val="002530F4"/>
    <w:rsid w:val="0025412D"/>
    <w:rsid w:val="002543AE"/>
    <w:rsid w:val="00254967"/>
    <w:rsid w:val="00254D4C"/>
    <w:rsid w:val="00255B25"/>
    <w:rsid w:val="002568AE"/>
    <w:rsid w:val="00256A92"/>
    <w:rsid w:val="00256FE8"/>
    <w:rsid w:val="00260E68"/>
    <w:rsid w:val="00262184"/>
    <w:rsid w:val="00265C83"/>
    <w:rsid w:val="0026687A"/>
    <w:rsid w:val="00266E3E"/>
    <w:rsid w:val="00267630"/>
    <w:rsid w:val="00272CDD"/>
    <w:rsid w:val="00272EC2"/>
    <w:rsid w:val="0027323B"/>
    <w:rsid w:val="00274E87"/>
    <w:rsid w:val="00274E99"/>
    <w:rsid w:val="002757E1"/>
    <w:rsid w:val="00276FCE"/>
    <w:rsid w:val="0027745E"/>
    <w:rsid w:val="00281678"/>
    <w:rsid w:val="00281AC0"/>
    <w:rsid w:val="00283F81"/>
    <w:rsid w:val="00284B79"/>
    <w:rsid w:val="00285668"/>
    <w:rsid w:val="00285AFE"/>
    <w:rsid w:val="002862CE"/>
    <w:rsid w:val="00286B97"/>
    <w:rsid w:val="00286C5D"/>
    <w:rsid w:val="002877D1"/>
    <w:rsid w:val="00292A0D"/>
    <w:rsid w:val="00292F94"/>
    <w:rsid w:val="00293042"/>
    <w:rsid w:val="002951E4"/>
    <w:rsid w:val="002955F7"/>
    <w:rsid w:val="002A0E5B"/>
    <w:rsid w:val="002A1CD2"/>
    <w:rsid w:val="002A347E"/>
    <w:rsid w:val="002A3F7F"/>
    <w:rsid w:val="002A4D40"/>
    <w:rsid w:val="002A6B8B"/>
    <w:rsid w:val="002A6EAE"/>
    <w:rsid w:val="002A7A3E"/>
    <w:rsid w:val="002B0A9F"/>
    <w:rsid w:val="002B0B38"/>
    <w:rsid w:val="002B1818"/>
    <w:rsid w:val="002B1918"/>
    <w:rsid w:val="002B2DDD"/>
    <w:rsid w:val="002B6BA0"/>
    <w:rsid w:val="002B7295"/>
    <w:rsid w:val="002B79DE"/>
    <w:rsid w:val="002B7B1F"/>
    <w:rsid w:val="002C00DA"/>
    <w:rsid w:val="002C041F"/>
    <w:rsid w:val="002C0E8F"/>
    <w:rsid w:val="002C22C1"/>
    <w:rsid w:val="002C25A6"/>
    <w:rsid w:val="002C563A"/>
    <w:rsid w:val="002D1D79"/>
    <w:rsid w:val="002D2178"/>
    <w:rsid w:val="002D3E62"/>
    <w:rsid w:val="002D4C7B"/>
    <w:rsid w:val="002D5208"/>
    <w:rsid w:val="002E09B1"/>
    <w:rsid w:val="002E0AF5"/>
    <w:rsid w:val="002E13B9"/>
    <w:rsid w:val="002E199D"/>
    <w:rsid w:val="002E42AB"/>
    <w:rsid w:val="002E643E"/>
    <w:rsid w:val="002E7D7F"/>
    <w:rsid w:val="002F0C84"/>
    <w:rsid w:val="002F2E58"/>
    <w:rsid w:val="002F34A1"/>
    <w:rsid w:val="002F3709"/>
    <w:rsid w:val="002F4357"/>
    <w:rsid w:val="002F48C7"/>
    <w:rsid w:val="002F629D"/>
    <w:rsid w:val="002F6749"/>
    <w:rsid w:val="002F78B9"/>
    <w:rsid w:val="002F7DB4"/>
    <w:rsid w:val="00302416"/>
    <w:rsid w:val="00302BC4"/>
    <w:rsid w:val="00302FEC"/>
    <w:rsid w:val="003034B6"/>
    <w:rsid w:val="00303EB6"/>
    <w:rsid w:val="0030513C"/>
    <w:rsid w:val="00305A64"/>
    <w:rsid w:val="003062FD"/>
    <w:rsid w:val="003064F4"/>
    <w:rsid w:val="0030726E"/>
    <w:rsid w:val="00307691"/>
    <w:rsid w:val="00310CD0"/>
    <w:rsid w:val="0031140C"/>
    <w:rsid w:val="00312CF2"/>
    <w:rsid w:val="00312E70"/>
    <w:rsid w:val="00312E71"/>
    <w:rsid w:val="0031375F"/>
    <w:rsid w:val="0031639F"/>
    <w:rsid w:val="00316E04"/>
    <w:rsid w:val="00317184"/>
    <w:rsid w:val="003208BF"/>
    <w:rsid w:val="00320E6A"/>
    <w:rsid w:val="003210E1"/>
    <w:rsid w:val="003221BF"/>
    <w:rsid w:val="00322353"/>
    <w:rsid w:val="00326048"/>
    <w:rsid w:val="00326334"/>
    <w:rsid w:val="00326E01"/>
    <w:rsid w:val="0032750D"/>
    <w:rsid w:val="003309ED"/>
    <w:rsid w:val="0033124A"/>
    <w:rsid w:val="00331AB6"/>
    <w:rsid w:val="00332EDD"/>
    <w:rsid w:val="00333B3B"/>
    <w:rsid w:val="003363EA"/>
    <w:rsid w:val="003378D1"/>
    <w:rsid w:val="0034081A"/>
    <w:rsid w:val="0034095E"/>
    <w:rsid w:val="00343040"/>
    <w:rsid w:val="003438EF"/>
    <w:rsid w:val="00343B7B"/>
    <w:rsid w:val="00343E77"/>
    <w:rsid w:val="00344E49"/>
    <w:rsid w:val="0034522E"/>
    <w:rsid w:val="003465BD"/>
    <w:rsid w:val="00346D52"/>
    <w:rsid w:val="0035046B"/>
    <w:rsid w:val="00351911"/>
    <w:rsid w:val="00351B5E"/>
    <w:rsid w:val="003529BB"/>
    <w:rsid w:val="0035305A"/>
    <w:rsid w:val="0035368D"/>
    <w:rsid w:val="003560A8"/>
    <w:rsid w:val="00357EA5"/>
    <w:rsid w:val="00360B90"/>
    <w:rsid w:val="003618C0"/>
    <w:rsid w:val="00362984"/>
    <w:rsid w:val="00362BCB"/>
    <w:rsid w:val="00363340"/>
    <w:rsid w:val="003647AF"/>
    <w:rsid w:val="0036634F"/>
    <w:rsid w:val="00366D9A"/>
    <w:rsid w:val="00367DFF"/>
    <w:rsid w:val="00370EA5"/>
    <w:rsid w:val="00372370"/>
    <w:rsid w:val="00373D73"/>
    <w:rsid w:val="003749D6"/>
    <w:rsid w:val="003765ED"/>
    <w:rsid w:val="00376990"/>
    <w:rsid w:val="0037762C"/>
    <w:rsid w:val="00382F9D"/>
    <w:rsid w:val="00385363"/>
    <w:rsid w:val="0038565A"/>
    <w:rsid w:val="0038568A"/>
    <w:rsid w:val="00385792"/>
    <w:rsid w:val="00385DD2"/>
    <w:rsid w:val="0038717F"/>
    <w:rsid w:val="003875CD"/>
    <w:rsid w:val="00387B35"/>
    <w:rsid w:val="00390222"/>
    <w:rsid w:val="003915B0"/>
    <w:rsid w:val="00391868"/>
    <w:rsid w:val="00393B91"/>
    <w:rsid w:val="00395A37"/>
    <w:rsid w:val="00395AAB"/>
    <w:rsid w:val="0039716D"/>
    <w:rsid w:val="003979CC"/>
    <w:rsid w:val="00397F1D"/>
    <w:rsid w:val="003A0CA0"/>
    <w:rsid w:val="003A3CAF"/>
    <w:rsid w:val="003A419E"/>
    <w:rsid w:val="003A5A2C"/>
    <w:rsid w:val="003A5FE3"/>
    <w:rsid w:val="003A6212"/>
    <w:rsid w:val="003B00BB"/>
    <w:rsid w:val="003B0257"/>
    <w:rsid w:val="003B044A"/>
    <w:rsid w:val="003B0CBB"/>
    <w:rsid w:val="003B169F"/>
    <w:rsid w:val="003B25D2"/>
    <w:rsid w:val="003B2AF3"/>
    <w:rsid w:val="003B364A"/>
    <w:rsid w:val="003B3CA1"/>
    <w:rsid w:val="003B4694"/>
    <w:rsid w:val="003B4C63"/>
    <w:rsid w:val="003B52DA"/>
    <w:rsid w:val="003B5F54"/>
    <w:rsid w:val="003C1DBF"/>
    <w:rsid w:val="003C2064"/>
    <w:rsid w:val="003C24AB"/>
    <w:rsid w:val="003C2981"/>
    <w:rsid w:val="003C4E4D"/>
    <w:rsid w:val="003D1D0C"/>
    <w:rsid w:val="003D26E0"/>
    <w:rsid w:val="003D55B3"/>
    <w:rsid w:val="003D5B86"/>
    <w:rsid w:val="003D6107"/>
    <w:rsid w:val="003D6743"/>
    <w:rsid w:val="003E0A4C"/>
    <w:rsid w:val="003E0E0B"/>
    <w:rsid w:val="003E37C2"/>
    <w:rsid w:val="003E3EBE"/>
    <w:rsid w:val="003E502D"/>
    <w:rsid w:val="003E52FD"/>
    <w:rsid w:val="003E6D2A"/>
    <w:rsid w:val="003E727B"/>
    <w:rsid w:val="003E73F2"/>
    <w:rsid w:val="003F1D67"/>
    <w:rsid w:val="003F2027"/>
    <w:rsid w:val="003F2703"/>
    <w:rsid w:val="003F617C"/>
    <w:rsid w:val="00400FDA"/>
    <w:rsid w:val="00401069"/>
    <w:rsid w:val="00402BC1"/>
    <w:rsid w:val="00405A68"/>
    <w:rsid w:val="0040652D"/>
    <w:rsid w:val="00406C68"/>
    <w:rsid w:val="004076AF"/>
    <w:rsid w:val="00407756"/>
    <w:rsid w:val="004105F7"/>
    <w:rsid w:val="00410C16"/>
    <w:rsid w:val="004113E6"/>
    <w:rsid w:val="00411422"/>
    <w:rsid w:val="00411561"/>
    <w:rsid w:val="004116CA"/>
    <w:rsid w:val="00412CD6"/>
    <w:rsid w:val="00413413"/>
    <w:rsid w:val="00413684"/>
    <w:rsid w:val="00413D88"/>
    <w:rsid w:val="00415303"/>
    <w:rsid w:val="00415753"/>
    <w:rsid w:val="00415D10"/>
    <w:rsid w:val="00420918"/>
    <w:rsid w:val="0042091E"/>
    <w:rsid w:val="004218F2"/>
    <w:rsid w:val="004221F7"/>
    <w:rsid w:val="004234C1"/>
    <w:rsid w:val="004238FD"/>
    <w:rsid w:val="00425D79"/>
    <w:rsid w:val="004263E5"/>
    <w:rsid w:val="00426B8C"/>
    <w:rsid w:val="0042725F"/>
    <w:rsid w:val="00430802"/>
    <w:rsid w:val="00431DC0"/>
    <w:rsid w:val="004320B0"/>
    <w:rsid w:val="00432809"/>
    <w:rsid w:val="00433453"/>
    <w:rsid w:val="0043457F"/>
    <w:rsid w:val="00435483"/>
    <w:rsid w:val="00435F48"/>
    <w:rsid w:val="00436EBF"/>
    <w:rsid w:val="004416BA"/>
    <w:rsid w:val="0044299E"/>
    <w:rsid w:val="00442ED1"/>
    <w:rsid w:val="00444DD3"/>
    <w:rsid w:val="004464A8"/>
    <w:rsid w:val="004468AA"/>
    <w:rsid w:val="0044691E"/>
    <w:rsid w:val="00450E4B"/>
    <w:rsid w:val="00452979"/>
    <w:rsid w:val="004540BB"/>
    <w:rsid w:val="004554C2"/>
    <w:rsid w:val="0045673D"/>
    <w:rsid w:val="00457033"/>
    <w:rsid w:val="00457D25"/>
    <w:rsid w:val="00461EA7"/>
    <w:rsid w:val="004627EB"/>
    <w:rsid w:val="004628F2"/>
    <w:rsid w:val="00462F34"/>
    <w:rsid w:val="0046338C"/>
    <w:rsid w:val="00463531"/>
    <w:rsid w:val="0046428A"/>
    <w:rsid w:val="00467706"/>
    <w:rsid w:val="0047046F"/>
    <w:rsid w:val="00471654"/>
    <w:rsid w:val="00472091"/>
    <w:rsid w:val="00473071"/>
    <w:rsid w:val="0047451E"/>
    <w:rsid w:val="004748E7"/>
    <w:rsid w:val="00480FE1"/>
    <w:rsid w:val="00482592"/>
    <w:rsid w:val="00482B45"/>
    <w:rsid w:val="00483304"/>
    <w:rsid w:val="00484913"/>
    <w:rsid w:val="00486712"/>
    <w:rsid w:val="004877A6"/>
    <w:rsid w:val="00487EDC"/>
    <w:rsid w:val="0049040A"/>
    <w:rsid w:val="00490E84"/>
    <w:rsid w:val="004918CF"/>
    <w:rsid w:val="00492982"/>
    <w:rsid w:val="00492AA6"/>
    <w:rsid w:val="00494C70"/>
    <w:rsid w:val="00495905"/>
    <w:rsid w:val="00495A4D"/>
    <w:rsid w:val="00495E7F"/>
    <w:rsid w:val="00496928"/>
    <w:rsid w:val="004A037E"/>
    <w:rsid w:val="004A12F8"/>
    <w:rsid w:val="004A14BF"/>
    <w:rsid w:val="004A2DEB"/>
    <w:rsid w:val="004A4384"/>
    <w:rsid w:val="004A5120"/>
    <w:rsid w:val="004A51A7"/>
    <w:rsid w:val="004A60D7"/>
    <w:rsid w:val="004A6D7F"/>
    <w:rsid w:val="004A7D91"/>
    <w:rsid w:val="004B011D"/>
    <w:rsid w:val="004B0195"/>
    <w:rsid w:val="004B0B0F"/>
    <w:rsid w:val="004B0EFB"/>
    <w:rsid w:val="004B1030"/>
    <w:rsid w:val="004B2C9A"/>
    <w:rsid w:val="004B34A5"/>
    <w:rsid w:val="004B4249"/>
    <w:rsid w:val="004B444F"/>
    <w:rsid w:val="004B464D"/>
    <w:rsid w:val="004B4AF5"/>
    <w:rsid w:val="004B526B"/>
    <w:rsid w:val="004B6F64"/>
    <w:rsid w:val="004B77BD"/>
    <w:rsid w:val="004C03BB"/>
    <w:rsid w:val="004C0BC3"/>
    <w:rsid w:val="004C2962"/>
    <w:rsid w:val="004C3994"/>
    <w:rsid w:val="004C4C8D"/>
    <w:rsid w:val="004C5C33"/>
    <w:rsid w:val="004C71E7"/>
    <w:rsid w:val="004C7AA4"/>
    <w:rsid w:val="004C7B0A"/>
    <w:rsid w:val="004D0F15"/>
    <w:rsid w:val="004D1161"/>
    <w:rsid w:val="004D17F7"/>
    <w:rsid w:val="004D201B"/>
    <w:rsid w:val="004D36FA"/>
    <w:rsid w:val="004D49D2"/>
    <w:rsid w:val="004D52EB"/>
    <w:rsid w:val="004D6093"/>
    <w:rsid w:val="004D6851"/>
    <w:rsid w:val="004D6C53"/>
    <w:rsid w:val="004D7155"/>
    <w:rsid w:val="004D7DAB"/>
    <w:rsid w:val="004D7FF1"/>
    <w:rsid w:val="004E0ABE"/>
    <w:rsid w:val="004E1765"/>
    <w:rsid w:val="004E350A"/>
    <w:rsid w:val="004E3F80"/>
    <w:rsid w:val="004E6438"/>
    <w:rsid w:val="004E64CD"/>
    <w:rsid w:val="004E6773"/>
    <w:rsid w:val="004E75B9"/>
    <w:rsid w:val="004F15D8"/>
    <w:rsid w:val="004F1C44"/>
    <w:rsid w:val="004F1EA8"/>
    <w:rsid w:val="004F1FDB"/>
    <w:rsid w:val="004F352B"/>
    <w:rsid w:val="004F438A"/>
    <w:rsid w:val="004F46FC"/>
    <w:rsid w:val="004F615C"/>
    <w:rsid w:val="004F78F5"/>
    <w:rsid w:val="0050019E"/>
    <w:rsid w:val="00500B44"/>
    <w:rsid w:val="00501BB0"/>
    <w:rsid w:val="00502E75"/>
    <w:rsid w:val="00504DCF"/>
    <w:rsid w:val="0050598E"/>
    <w:rsid w:val="00506CE1"/>
    <w:rsid w:val="00511227"/>
    <w:rsid w:val="00511EB9"/>
    <w:rsid w:val="00512467"/>
    <w:rsid w:val="0051337C"/>
    <w:rsid w:val="00514D6C"/>
    <w:rsid w:val="00516B73"/>
    <w:rsid w:val="005172A4"/>
    <w:rsid w:val="005208ED"/>
    <w:rsid w:val="00520F13"/>
    <w:rsid w:val="005215F7"/>
    <w:rsid w:val="0052174B"/>
    <w:rsid w:val="00521C96"/>
    <w:rsid w:val="005229A9"/>
    <w:rsid w:val="00522DDF"/>
    <w:rsid w:val="0052555C"/>
    <w:rsid w:val="00525B27"/>
    <w:rsid w:val="00525B9D"/>
    <w:rsid w:val="005276CB"/>
    <w:rsid w:val="00530EF4"/>
    <w:rsid w:val="0053145C"/>
    <w:rsid w:val="00531952"/>
    <w:rsid w:val="00531B89"/>
    <w:rsid w:val="00534D0F"/>
    <w:rsid w:val="00534F64"/>
    <w:rsid w:val="00536798"/>
    <w:rsid w:val="00537EA7"/>
    <w:rsid w:val="00540C31"/>
    <w:rsid w:val="00541ED5"/>
    <w:rsid w:val="00542101"/>
    <w:rsid w:val="005431C3"/>
    <w:rsid w:val="005437F0"/>
    <w:rsid w:val="005439B8"/>
    <w:rsid w:val="00545CAF"/>
    <w:rsid w:val="00551F76"/>
    <w:rsid w:val="00552661"/>
    <w:rsid w:val="00552ABC"/>
    <w:rsid w:val="00552B20"/>
    <w:rsid w:val="00553200"/>
    <w:rsid w:val="005536BA"/>
    <w:rsid w:val="00554B62"/>
    <w:rsid w:val="0055670E"/>
    <w:rsid w:val="005608FC"/>
    <w:rsid w:val="00560FA4"/>
    <w:rsid w:val="00561346"/>
    <w:rsid w:val="0056331D"/>
    <w:rsid w:val="0056490E"/>
    <w:rsid w:val="005656B0"/>
    <w:rsid w:val="00565C73"/>
    <w:rsid w:val="0056613F"/>
    <w:rsid w:val="005662E6"/>
    <w:rsid w:val="005672B1"/>
    <w:rsid w:val="005708A1"/>
    <w:rsid w:val="00571BA8"/>
    <w:rsid w:val="00572FF8"/>
    <w:rsid w:val="005734F3"/>
    <w:rsid w:val="00576C7F"/>
    <w:rsid w:val="00577514"/>
    <w:rsid w:val="00580C9E"/>
    <w:rsid w:val="00580F93"/>
    <w:rsid w:val="00581B46"/>
    <w:rsid w:val="00582745"/>
    <w:rsid w:val="00582F9C"/>
    <w:rsid w:val="005836F2"/>
    <w:rsid w:val="00587D02"/>
    <w:rsid w:val="00590792"/>
    <w:rsid w:val="00590DCE"/>
    <w:rsid w:val="00590E24"/>
    <w:rsid w:val="005911F2"/>
    <w:rsid w:val="005913A3"/>
    <w:rsid w:val="005915B6"/>
    <w:rsid w:val="00593D9E"/>
    <w:rsid w:val="00594304"/>
    <w:rsid w:val="005945A6"/>
    <w:rsid w:val="005949FD"/>
    <w:rsid w:val="0059582E"/>
    <w:rsid w:val="00597220"/>
    <w:rsid w:val="00597D18"/>
    <w:rsid w:val="005A07CA"/>
    <w:rsid w:val="005A163D"/>
    <w:rsid w:val="005A18B8"/>
    <w:rsid w:val="005A2209"/>
    <w:rsid w:val="005A5266"/>
    <w:rsid w:val="005A67E4"/>
    <w:rsid w:val="005A6B4A"/>
    <w:rsid w:val="005B1E56"/>
    <w:rsid w:val="005B1FF4"/>
    <w:rsid w:val="005B2AD7"/>
    <w:rsid w:val="005B2EC4"/>
    <w:rsid w:val="005B7925"/>
    <w:rsid w:val="005B7A01"/>
    <w:rsid w:val="005C0646"/>
    <w:rsid w:val="005C0CDC"/>
    <w:rsid w:val="005C0DCB"/>
    <w:rsid w:val="005C1518"/>
    <w:rsid w:val="005C1C2B"/>
    <w:rsid w:val="005C1FDA"/>
    <w:rsid w:val="005C2E1B"/>
    <w:rsid w:val="005C2F4B"/>
    <w:rsid w:val="005C37F0"/>
    <w:rsid w:val="005C4E0F"/>
    <w:rsid w:val="005C693E"/>
    <w:rsid w:val="005C6DE3"/>
    <w:rsid w:val="005C6DFA"/>
    <w:rsid w:val="005D058E"/>
    <w:rsid w:val="005D063F"/>
    <w:rsid w:val="005D08FB"/>
    <w:rsid w:val="005D3BD0"/>
    <w:rsid w:val="005D4344"/>
    <w:rsid w:val="005D506A"/>
    <w:rsid w:val="005D6363"/>
    <w:rsid w:val="005D654C"/>
    <w:rsid w:val="005E02A0"/>
    <w:rsid w:val="005E05CF"/>
    <w:rsid w:val="005E073A"/>
    <w:rsid w:val="005E0DA4"/>
    <w:rsid w:val="005E3742"/>
    <w:rsid w:val="005E65E7"/>
    <w:rsid w:val="005E7150"/>
    <w:rsid w:val="005F4008"/>
    <w:rsid w:val="005F4351"/>
    <w:rsid w:val="005F4AF6"/>
    <w:rsid w:val="005F67F2"/>
    <w:rsid w:val="005F70F6"/>
    <w:rsid w:val="005F75C8"/>
    <w:rsid w:val="005F7991"/>
    <w:rsid w:val="00602177"/>
    <w:rsid w:val="006029F5"/>
    <w:rsid w:val="006046E7"/>
    <w:rsid w:val="00604B3A"/>
    <w:rsid w:val="00605203"/>
    <w:rsid w:val="00605D40"/>
    <w:rsid w:val="00606C31"/>
    <w:rsid w:val="006070FC"/>
    <w:rsid w:val="0060776E"/>
    <w:rsid w:val="00611C89"/>
    <w:rsid w:val="006123CC"/>
    <w:rsid w:val="00612855"/>
    <w:rsid w:val="00613D74"/>
    <w:rsid w:val="006141D5"/>
    <w:rsid w:val="006142A1"/>
    <w:rsid w:val="00614EA4"/>
    <w:rsid w:val="0061520D"/>
    <w:rsid w:val="00616960"/>
    <w:rsid w:val="00616AEB"/>
    <w:rsid w:val="00616B18"/>
    <w:rsid w:val="00616C7E"/>
    <w:rsid w:val="0061704D"/>
    <w:rsid w:val="00620C07"/>
    <w:rsid w:val="00621980"/>
    <w:rsid w:val="006219EB"/>
    <w:rsid w:val="006257E3"/>
    <w:rsid w:val="00627547"/>
    <w:rsid w:val="006278DD"/>
    <w:rsid w:val="00627928"/>
    <w:rsid w:val="00630A2E"/>
    <w:rsid w:val="006310F4"/>
    <w:rsid w:val="0063297E"/>
    <w:rsid w:val="006334B0"/>
    <w:rsid w:val="006344B3"/>
    <w:rsid w:val="00634675"/>
    <w:rsid w:val="0063481D"/>
    <w:rsid w:val="006353AA"/>
    <w:rsid w:val="0063717A"/>
    <w:rsid w:val="006375F9"/>
    <w:rsid w:val="00640F28"/>
    <w:rsid w:val="00641E89"/>
    <w:rsid w:val="00644CA8"/>
    <w:rsid w:val="00645CE8"/>
    <w:rsid w:val="006464AE"/>
    <w:rsid w:val="00646935"/>
    <w:rsid w:val="00647F4B"/>
    <w:rsid w:val="0065203C"/>
    <w:rsid w:val="00654903"/>
    <w:rsid w:val="00657440"/>
    <w:rsid w:val="006610F4"/>
    <w:rsid w:val="0066148B"/>
    <w:rsid w:val="006625A8"/>
    <w:rsid w:val="0066345D"/>
    <w:rsid w:val="0066390F"/>
    <w:rsid w:val="0066567D"/>
    <w:rsid w:val="006665C0"/>
    <w:rsid w:val="0066697F"/>
    <w:rsid w:val="0066715E"/>
    <w:rsid w:val="00667530"/>
    <w:rsid w:val="00667F33"/>
    <w:rsid w:val="006719ED"/>
    <w:rsid w:val="00673EE8"/>
    <w:rsid w:val="006747DA"/>
    <w:rsid w:val="00675219"/>
    <w:rsid w:val="00675913"/>
    <w:rsid w:val="00677707"/>
    <w:rsid w:val="0068106A"/>
    <w:rsid w:val="00682454"/>
    <w:rsid w:val="006825C3"/>
    <w:rsid w:val="00687340"/>
    <w:rsid w:val="00687EE4"/>
    <w:rsid w:val="0069099D"/>
    <w:rsid w:val="00690DA9"/>
    <w:rsid w:val="006936A2"/>
    <w:rsid w:val="006951AF"/>
    <w:rsid w:val="006964EF"/>
    <w:rsid w:val="006972AF"/>
    <w:rsid w:val="00697A9E"/>
    <w:rsid w:val="006A1F7F"/>
    <w:rsid w:val="006A5A72"/>
    <w:rsid w:val="006A6505"/>
    <w:rsid w:val="006B2A1A"/>
    <w:rsid w:val="006B35FC"/>
    <w:rsid w:val="006B45EA"/>
    <w:rsid w:val="006B4910"/>
    <w:rsid w:val="006B5684"/>
    <w:rsid w:val="006B7646"/>
    <w:rsid w:val="006C04F9"/>
    <w:rsid w:val="006C1506"/>
    <w:rsid w:val="006C1554"/>
    <w:rsid w:val="006C15EB"/>
    <w:rsid w:val="006C1DCB"/>
    <w:rsid w:val="006C39AE"/>
    <w:rsid w:val="006C480F"/>
    <w:rsid w:val="006C5503"/>
    <w:rsid w:val="006C5561"/>
    <w:rsid w:val="006C5A3F"/>
    <w:rsid w:val="006C6BE2"/>
    <w:rsid w:val="006C73C5"/>
    <w:rsid w:val="006D0E74"/>
    <w:rsid w:val="006D12E4"/>
    <w:rsid w:val="006D13DD"/>
    <w:rsid w:val="006D23AB"/>
    <w:rsid w:val="006D32B5"/>
    <w:rsid w:val="006D4BC6"/>
    <w:rsid w:val="006D59A9"/>
    <w:rsid w:val="006E5375"/>
    <w:rsid w:val="006E65DD"/>
    <w:rsid w:val="006E674C"/>
    <w:rsid w:val="006E744C"/>
    <w:rsid w:val="006F194B"/>
    <w:rsid w:val="006F2DEF"/>
    <w:rsid w:val="006F2F51"/>
    <w:rsid w:val="006F3506"/>
    <w:rsid w:val="006F3694"/>
    <w:rsid w:val="006F60EB"/>
    <w:rsid w:val="006F63CC"/>
    <w:rsid w:val="006F64E2"/>
    <w:rsid w:val="006F6993"/>
    <w:rsid w:val="006F6BB1"/>
    <w:rsid w:val="006F6BBE"/>
    <w:rsid w:val="00701CC6"/>
    <w:rsid w:val="00702A2D"/>
    <w:rsid w:val="00702D5B"/>
    <w:rsid w:val="00703A52"/>
    <w:rsid w:val="00707195"/>
    <w:rsid w:val="00707C8C"/>
    <w:rsid w:val="00711ECB"/>
    <w:rsid w:val="00712446"/>
    <w:rsid w:val="007129F0"/>
    <w:rsid w:val="0071459F"/>
    <w:rsid w:val="00716A4B"/>
    <w:rsid w:val="007178EE"/>
    <w:rsid w:val="00720848"/>
    <w:rsid w:val="00721DED"/>
    <w:rsid w:val="00722205"/>
    <w:rsid w:val="007229F0"/>
    <w:rsid w:val="00722DA5"/>
    <w:rsid w:val="00724999"/>
    <w:rsid w:val="007255DC"/>
    <w:rsid w:val="007259DB"/>
    <w:rsid w:val="00725C68"/>
    <w:rsid w:val="00726C31"/>
    <w:rsid w:val="00727F84"/>
    <w:rsid w:val="00732C70"/>
    <w:rsid w:val="00733B7D"/>
    <w:rsid w:val="00733CAF"/>
    <w:rsid w:val="007343DF"/>
    <w:rsid w:val="00736B1F"/>
    <w:rsid w:val="007374DF"/>
    <w:rsid w:val="007403EB"/>
    <w:rsid w:val="00740733"/>
    <w:rsid w:val="00743162"/>
    <w:rsid w:val="00743A9B"/>
    <w:rsid w:val="007448E9"/>
    <w:rsid w:val="00746500"/>
    <w:rsid w:val="00746C92"/>
    <w:rsid w:val="00747D46"/>
    <w:rsid w:val="007505B4"/>
    <w:rsid w:val="00751D72"/>
    <w:rsid w:val="0075367B"/>
    <w:rsid w:val="007541B1"/>
    <w:rsid w:val="0075454A"/>
    <w:rsid w:val="00755D4D"/>
    <w:rsid w:val="00756A2B"/>
    <w:rsid w:val="00757D36"/>
    <w:rsid w:val="0076056D"/>
    <w:rsid w:val="0076169F"/>
    <w:rsid w:val="00761A04"/>
    <w:rsid w:val="00761E80"/>
    <w:rsid w:val="00762250"/>
    <w:rsid w:val="007625B4"/>
    <w:rsid w:val="00762F61"/>
    <w:rsid w:val="00763157"/>
    <w:rsid w:val="0077102D"/>
    <w:rsid w:val="007711C9"/>
    <w:rsid w:val="00771642"/>
    <w:rsid w:val="00771EAC"/>
    <w:rsid w:val="0077224C"/>
    <w:rsid w:val="00773AAC"/>
    <w:rsid w:val="00775ED3"/>
    <w:rsid w:val="0077644B"/>
    <w:rsid w:val="00776936"/>
    <w:rsid w:val="00777460"/>
    <w:rsid w:val="00777C82"/>
    <w:rsid w:val="0078028C"/>
    <w:rsid w:val="00780C31"/>
    <w:rsid w:val="007816AE"/>
    <w:rsid w:val="00782239"/>
    <w:rsid w:val="0078341B"/>
    <w:rsid w:val="00783AB8"/>
    <w:rsid w:val="007840CB"/>
    <w:rsid w:val="0078439F"/>
    <w:rsid w:val="0078529A"/>
    <w:rsid w:val="007863AE"/>
    <w:rsid w:val="00786A6D"/>
    <w:rsid w:val="00787328"/>
    <w:rsid w:val="00787690"/>
    <w:rsid w:val="00787F96"/>
    <w:rsid w:val="0079074B"/>
    <w:rsid w:val="00790B3A"/>
    <w:rsid w:val="00791044"/>
    <w:rsid w:val="007915D7"/>
    <w:rsid w:val="00792014"/>
    <w:rsid w:val="00792243"/>
    <w:rsid w:val="00793D53"/>
    <w:rsid w:val="007961A5"/>
    <w:rsid w:val="00797029"/>
    <w:rsid w:val="00797455"/>
    <w:rsid w:val="007977FD"/>
    <w:rsid w:val="00797BBC"/>
    <w:rsid w:val="007A0067"/>
    <w:rsid w:val="007A010D"/>
    <w:rsid w:val="007A02A8"/>
    <w:rsid w:val="007A0BD1"/>
    <w:rsid w:val="007A2B20"/>
    <w:rsid w:val="007A410C"/>
    <w:rsid w:val="007A64A8"/>
    <w:rsid w:val="007A678E"/>
    <w:rsid w:val="007A6C57"/>
    <w:rsid w:val="007B3BAB"/>
    <w:rsid w:val="007B5108"/>
    <w:rsid w:val="007B575E"/>
    <w:rsid w:val="007B57E1"/>
    <w:rsid w:val="007B5EF2"/>
    <w:rsid w:val="007B7A6B"/>
    <w:rsid w:val="007C19E1"/>
    <w:rsid w:val="007C413B"/>
    <w:rsid w:val="007C4F15"/>
    <w:rsid w:val="007C6C50"/>
    <w:rsid w:val="007D0932"/>
    <w:rsid w:val="007D1EB0"/>
    <w:rsid w:val="007D2795"/>
    <w:rsid w:val="007D324B"/>
    <w:rsid w:val="007D3885"/>
    <w:rsid w:val="007D42EE"/>
    <w:rsid w:val="007D4FC5"/>
    <w:rsid w:val="007D6F73"/>
    <w:rsid w:val="007D7AC5"/>
    <w:rsid w:val="007D7BA3"/>
    <w:rsid w:val="007D7EDA"/>
    <w:rsid w:val="007E1225"/>
    <w:rsid w:val="007E27F7"/>
    <w:rsid w:val="007E317F"/>
    <w:rsid w:val="007E362E"/>
    <w:rsid w:val="007E42E7"/>
    <w:rsid w:val="007E5CE2"/>
    <w:rsid w:val="007F0DAB"/>
    <w:rsid w:val="007F1325"/>
    <w:rsid w:val="007F3E2D"/>
    <w:rsid w:val="007F4A0A"/>
    <w:rsid w:val="007F5B0E"/>
    <w:rsid w:val="007F64C2"/>
    <w:rsid w:val="007F68B0"/>
    <w:rsid w:val="007F6F93"/>
    <w:rsid w:val="007F7767"/>
    <w:rsid w:val="007F7D1D"/>
    <w:rsid w:val="008001E5"/>
    <w:rsid w:val="0080367C"/>
    <w:rsid w:val="008048E4"/>
    <w:rsid w:val="00805B87"/>
    <w:rsid w:val="00811428"/>
    <w:rsid w:val="0081230A"/>
    <w:rsid w:val="00812BE1"/>
    <w:rsid w:val="00812D85"/>
    <w:rsid w:val="00813A70"/>
    <w:rsid w:val="00813DF3"/>
    <w:rsid w:val="0081438B"/>
    <w:rsid w:val="00820713"/>
    <w:rsid w:val="0082108A"/>
    <w:rsid w:val="00823825"/>
    <w:rsid w:val="008247A0"/>
    <w:rsid w:val="008248B9"/>
    <w:rsid w:val="0082517D"/>
    <w:rsid w:val="00826486"/>
    <w:rsid w:val="00833306"/>
    <w:rsid w:val="008366CA"/>
    <w:rsid w:val="008377D5"/>
    <w:rsid w:val="00837A89"/>
    <w:rsid w:val="00837BF2"/>
    <w:rsid w:val="00837DED"/>
    <w:rsid w:val="00840179"/>
    <w:rsid w:val="00840A0D"/>
    <w:rsid w:val="00840C1E"/>
    <w:rsid w:val="00844063"/>
    <w:rsid w:val="0084419D"/>
    <w:rsid w:val="00844436"/>
    <w:rsid w:val="0084612E"/>
    <w:rsid w:val="008462F5"/>
    <w:rsid w:val="00846AF4"/>
    <w:rsid w:val="00846CC0"/>
    <w:rsid w:val="00847FFA"/>
    <w:rsid w:val="00850544"/>
    <w:rsid w:val="00850BC6"/>
    <w:rsid w:val="0085278A"/>
    <w:rsid w:val="00855280"/>
    <w:rsid w:val="00856CCE"/>
    <w:rsid w:val="00857937"/>
    <w:rsid w:val="00857B38"/>
    <w:rsid w:val="0086037F"/>
    <w:rsid w:val="00861ECF"/>
    <w:rsid w:val="0086650E"/>
    <w:rsid w:val="00867724"/>
    <w:rsid w:val="008745AC"/>
    <w:rsid w:val="00876206"/>
    <w:rsid w:val="008771EC"/>
    <w:rsid w:val="00877F3D"/>
    <w:rsid w:val="0088155F"/>
    <w:rsid w:val="00881B81"/>
    <w:rsid w:val="00882743"/>
    <w:rsid w:val="00882EED"/>
    <w:rsid w:val="00883BAC"/>
    <w:rsid w:val="0088581F"/>
    <w:rsid w:val="008868CD"/>
    <w:rsid w:val="0088765D"/>
    <w:rsid w:val="008876D4"/>
    <w:rsid w:val="00890D8C"/>
    <w:rsid w:val="00892344"/>
    <w:rsid w:val="00892905"/>
    <w:rsid w:val="00894046"/>
    <w:rsid w:val="008941DA"/>
    <w:rsid w:val="00894B77"/>
    <w:rsid w:val="00894C8C"/>
    <w:rsid w:val="008951E9"/>
    <w:rsid w:val="00895A55"/>
    <w:rsid w:val="00895EC0"/>
    <w:rsid w:val="008963E1"/>
    <w:rsid w:val="00897975"/>
    <w:rsid w:val="008A1800"/>
    <w:rsid w:val="008A1B91"/>
    <w:rsid w:val="008A338B"/>
    <w:rsid w:val="008A59AE"/>
    <w:rsid w:val="008A5F2D"/>
    <w:rsid w:val="008A6E9F"/>
    <w:rsid w:val="008A764E"/>
    <w:rsid w:val="008B0A05"/>
    <w:rsid w:val="008B0E35"/>
    <w:rsid w:val="008B114F"/>
    <w:rsid w:val="008B1A18"/>
    <w:rsid w:val="008B2BC8"/>
    <w:rsid w:val="008B4C7B"/>
    <w:rsid w:val="008B57ED"/>
    <w:rsid w:val="008B5A00"/>
    <w:rsid w:val="008B6943"/>
    <w:rsid w:val="008B7219"/>
    <w:rsid w:val="008B7B3C"/>
    <w:rsid w:val="008C0194"/>
    <w:rsid w:val="008C0B40"/>
    <w:rsid w:val="008C16E0"/>
    <w:rsid w:val="008C197D"/>
    <w:rsid w:val="008C3934"/>
    <w:rsid w:val="008C39CA"/>
    <w:rsid w:val="008C3F24"/>
    <w:rsid w:val="008C3F36"/>
    <w:rsid w:val="008C46DD"/>
    <w:rsid w:val="008C4C8B"/>
    <w:rsid w:val="008C73D6"/>
    <w:rsid w:val="008C7835"/>
    <w:rsid w:val="008D0C08"/>
    <w:rsid w:val="008D1C72"/>
    <w:rsid w:val="008D3854"/>
    <w:rsid w:val="008D3FD0"/>
    <w:rsid w:val="008D4B1F"/>
    <w:rsid w:val="008D4CD2"/>
    <w:rsid w:val="008D4DBC"/>
    <w:rsid w:val="008D60A4"/>
    <w:rsid w:val="008D72A5"/>
    <w:rsid w:val="008E05F5"/>
    <w:rsid w:val="008E23FB"/>
    <w:rsid w:val="008E2629"/>
    <w:rsid w:val="008E2F59"/>
    <w:rsid w:val="008E46C6"/>
    <w:rsid w:val="008E5851"/>
    <w:rsid w:val="008E5B08"/>
    <w:rsid w:val="008E6309"/>
    <w:rsid w:val="008E68C4"/>
    <w:rsid w:val="008F1146"/>
    <w:rsid w:val="008F138A"/>
    <w:rsid w:val="008F2E40"/>
    <w:rsid w:val="008F2EC0"/>
    <w:rsid w:val="008F3D0A"/>
    <w:rsid w:val="008F483D"/>
    <w:rsid w:val="008F5127"/>
    <w:rsid w:val="008F5B74"/>
    <w:rsid w:val="008F6FED"/>
    <w:rsid w:val="0090012C"/>
    <w:rsid w:val="00900B8E"/>
    <w:rsid w:val="00902F8C"/>
    <w:rsid w:val="00903C6A"/>
    <w:rsid w:val="00904886"/>
    <w:rsid w:val="00905BB1"/>
    <w:rsid w:val="0090689A"/>
    <w:rsid w:val="009071AC"/>
    <w:rsid w:val="0091292F"/>
    <w:rsid w:val="00912A7C"/>
    <w:rsid w:val="00912AA7"/>
    <w:rsid w:val="00912C22"/>
    <w:rsid w:val="00913055"/>
    <w:rsid w:val="00915EBA"/>
    <w:rsid w:val="00916004"/>
    <w:rsid w:val="009166C4"/>
    <w:rsid w:val="009211FC"/>
    <w:rsid w:val="0092195B"/>
    <w:rsid w:val="00922D9C"/>
    <w:rsid w:val="00922EC7"/>
    <w:rsid w:val="00923798"/>
    <w:rsid w:val="0092522D"/>
    <w:rsid w:val="00925BE5"/>
    <w:rsid w:val="009261BA"/>
    <w:rsid w:val="00926F5A"/>
    <w:rsid w:val="0092710E"/>
    <w:rsid w:val="00930283"/>
    <w:rsid w:val="00932640"/>
    <w:rsid w:val="00933119"/>
    <w:rsid w:val="00934753"/>
    <w:rsid w:val="00934EC4"/>
    <w:rsid w:val="00934F5C"/>
    <w:rsid w:val="00934FEA"/>
    <w:rsid w:val="00935B77"/>
    <w:rsid w:val="009363CA"/>
    <w:rsid w:val="00936582"/>
    <w:rsid w:val="00940759"/>
    <w:rsid w:val="00940830"/>
    <w:rsid w:val="00940BC7"/>
    <w:rsid w:val="00941301"/>
    <w:rsid w:val="0094144C"/>
    <w:rsid w:val="00941F82"/>
    <w:rsid w:val="00942789"/>
    <w:rsid w:val="009435B8"/>
    <w:rsid w:val="00945658"/>
    <w:rsid w:val="0094600A"/>
    <w:rsid w:val="00947351"/>
    <w:rsid w:val="00950562"/>
    <w:rsid w:val="0095070C"/>
    <w:rsid w:val="0095098F"/>
    <w:rsid w:val="009522A9"/>
    <w:rsid w:val="00954A44"/>
    <w:rsid w:val="009550D6"/>
    <w:rsid w:val="0095651A"/>
    <w:rsid w:val="0095790A"/>
    <w:rsid w:val="0096106D"/>
    <w:rsid w:val="00961597"/>
    <w:rsid w:val="009618A2"/>
    <w:rsid w:val="00961E8B"/>
    <w:rsid w:val="00963245"/>
    <w:rsid w:val="0096384F"/>
    <w:rsid w:val="0096432D"/>
    <w:rsid w:val="0096543B"/>
    <w:rsid w:val="0096692C"/>
    <w:rsid w:val="00970CFD"/>
    <w:rsid w:val="009715C0"/>
    <w:rsid w:val="00972A4B"/>
    <w:rsid w:val="00973049"/>
    <w:rsid w:val="009739C3"/>
    <w:rsid w:val="00973CEB"/>
    <w:rsid w:val="009751BE"/>
    <w:rsid w:val="00975B21"/>
    <w:rsid w:val="009766FD"/>
    <w:rsid w:val="00977365"/>
    <w:rsid w:val="00977BB7"/>
    <w:rsid w:val="00982448"/>
    <w:rsid w:val="0098255A"/>
    <w:rsid w:val="00982F31"/>
    <w:rsid w:val="009853F8"/>
    <w:rsid w:val="00985E85"/>
    <w:rsid w:val="00986612"/>
    <w:rsid w:val="009869AD"/>
    <w:rsid w:val="009871D2"/>
    <w:rsid w:val="00987B95"/>
    <w:rsid w:val="00987C3F"/>
    <w:rsid w:val="00991A80"/>
    <w:rsid w:val="00995514"/>
    <w:rsid w:val="00997551"/>
    <w:rsid w:val="009A0083"/>
    <w:rsid w:val="009A05F8"/>
    <w:rsid w:val="009A158F"/>
    <w:rsid w:val="009A23D2"/>
    <w:rsid w:val="009B0088"/>
    <w:rsid w:val="009B2D01"/>
    <w:rsid w:val="009B3F53"/>
    <w:rsid w:val="009B5285"/>
    <w:rsid w:val="009B5C01"/>
    <w:rsid w:val="009B6806"/>
    <w:rsid w:val="009B744F"/>
    <w:rsid w:val="009B7AC4"/>
    <w:rsid w:val="009B7EA9"/>
    <w:rsid w:val="009C0E2C"/>
    <w:rsid w:val="009C321E"/>
    <w:rsid w:val="009C4333"/>
    <w:rsid w:val="009C497D"/>
    <w:rsid w:val="009C4F26"/>
    <w:rsid w:val="009C5396"/>
    <w:rsid w:val="009C541E"/>
    <w:rsid w:val="009C5BDE"/>
    <w:rsid w:val="009C7626"/>
    <w:rsid w:val="009C7CBD"/>
    <w:rsid w:val="009D0217"/>
    <w:rsid w:val="009D067E"/>
    <w:rsid w:val="009D0BF1"/>
    <w:rsid w:val="009D0FB0"/>
    <w:rsid w:val="009D2173"/>
    <w:rsid w:val="009D2482"/>
    <w:rsid w:val="009D3DB0"/>
    <w:rsid w:val="009D417C"/>
    <w:rsid w:val="009D512D"/>
    <w:rsid w:val="009D77C4"/>
    <w:rsid w:val="009E000E"/>
    <w:rsid w:val="009E0324"/>
    <w:rsid w:val="009E0A25"/>
    <w:rsid w:val="009E0B93"/>
    <w:rsid w:val="009E16E9"/>
    <w:rsid w:val="009E176D"/>
    <w:rsid w:val="009E1A53"/>
    <w:rsid w:val="009E3F65"/>
    <w:rsid w:val="009E5324"/>
    <w:rsid w:val="009E5D76"/>
    <w:rsid w:val="009E63AE"/>
    <w:rsid w:val="009E662B"/>
    <w:rsid w:val="009E73C1"/>
    <w:rsid w:val="009E76E3"/>
    <w:rsid w:val="009F0A4A"/>
    <w:rsid w:val="009F1EC8"/>
    <w:rsid w:val="009F23CB"/>
    <w:rsid w:val="009F308E"/>
    <w:rsid w:val="009F4399"/>
    <w:rsid w:val="009F4DC1"/>
    <w:rsid w:val="009F6DFA"/>
    <w:rsid w:val="009F7C7A"/>
    <w:rsid w:val="009F7CAA"/>
    <w:rsid w:val="00A001C8"/>
    <w:rsid w:val="00A008C8"/>
    <w:rsid w:val="00A01BB1"/>
    <w:rsid w:val="00A03476"/>
    <w:rsid w:val="00A04DA7"/>
    <w:rsid w:val="00A06D53"/>
    <w:rsid w:val="00A10824"/>
    <w:rsid w:val="00A10B0B"/>
    <w:rsid w:val="00A1234D"/>
    <w:rsid w:val="00A12A25"/>
    <w:rsid w:val="00A16EE7"/>
    <w:rsid w:val="00A2000C"/>
    <w:rsid w:val="00A20036"/>
    <w:rsid w:val="00A2371B"/>
    <w:rsid w:val="00A24326"/>
    <w:rsid w:val="00A244F6"/>
    <w:rsid w:val="00A2499E"/>
    <w:rsid w:val="00A24C88"/>
    <w:rsid w:val="00A2674E"/>
    <w:rsid w:val="00A2756D"/>
    <w:rsid w:val="00A2766C"/>
    <w:rsid w:val="00A27D03"/>
    <w:rsid w:val="00A32025"/>
    <w:rsid w:val="00A32766"/>
    <w:rsid w:val="00A32D5F"/>
    <w:rsid w:val="00A35F7C"/>
    <w:rsid w:val="00A36D41"/>
    <w:rsid w:val="00A43BB8"/>
    <w:rsid w:val="00A441D3"/>
    <w:rsid w:val="00A44A20"/>
    <w:rsid w:val="00A451EB"/>
    <w:rsid w:val="00A452E0"/>
    <w:rsid w:val="00A45317"/>
    <w:rsid w:val="00A476E9"/>
    <w:rsid w:val="00A501BD"/>
    <w:rsid w:val="00A51086"/>
    <w:rsid w:val="00A51A01"/>
    <w:rsid w:val="00A51B04"/>
    <w:rsid w:val="00A51C71"/>
    <w:rsid w:val="00A51D84"/>
    <w:rsid w:val="00A52084"/>
    <w:rsid w:val="00A52EF7"/>
    <w:rsid w:val="00A53CD8"/>
    <w:rsid w:val="00A54BC9"/>
    <w:rsid w:val="00A552BD"/>
    <w:rsid w:val="00A5618D"/>
    <w:rsid w:val="00A567B6"/>
    <w:rsid w:val="00A573C7"/>
    <w:rsid w:val="00A5756A"/>
    <w:rsid w:val="00A5768B"/>
    <w:rsid w:val="00A57CF5"/>
    <w:rsid w:val="00A617B2"/>
    <w:rsid w:val="00A620EF"/>
    <w:rsid w:val="00A622AF"/>
    <w:rsid w:val="00A6307D"/>
    <w:rsid w:val="00A63537"/>
    <w:rsid w:val="00A63C92"/>
    <w:rsid w:val="00A6487A"/>
    <w:rsid w:val="00A65CDE"/>
    <w:rsid w:val="00A66524"/>
    <w:rsid w:val="00A674D2"/>
    <w:rsid w:val="00A678F8"/>
    <w:rsid w:val="00A7010E"/>
    <w:rsid w:val="00A7051E"/>
    <w:rsid w:val="00A71824"/>
    <w:rsid w:val="00A71D17"/>
    <w:rsid w:val="00A720E3"/>
    <w:rsid w:val="00A722DE"/>
    <w:rsid w:val="00A73467"/>
    <w:rsid w:val="00A7377F"/>
    <w:rsid w:val="00A73A0F"/>
    <w:rsid w:val="00A73CF0"/>
    <w:rsid w:val="00A7437C"/>
    <w:rsid w:val="00A75C91"/>
    <w:rsid w:val="00A765CF"/>
    <w:rsid w:val="00A76C93"/>
    <w:rsid w:val="00A81FAB"/>
    <w:rsid w:val="00A8686B"/>
    <w:rsid w:val="00A86B78"/>
    <w:rsid w:val="00A871EF"/>
    <w:rsid w:val="00A8770A"/>
    <w:rsid w:val="00A87AD2"/>
    <w:rsid w:val="00A87B75"/>
    <w:rsid w:val="00A87ED6"/>
    <w:rsid w:val="00A90389"/>
    <w:rsid w:val="00A9131E"/>
    <w:rsid w:val="00A91F2F"/>
    <w:rsid w:val="00A95263"/>
    <w:rsid w:val="00AA25D1"/>
    <w:rsid w:val="00AA2E26"/>
    <w:rsid w:val="00AA3601"/>
    <w:rsid w:val="00AA44A2"/>
    <w:rsid w:val="00AA6329"/>
    <w:rsid w:val="00AA65E2"/>
    <w:rsid w:val="00AA6A31"/>
    <w:rsid w:val="00AA6F0E"/>
    <w:rsid w:val="00AA7470"/>
    <w:rsid w:val="00AB00A2"/>
    <w:rsid w:val="00AB2029"/>
    <w:rsid w:val="00AB20E0"/>
    <w:rsid w:val="00AB44AE"/>
    <w:rsid w:val="00AB539F"/>
    <w:rsid w:val="00AB56C0"/>
    <w:rsid w:val="00AB5D8D"/>
    <w:rsid w:val="00AB66CF"/>
    <w:rsid w:val="00AB7511"/>
    <w:rsid w:val="00AB7AEC"/>
    <w:rsid w:val="00AC099F"/>
    <w:rsid w:val="00AC0CD7"/>
    <w:rsid w:val="00AC10BE"/>
    <w:rsid w:val="00AC28CE"/>
    <w:rsid w:val="00AC3871"/>
    <w:rsid w:val="00AC3DC3"/>
    <w:rsid w:val="00AC4DD6"/>
    <w:rsid w:val="00AC53C2"/>
    <w:rsid w:val="00AC7AE6"/>
    <w:rsid w:val="00AD5ECE"/>
    <w:rsid w:val="00AD67E3"/>
    <w:rsid w:val="00AE0CEC"/>
    <w:rsid w:val="00AE39DE"/>
    <w:rsid w:val="00AE514D"/>
    <w:rsid w:val="00AE5173"/>
    <w:rsid w:val="00AE584E"/>
    <w:rsid w:val="00AE7160"/>
    <w:rsid w:val="00AE766D"/>
    <w:rsid w:val="00AE7CA5"/>
    <w:rsid w:val="00AF03DC"/>
    <w:rsid w:val="00AF08F6"/>
    <w:rsid w:val="00AF0A4A"/>
    <w:rsid w:val="00AF12EA"/>
    <w:rsid w:val="00AF199B"/>
    <w:rsid w:val="00AF22EE"/>
    <w:rsid w:val="00AF41D0"/>
    <w:rsid w:val="00AF6CC9"/>
    <w:rsid w:val="00AF7FE2"/>
    <w:rsid w:val="00B010EA"/>
    <w:rsid w:val="00B0279D"/>
    <w:rsid w:val="00B03E87"/>
    <w:rsid w:val="00B04A2C"/>
    <w:rsid w:val="00B04ABB"/>
    <w:rsid w:val="00B05BC8"/>
    <w:rsid w:val="00B05BEB"/>
    <w:rsid w:val="00B06469"/>
    <w:rsid w:val="00B06D5D"/>
    <w:rsid w:val="00B07160"/>
    <w:rsid w:val="00B075BD"/>
    <w:rsid w:val="00B07FE3"/>
    <w:rsid w:val="00B103C8"/>
    <w:rsid w:val="00B11653"/>
    <w:rsid w:val="00B1216D"/>
    <w:rsid w:val="00B12DAE"/>
    <w:rsid w:val="00B14DE0"/>
    <w:rsid w:val="00B15095"/>
    <w:rsid w:val="00B15340"/>
    <w:rsid w:val="00B1648E"/>
    <w:rsid w:val="00B17956"/>
    <w:rsid w:val="00B17C89"/>
    <w:rsid w:val="00B202BB"/>
    <w:rsid w:val="00B2064A"/>
    <w:rsid w:val="00B20723"/>
    <w:rsid w:val="00B21681"/>
    <w:rsid w:val="00B21BF5"/>
    <w:rsid w:val="00B22979"/>
    <w:rsid w:val="00B24E03"/>
    <w:rsid w:val="00B24F33"/>
    <w:rsid w:val="00B25F56"/>
    <w:rsid w:val="00B26FFC"/>
    <w:rsid w:val="00B308BA"/>
    <w:rsid w:val="00B31027"/>
    <w:rsid w:val="00B33F7D"/>
    <w:rsid w:val="00B34637"/>
    <w:rsid w:val="00B34AA6"/>
    <w:rsid w:val="00B36258"/>
    <w:rsid w:val="00B36950"/>
    <w:rsid w:val="00B36F57"/>
    <w:rsid w:val="00B36FD1"/>
    <w:rsid w:val="00B404DF"/>
    <w:rsid w:val="00B404E5"/>
    <w:rsid w:val="00B43984"/>
    <w:rsid w:val="00B45B8F"/>
    <w:rsid w:val="00B46013"/>
    <w:rsid w:val="00B462E5"/>
    <w:rsid w:val="00B46F13"/>
    <w:rsid w:val="00B513B8"/>
    <w:rsid w:val="00B519CA"/>
    <w:rsid w:val="00B5207F"/>
    <w:rsid w:val="00B52507"/>
    <w:rsid w:val="00B53200"/>
    <w:rsid w:val="00B546FB"/>
    <w:rsid w:val="00B54D91"/>
    <w:rsid w:val="00B56554"/>
    <w:rsid w:val="00B6053D"/>
    <w:rsid w:val="00B61357"/>
    <w:rsid w:val="00B6160C"/>
    <w:rsid w:val="00B61CA4"/>
    <w:rsid w:val="00B62120"/>
    <w:rsid w:val="00B621CA"/>
    <w:rsid w:val="00B6245D"/>
    <w:rsid w:val="00B628BA"/>
    <w:rsid w:val="00B63D8F"/>
    <w:rsid w:val="00B65696"/>
    <w:rsid w:val="00B66014"/>
    <w:rsid w:val="00B66D8B"/>
    <w:rsid w:val="00B67045"/>
    <w:rsid w:val="00B6746E"/>
    <w:rsid w:val="00B6764D"/>
    <w:rsid w:val="00B67D6C"/>
    <w:rsid w:val="00B700FC"/>
    <w:rsid w:val="00B702E3"/>
    <w:rsid w:val="00B708E6"/>
    <w:rsid w:val="00B71012"/>
    <w:rsid w:val="00B71E8B"/>
    <w:rsid w:val="00B72E16"/>
    <w:rsid w:val="00B735E0"/>
    <w:rsid w:val="00B74DE8"/>
    <w:rsid w:val="00B76560"/>
    <w:rsid w:val="00B76B4C"/>
    <w:rsid w:val="00B80FBC"/>
    <w:rsid w:val="00B810E7"/>
    <w:rsid w:val="00B8171E"/>
    <w:rsid w:val="00B81C0B"/>
    <w:rsid w:val="00B820F5"/>
    <w:rsid w:val="00B8223C"/>
    <w:rsid w:val="00B82914"/>
    <w:rsid w:val="00B868ED"/>
    <w:rsid w:val="00B86AC0"/>
    <w:rsid w:val="00B87F87"/>
    <w:rsid w:val="00B90B50"/>
    <w:rsid w:val="00B91A90"/>
    <w:rsid w:val="00B91ECD"/>
    <w:rsid w:val="00B920C3"/>
    <w:rsid w:val="00B92424"/>
    <w:rsid w:val="00B92F32"/>
    <w:rsid w:val="00B93ABD"/>
    <w:rsid w:val="00B955CB"/>
    <w:rsid w:val="00B9604E"/>
    <w:rsid w:val="00B96413"/>
    <w:rsid w:val="00B971B2"/>
    <w:rsid w:val="00B974FC"/>
    <w:rsid w:val="00B97C13"/>
    <w:rsid w:val="00B97D21"/>
    <w:rsid w:val="00BA0E9D"/>
    <w:rsid w:val="00BA1E61"/>
    <w:rsid w:val="00BA1EFB"/>
    <w:rsid w:val="00BA3616"/>
    <w:rsid w:val="00BA5BE2"/>
    <w:rsid w:val="00BA747D"/>
    <w:rsid w:val="00BA7653"/>
    <w:rsid w:val="00BB0EB3"/>
    <w:rsid w:val="00BB2F7B"/>
    <w:rsid w:val="00BB30A9"/>
    <w:rsid w:val="00BB55FB"/>
    <w:rsid w:val="00BB6641"/>
    <w:rsid w:val="00BC1B73"/>
    <w:rsid w:val="00BC2200"/>
    <w:rsid w:val="00BC4408"/>
    <w:rsid w:val="00BC57A1"/>
    <w:rsid w:val="00BC596D"/>
    <w:rsid w:val="00BC5D8F"/>
    <w:rsid w:val="00BC6842"/>
    <w:rsid w:val="00BC7CEF"/>
    <w:rsid w:val="00BD2C4C"/>
    <w:rsid w:val="00BD3E54"/>
    <w:rsid w:val="00BD41C9"/>
    <w:rsid w:val="00BD4533"/>
    <w:rsid w:val="00BD4C5E"/>
    <w:rsid w:val="00BD5341"/>
    <w:rsid w:val="00BD707A"/>
    <w:rsid w:val="00BD7D16"/>
    <w:rsid w:val="00BE5A4E"/>
    <w:rsid w:val="00BE5CAE"/>
    <w:rsid w:val="00BE5FB1"/>
    <w:rsid w:val="00BE65AC"/>
    <w:rsid w:val="00BE6EAF"/>
    <w:rsid w:val="00BF303D"/>
    <w:rsid w:val="00BF3A07"/>
    <w:rsid w:val="00BF65BF"/>
    <w:rsid w:val="00BF688A"/>
    <w:rsid w:val="00BF7D6C"/>
    <w:rsid w:val="00C003F7"/>
    <w:rsid w:val="00C00EF3"/>
    <w:rsid w:val="00C0151D"/>
    <w:rsid w:val="00C04246"/>
    <w:rsid w:val="00C04765"/>
    <w:rsid w:val="00C04A6E"/>
    <w:rsid w:val="00C07293"/>
    <w:rsid w:val="00C07308"/>
    <w:rsid w:val="00C074F5"/>
    <w:rsid w:val="00C07E6E"/>
    <w:rsid w:val="00C10816"/>
    <w:rsid w:val="00C11783"/>
    <w:rsid w:val="00C1274D"/>
    <w:rsid w:val="00C13AD5"/>
    <w:rsid w:val="00C145D8"/>
    <w:rsid w:val="00C149E8"/>
    <w:rsid w:val="00C157FA"/>
    <w:rsid w:val="00C16264"/>
    <w:rsid w:val="00C16458"/>
    <w:rsid w:val="00C17B50"/>
    <w:rsid w:val="00C20D4D"/>
    <w:rsid w:val="00C21493"/>
    <w:rsid w:val="00C21B93"/>
    <w:rsid w:val="00C21D02"/>
    <w:rsid w:val="00C21EE6"/>
    <w:rsid w:val="00C2262E"/>
    <w:rsid w:val="00C227D4"/>
    <w:rsid w:val="00C22971"/>
    <w:rsid w:val="00C233B0"/>
    <w:rsid w:val="00C233E8"/>
    <w:rsid w:val="00C23A63"/>
    <w:rsid w:val="00C24A94"/>
    <w:rsid w:val="00C25462"/>
    <w:rsid w:val="00C25E79"/>
    <w:rsid w:val="00C26C87"/>
    <w:rsid w:val="00C275EF"/>
    <w:rsid w:val="00C30832"/>
    <w:rsid w:val="00C31B94"/>
    <w:rsid w:val="00C32CFE"/>
    <w:rsid w:val="00C33C93"/>
    <w:rsid w:val="00C35C20"/>
    <w:rsid w:val="00C37C2C"/>
    <w:rsid w:val="00C4082E"/>
    <w:rsid w:val="00C408B5"/>
    <w:rsid w:val="00C40E84"/>
    <w:rsid w:val="00C426F5"/>
    <w:rsid w:val="00C4442A"/>
    <w:rsid w:val="00C44625"/>
    <w:rsid w:val="00C47A02"/>
    <w:rsid w:val="00C47DCC"/>
    <w:rsid w:val="00C5078D"/>
    <w:rsid w:val="00C510D7"/>
    <w:rsid w:val="00C515EE"/>
    <w:rsid w:val="00C51AAB"/>
    <w:rsid w:val="00C542A6"/>
    <w:rsid w:val="00C54CE1"/>
    <w:rsid w:val="00C554EC"/>
    <w:rsid w:val="00C5720F"/>
    <w:rsid w:val="00C579FA"/>
    <w:rsid w:val="00C57B55"/>
    <w:rsid w:val="00C630AC"/>
    <w:rsid w:val="00C63329"/>
    <w:rsid w:val="00C6448E"/>
    <w:rsid w:val="00C64CF8"/>
    <w:rsid w:val="00C655F9"/>
    <w:rsid w:val="00C70D9B"/>
    <w:rsid w:val="00C71747"/>
    <w:rsid w:val="00C72A8C"/>
    <w:rsid w:val="00C72AAB"/>
    <w:rsid w:val="00C72BEC"/>
    <w:rsid w:val="00C72FE9"/>
    <w:rsid w:val="00C73A51"/>
    <w:rsid w:val="00C73F43"/>
    <w:rsid w:val="00C743F9"/>
    <w:rsid w:val="00C7759C"/>
    <w:rsid w:val="00C80848"/>
    <w:rsid w:val="00C81169"/>
    <w:rsid w:val="00C828FD"/>
    <w:rsid w:val="00C82E98"/>
    <w:rsid w:val="00C8315C"/>
    <w:rsid w:val="00C831F8"/>
    <w:rsid w:val="00C848A5"/>
    <w:rsid w:val="00C84F70"/>
    <w:rsid w:val="00C85CB8"/>
    <w:rsid w:val="00C86B31"/>
    <w:rsid w:val="00C86DA3"/>
    <w:rsid w:val="00C877F8"/>
    <w:rsid w:val="00C879BA"/>
    <w:rsid w:val="00C87AB1"/>
    <w:rsid w:val="00C87EAE"/>
    <w:rsid w:val="00C9090A"/>
    <w:rsid w:val="00C90C4F"/>
    <w:rsid w:val="00C90D1E"/>
    <w:rsid w:val="00C90F38"/>
    <w:rsid w:val="00C914F9"/>
    <w:rsid w:val="00C91846"/>
    <w:rsid w:val="00C9185E"/>
    <w:rsid w:val="00C927D0"/>
    <w:rsid w:val="00C92DA4"/>
    <w:rsid w:val="00C94E20"/>
    <w:rsid w:val="00C95BFE"/>
    <w:rsid w:val="00C9647E"/>
    <w:rsid w:val="00C966C8"/>
    <w:rsid w:val="00C9689C"/>
    <w:rsid w:val="00C97C29"/>
    <w:rsid w:val="00CA0FE0"/>
    <w:rsid w:val="00CA22ED"/>
    <w:rsid w:val="00CA23C7"/>
    <w:rsid w:val="00CA2F24"/>
    <w:rsid w:val="00CA5584"/>
    <w:rsid w:val="00CA5FC6"/>
    <w:rsid w:val="00CA61A4"/>
    <w:rsid w:val="00CA64D0"/>
    <w:rsid w:val="00CA7629"/>
    <w:rsid w:val="00CB13EE"/>
    <w:rsid w:val="00CB176F"/>
    <w:rsid w:val="00CB2711"/>
    <w:rsid w:val="00CB2920"/>
    <w:rsid w:val="00CB405A"/>
    <w:rsid w:val="00CB4A28"/>
    <w:rsid w:val="00CB4BF9"/>
    <w:rsid w:val="00CB55B0"/>
    <w:rsid w:val="00CB5A64"/>
    <w:rsid w:val="00CB5B00"/>
    <w:rsid w:val="00CB621C"/>
    <w:rsid w:val="00CB645A"/>
    <w:rsid w:val="00CB652D"/>
    <w:rsid w:val="00CB658E"/>
    <w:rsid w:val="00CB7CB5"/>
    <w:rsid w:val="00CC0471"/>
    <w:rsid w:val="00CC0DF4"/>
    <w:rsid w:val="00CC1E52"/>
    <w:rsid w:val="00CC307B"/>
    <w:rsid w:val="00CC369B"/>
    <w:rsid w:val="00CC3D57"/>
    <w:rsid w:val="00CC48B9"/>
    <w:rsid w:val="00CC4FB7"/>
    <w:rsid w:val="00CC64D0"/>
    <w:rsid w:val="00CC65F8"/>
    <w:rsid w:val="00CC662F"/>
    <w:rsid w:val="00CC69E8"/>
    <w:rsid w:val="00CC75A1"/>
    <w:rsid w:val="00CC77BC"/>
    <w:rsid w:val="00CD2961"/>
    <w:rsid w:val="00CD2EFD"/>
    <w:rsid w:val="00CD3A11"/>
    <w:rsid w:val="00CD4273"/>
    <w:rsid w:val="00CD4BBC"/>
    <w:rsid w:val="00CD51BC"/>
    <w:rsid w:val="00CD58F6"/>
    <w:rsid w:val="00CD6D73"/>
    <w:rsid w:val="00CD7BA7"/>
    <w:rsid w:val="00CD7C06"/>
    <w:rsid w:val="00CE011B"/>
    <w:rsid w:val="00CE03D3"/>
    <w:rsid w:val="00CE12AE"/>
    <w:rsid w:val="00CE3288"/>
    <w:rsid w:val="00CE47D1"/>
    <w:rsid w:val="00CE4F9A"/>
    <w:rsid w:val="00CE7F11"/>
    <w:rsid w:val="00CF0B13"/>
    <w:rsid w:val="00CF1CEB"/>
    <w:rsid w:val="00CF2F91"/>
    <w:rsid w:val="00CF5E28"/>
    <w:rsid w:val="00CF652D"/>
    <w:rsid w:val="00D00680"/>
    <w:rsid w:val="00D01439"/>
    <w:rsid w:val="00D0270C"/>
    <w:rsid w:val="00D047FD"/>
    <w:rsid w:val="00D04D5F"/>
    <w:rsid w:val="00D102CB"/>
    <w:rsid w:val="00D12AB2"/>
    <w:rsid w:val="00D12C4E"/>
    <w:rsid w:val="00D12CF2"/>
    <w:rsid w:val="00D13F1F"/>
    <w:rsid w:val="00D15B21"/>
    <w:rsid w:val="00D15BCD"/>
    <w:rsid w:val="00D15CB3"/>
    <w:rsid w:val="00D20A94"/>
    <w:rsid w:val="00D20AE5"/>
    <w:rsid w:val="00D214F5"/>
    <w:rsid w:val="00D22993"/>
    <w:rsid w:val="00D22C0A"/>
    <w:rsid w:val="00D22FFD"/>
    <w:rsid w:val="00D236DC"/>
    <w:rsid w:val="00D241A7"/>
    <w:rsid w:val="00D24E79"/>
    <w:rsid w:val="00D262BA"/>
    <w:rsid w:val="00D276FE"/>
    <w:rsid w:val="00D279C9"/>
    <w:rsid w:val="00D27CDF"/>
    <w:rsid w:val="00D310A4"/>
    <w:rsid w:val="00D31A88"/>
    <w:rsid w:val="00D323E9"/>
    <w:rsid w:val="00D32782"/>
    <w:rsid w:val="00D328F8"/>
    <w:rsid w:val="00D32C47"/>
    <w:rsid w:val="00D337D9"/>
    <w:rsid w:val="00D35378"/>
    <w:rsid w:val="00D3575A"/>
    <w:rsid w:val="00D40B29"/>
    <w:rsid w:val="00D40C9E"/>
    <w:rsid w:val="00D42CE0"/>
    <w:rsid w:val="00D434D6"/>
    <w:rsid w:val="00D43B1B"/>
    <w:rsid w:val="00D43CA4"/>
    <w:rsid w:val="00D43D76"/>
    <w:rsid w:val="00D46148"/>
    <w:rsid w:val="00D466EF"/>
    <w:rsid w:val="00D46FBD"/>
    <w:rsid w:val="00D477FA"/>
    <w:rsid w:val="00D500C3"/>
    <w:rsid w:val="00D51C45"/>
    <w:rsid w:val="00D53741"/>
    <w:rsid w:val="00D542E0"/>
    <w:rsid w:val="00D54F05"/>
    <w:rsid w:val="00D54F63"/>
    <w:rsid w:val="00D56ACB"/>
    <w:rsid w:val="00D60049"/>
    <w:rsid w:val="00D609A1"/>
    <w:rsid w:val="00D614BD"/>
    <w:rsid w:val="00D61F07"/>
    <w:rsid w:val="00D6200D"/>
    <w:rsid w:val="00D64172"/>
    <w:rsid w:val="00D64715"/>
    <w:rsid w:val="00D65685"/>
    <w:rsid w:val="00D659AF"/>
    <w:rsid w:val="00D665C0"/>
    <w:rsid w:val="00D66D1C"/>
    <w:rsid w:val="00D718C6"/>
    <w:rsid w:val="00D71AC4"/>
    <w:rsid w:val="00D72722"/>
    <w:rsid w:val="00D73B62"/>
    <w:rsid w:val="00D75355"/>
    <w:rsid w:val="00D75677"/>
    <w:rsid w:val="00D75DB1"/>
    <w:rsid w:val="00D7605A"/>
    <w:rsid w:val="00D760BB"/>
    <w:rsid w:val="00D76904"/>
    <w:rsid w:val="00D772A1"/>
    <w:rsid w:val="00D80750"/>
    <w:rsid w:val="00D841D1"/>
    <w:rsid w:val="00D85D84"/>
    <w:rsid w:val="00D86A1D"/>
    <w:rsid w:val="00D878AC"/>
    <w:rsid w:val="00D913E3"/>
    <w:rsid w:val="00D93481"/>
    <w:rsid w:val="00D934D3"/>
    <w:rsid w:val="00D93801"/>
    <w:rsid w:val="00D9386B"/>
    <w:rsid w:val="00D9394C"/>
    <w:rsid w:val="00D9476A"/>
    <w:rsid w:val="00D94F5E"/>
    <w:rsid w:val="00D96BD7"/>
    <w:rsid w:val="00DA0FF7"/>
    <w:rsid w:val="00DA223E"/>
    <w:rsid w:val="00DA471D"/>
    <w:rsid w:val="00DA616A"/>
    <w:rsid w:val="00DA7897"/>
    <w:rsid w:val="00DB0812"/>
    <w:rsid w:val="00DB1768"/>
    <w:rsid w:val="00DB1D2D"/>
    <w:rsid w:val="00DB2337"/>
    <w:rsid w:val="00DB256C"/>
    <w:rsid w:val="00DB2DA0"/>
    <w:rsid w:val="00DB2FB8"/>
    <w:rsid w:val="00DB35F2"/>
    <w:rsid w:val="00DB4779"/>
    <w:rsid w:val="00DB646B"/>
    <w:rsid w:val="00DC1C7A"/>
    <w:rsid w:val="00DC1CE9"/>
    <w:rsid w:val="00DC1D85"/>
    <w:rsid w:val="00DC294B"/>
    <w:rsid w:val="00DC638A"/>
    <w:rsid w:val="00DC63C0"/>
    <w:rsid w:val="00DC79F7"/>
    <w:rsid w:val="00DD1238"/>
    <w:rsid w:val="00DD3AE5"/>
    <w:rsid w:val="00DD4A35"/>
    <w:rsid w:val="00DD513D"/>
    <w:rsid w:val="00DD5A5D"/>
    <w:rsid w:val="00DD5DCB"/>
    <w:rsid w:val="00DD6BC1"/>
    <w:rsid w:val="00DE1171"/>
    <w:rsid w:val="00DE30C9"/>
    <w:rsid w:val="00DE3105"/>
    <w:rsid w:val="00DE33BA"/>
    <w:rsid w:val="00DE3AD3"/>
    <w:rsid w:val="00DE4E78"/>
    <w:rsid w:val="00DE50B5"/>
    <w:rsid w:val="00DE5CEE"/>
    <w:rsid w:val="00DE6A61"/>
    <w:rsid w:val="00DE7B5D"/>
    <w:rsid w:val="00DF04B6"/>
    <w:rsid w:val="00DF0D65"/>
    <w:rsid w:val="00DF1838"/>
    <w:rsid w:val="00DF1F5F"/>
    <w:rsid w:val="00DF2713"/>
    <w:rsid w:val="00DF3407"/>
    <w:rsid w:val="00DF3D61"/>
    <w:rsid w:val="00DF4A72"/>
    <w:rsid w:val="00DF4E36"/>
    <w:rsid w:val="00DF59F2"/>
    <w:rsid w:val="00E01A15"/>
    <w:rsid w:val="00E056E7"/>
    <w:rsid w:val="00E06577"/>
    <w:rsid w:val="00E07778"/>
    <w:rsid w:val="00E07781"/>
    <w:rsid w:val="00E07BD1"/>
    <w:rsid w:val="00E10377"/>
    <w:rsid w:val="00E11448"/>
    <w:rsid w:val="00E13FAC"/>
    <w:rsid w:val="00E15691"/>
    <w:rsid w:val="00E16884"/>
    <w:rsid w:val="00E16C62"/>
    <w:rsid w:val="00E20791"/>
    <w:rsid w:val="00E21E3B"/>
    <w:rsid w:val="00E2389A"/>
    <w:rsid w:val="00E24C5C"/>
    <w:rsid w:val="00E26097"/>
    <w:rsid w:val="00E278FF"/>
    <w:rsid w:val="00E27A32"/>
    <w:rsid w:val="00E30990"/>
    <w:rsid w:val="00E30D9F"/>
    <w:rsid w:val="00E33976"/>
    <w:rsid w:val="00E35BF3"/>
    <w:rsid w:val="00E36217"/>
    <w:rsid w:val="00E36C8D"/>
    <w:rsid w:val="00E3721F"/>
    <w:rsid w:val="00E37BD2"/>
    <w:rsid w:val="00E40A1E"/>
    <w:rsid w:val="00E41A12"/>
    <w:rsid w:val="00E41EE9"/>
    <w:rsid w:val="00E432AE"/>
    <w:rsid w:val="00E43E37"/>
    <w:rsid w:val="00E457E0"/>
    <w:rsid w:val="00E45A99"/>
    <w:rsid w:val="00E463AA"/>
    <w:rsid w:val="00E548E8"/>
    <w:rsid w:val="00E556B7"/>
    <w:rsid w:val="00E558CE"/>
    <w:rsid w:val="00E55AF9"/>
    <w:rsid w:val="00E57776"/>
    <w:rsid w:val="00E579FE"/>
    <w:rsid w:val="00E60652"/>
    <w:rsid w:val="00E6090C"/>
    <w:rsid w:val="00E61517"/>
    <w:rsid w:val="00E62586"/>
    <w:rsid w:val="00E66F03"/>
    <w:rsid w:val="00E73C93"/>
    <w:rsid w:val="00E75EC1"/>
    <w:rsid w:val="00E76C11"/>
    <w:rsid w:val="00E80173"/>
    <w:rsid w:val="00E8076A"/>
    <w:rsid w:val="00E8257D"/>
    <w:rsid w:val="00E86454"/>
    <w:rsid w:val="00E8737A"/>
    <w:rsid w:val="00E908B7"/>
    <w:rsid w:val="00E90B6E"/>
    <w:rsid w:val="00E90E88"/>
    <w:rsid w:val="00E91147"/>
    <w:rsid w:val="00E93384"/>
    <w:rsid w:val="00E9347D"/>
    <w:rsid w:val="00E9448D"/>
    <w:rsid w:val="00E94D35"/>
    <w:rsid w:val="00E962AA"/>
    <w:rsid w:val="00E979C1"/>
    <w:rsid w:val="00EA1DA9"/>
    <w:rsid w:val="00EA3BE8"/>
    <w:rsid w:val="00EA5157"/>
    <w:rsid w:val="00EA7073"/>
    <w:rsid w:val="00EA71F6"/>
    <w:rsid w:val="00EA7CFC"/>
    <w:rsid w:val="00EB056E"/>
    <w:rsid w:val="00EB064F"/>
    <w:rsid w:val="00EB0663"/>
    <w:rsid w:val="00EB092C"/>
    <w:rsid w:val="00EB2134"/>
    <w:rsid w:val="00EB239B"/>
    <w:rsid w:val="00EB23E9"/>
    <w:rsid w:val="00EB2523"/>
    <w:rsid w:val="00EB29BD"/>
    <w:rsid w:val="00EB30B5"/>
    <w:rsid w:val="00EB3B7A"/>
    <w:rsid w:val="00EB4E05"/>
    <w:rsid w:val="00EB5183"/>
    <w:rsid w:val="00EB600D"/>
    <w:rsid w:val="00EB6E89"/>
    <w:rsid w:val="00EB78D8"/>
    <w:rsid w:val="00EC0801"/>
    <w:rsid w:val="00EC1AB2"/>
    <w:rsid w:val="00EC1D96"/>
    <w:rsid w:val="00EC23FE"/>
    <w:rsid w:val="00EC2812"/>
    <w:rsid w:val="00EC3A83"/>
    <w:rsid w:val="00EC4146"/>
    <w:rsid w:val="00EC4D6B"/>
    <w:rsid w:val="00EC534A"/>
    <w:rsid w:val="00EC599C"/>
    <w:rsid w:val="00EC682F"/>
    <w:rsid w:val="00EC6AB7"/>
    <w:rsid w:val="00EC6B84"/>
    <w:rsid w:val="00EC7DF5"/>
    <w:rsid w:val="00ED1943"/>
    <w:rsid w:val="00ED2463"/>
    <w:rsid w:val="00ED3C8F"/>
    <w:rsid w:val="00ED60CD"/>
    <w:rsid w:val="00ED6579"/>
    <w:rsid w:val="00ED6EAB"/>
    <w:rsid w:val="00ED7084"/>
    <w:rsid w:val="00ED7B8E"/>
    <w:rsid w:val="00EE0316"/>
    <w:rsid w:val="00EE08F1"/>
    <w:rsid w:val="00EE0DE8"/>
    <w:rsid w:val="00EE18BE"/>
    <w:rsid w:val="00EE23F5"/>
    <w:rsid w:val="00EE25D7"/>
    <w:rsid w:val="00EE3D6B"/>
    <w:rsid w:val="00EE48BA"/>
    <w:rsid w:val="00EE4DAE"/>
    <w:rsid w:val="00EE5721"/>
    <w:rsid w:val="00EE5CA1"/>
    <w:rsid w:val="00EE70CC"/>
    <w:rsid w:val="00EE7118"/>
    <w:rsid w:val="00EF1D78"/>
    <w:rsid w:val="00EF28B3"/>
    <w:rsid w:val="00EF2ACB"/>
    <w:rsid w:val="00EF2FB2"/>
    <w:rsid w:val="00EF389B"/>
    <w:rsid w:val="00EF4C5D"/>
    <w:rsid w:val="00EF4EB2"/>
    <w:rsid w:val="00EF5705"/>
    <w:rsid w:val="00EF6EDB"/>
    <w:rsid w:val="00F00A36"/>
    <w:rsid w:val="00F01BFB"/>
    <w:rsid w:val="00F027E4"/>
    <w:rsid w:val="00F0507B"/>
    <w:rsid w:val="00F061C5"/>
    <w:rsid w:val="00F06375"/>
    <w:rsid w:val="00F06F93"/>
    <w:rsid w:val="00F07D3C"/>
    <w:rsid w:val="00F10551"/>
    <w:rsid w:val="00F11812"/>
    <w:rsid w:val="00F12AA8"/>
    <w:rsid w:val="00F1367B"/>
    <w:rsid w:val="00F1404D"/>
    <w:rsid w:val="00F159B6"/>
    <w:rsid w:val="00F16614"/>
    <w:rsid w:val="00F16DC2"/>
    <w:rsid w:val="00F16FEF"/>
    <w:rsid w:val="00F17050"/>
    <w:rsid w:val="00F17B11"/>
    <w:rsid w:val="00F20187"/>
    <w:rsid w:val="00F205FD"/>
    <w:rsid w:val="00F22FE7"/>
    <w:rsid w:val="00F2311F"/>
    <w:rsid w:val="00F243DE"/>
    <w:rsid w:val="00F24A1A"/>
    <w:rsid w:val="00F24F5C"/>
    <w:rsid w:val="00F25267"/>
    <w:rsid w:val="00F25372"/>
    <w:rsid w:val="00F25E1F"/>
    <w:rsid w:val="00F268A9"/>
    <w:rsid w:val="00F300B1"/>
    <w:rsid w:val="00F32169"/>
    <w:rsid w:val="00F323CE"/>
    <w:rsid w:val="00F32401"/>
    <w:rsid w:val="00F33C09"/>
    <w:rsid w:val="00F3420B"/>
    <w:rsid w:val="00F34B97"/>
    <w:rsid w:val="00F350BA"/>
    <w:rsid w:val="00F353DE"/>
    <w:rsid w:val="00F35B38"/>
    <w:rsid w:val="00F367EB"/>
    <w:rsid w:val="00F37A93"/>
    <w:rsid w:val="00F40E4F"/>
    <w:rsid w:val="00F41AEC"/>
    <w:rsid w:val="00F43151"/>
    <w:rsid w:val="00F43B4C"/>
    <w:rsid w:val="00F46268"/>
    <w:rsid w:val="00F5128B"/>
    <w:rsid w:val="00F51BB9"/>
    <w:rsid w:val="00F548CD"/>
    <w:rsid w:val="00F55D57"/>
    <w:rsid w:val="00F5690E"/>
    <w:rsid w:val="00F575AA"/>
    <w:rsid w:val="00F6003B"/>
    <w:rsid w:val="00F604E2"/>
    <w:rsid w:val="00F60A0A"/>
    <w:rsid w:val="00F60D64"/>
    <w:rsid w:val="00F635DD"/>
    <w:rsid w:val="00F64B99"/>
    <w:rsid w:val="00F64CA0"/>
    <w:rsid w:val="00F66BC0"/>
    <w:rsid w:val="00F67BDB"/>
    <w:rsid w:val="00F71920"/>
    <w:rsid w:val="00F71A1D"/>
    <w:rsid w:val="00F72EBE"/>
    <w:rsid w:val="00F733C1"/>
    <w:rsid w:val="00F73AF8"/>
    <w:rsid w:val="00F7611D"/>
    <w:rsid w:val="00F763DD"/>
    <w:rsid w:val="00F77233"/>
    <w:rsid w:val="00F779AA"/>
    <w:rsid w:val="00F804BE"/>
    <w:rsid w:val="00F80D5D"/>
    <w:rsid w:val="00F82D8C"/>
    <w:rsid w:val="00F835EB"/>
    <w:rsid w:val="00F83B99"/>
    <w:rsid w:val="00F844B7"/>
    <w:rsid w:val="00F8492A"/>
    <w:rsid w:val="00F84C52"/>
    <w:rsid w:val="00F853F0"/>
    <w:rsid w:val="00F85411"/>
    <w:rsid w:val="00F864C5"/>
    <w:rsid w:val="00F91544"/>
    <w:rsid w:val="00F9230B"/>
    <w:rsid w:val="00F92C62"/>
    <w:rsid w:val="00F931F9"/>
    <w:rsid w:val="00F95B31"/>
    <w:rsid w:val="00F9645F"/>
    <w:rsid w:val="00F96C5A"/>
    <w:rsid w:val="00FA07EF"/>
    <w:rsid w:val="00FA0FED"/>
    <w:rsid w:val="00FA1970"/>
    <w:rsid w:val="00FA1C4F"/>
    <w:rsid w:val="00FA1D9A"/>
    <w:rsid w:val="00FA2028"/>
    <w:rsid w:val="00FA21E5"/>
    <w:rsid w:val="00FA2427"/>
    <w:rsid w:val="00FA2583"/>
    <w:rsid w:val="00FA42B3"/>
    <w:rsid w:val="00FA5DFA"/>
    <w:rsid w:val="00FA6885"/>
    <w:rsid w:val="00FA7C93"/>
    <w:rsid w:val="00FB072D"/>
    <w:rsid w:val="00FB0CA0"/>
    <w:rsid w:val="00FB0ED3"/>
    <w:rsid w:val="00FB13AD"/>
    <w:rsid w:val="00FB2C33"/>
    <w:rsid w:val="00FB35C4"/>
    <w:rsid w:val="00FB4669"/>
    <w:rsid w:val="00FB50BB"/>
    <w:rsid w:val="00FB684B"/>
    <w:rsid w:val="00FB742D"/>
    <w:rsid w:val="00FB7AED"/>
    <w:rsid w:val="00FC0E3C"/>
    <w:rsid w:val="00FC16F0"/>
    <w:rsid w:val="00FC3C59"/>
    <w:rsid w:val="00FC3E77"/>
    <w:rsid w:val="00FC43BC"/>
    <w:rsid w:val="00FC494A"/>
    <w:rsid w:val="00FC4AAF"/>
    <w:rsid w:val="00FC672C"/>
    <w:rsid w:val="00FC6BDE"/>
    <w:rsid w:val="00FD038E"/>
    <w:rsid w:val="00FD0DB4"/>
    <w:rsid w:val="00FD12B0"/>
    <w:rsid w:val="00FD31D1"/>
    <w:rsid w:val="00FD3B48"/>
    <w:rsid w:val="00FD5526"/>
    <w:rsid w:val="00FD580A"/>
    <w:rsid w:val="00FD7BF5"/>
    <w:rsid w:val="00FE09B3"/>
    <w:rsid w:val="00FE1307"/>
    <w:rsid w:val="00FE1FFA"/>
    <w:rsid w:val="00FE4DFB"/>
    <w:rsid w:val="00FE58A0"/>
    <w:rsid w:val="00FE61CC"/>
    <w:rsid w:val="00FE6A81"/>
    <w:rsid w:val="00FF15F0"/>
    <w:rsid w:val="00FF1B3D"/>
    <w:rsid w:val="00FF48D2"/>
    <w:rsid w:val="00FF4CED"/>
    <w:rsid w:val="00FF5173"/>
    <w:rsid w:val="00FF66F8"/>
    <w:rsid w:val="00FF76E0"/>
    <w:rsid w:val="00FF7B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3934"/>
  </w:style>
  <w:style w:type="paragraph" w:styleId="Heading1">
    <w:name w:val="heading 1"/>
    <w:basedOn w:val="Normal"/>
    <w:next w:val="Normal"/>
    <w:link w:val="Heading1Char"/>
    <w:qFormat/>
    <w:rsid w:val="007915D7"/>
    <w:pPr>
      <w:keepNext/>
      <w:spacing w:before="60" w:line="240" w:lineRule="auto"/>
      <w:jc w:val="center"/>
      <w:outlineLvl w:val="0"/>
    </w:pPr>
    <w:rPr>
      <w:rFonts w:ascii="Times New Roman" w:eastAsia="Times New Roman" w:hAnsi="Times New Roman" w:cs="Times New Roman"/>
      <w:b/>
      <w:kern w:val="28"/>
      <w:sz w:val="20"/>
      <w:szCs w:val="20"/>
      <w:lang w:eastAsia="x-none"/>
    </w:rPr>
  </w:style>
  <w:style w:type="paragraph" w:styleId="Heading2">
    <w:name w:val="heading 2"/>
    <w:basedOn w:val="Normal"/>
    <w:next w:val="Normal"/>
    <w:link w:val="Heading2Char"/>
    <w:qFormat/>
    <w:rsid w:val="007915D7"/>
    <w:pPr>
      <w:keepNext/>
      <w:widowControl w:val="0"/>
      <w:spacing w:before="200" w:after="120" w:line="240" w:lineRule="auto"/>
      <w:ind w:firstLine="567"/>
      <w:outlineLvl w:val="1"/>
    </w:pPr>
    <w:rPr>
      <w:rFonts w:ascii="Times New Roman" w:eastAsia="Times New Roman" w:hAnsi="Times New Roman" w:cs="Times New Roman"/>
      <w:b/>
      <w:i/>
      <w:sz w:val="20"/>
      <w:szCs w:val="20"/>
      <w:lang w:eastAsia="x-none"/>
    </w:rPr>
  </w:style>
  <w:style w:type="paragraph" w:styleId="Heading3">
    <w:name w:val="heading 3"/>
    <w:basedOn w:val="Normal"/>
    <w:next w:val="Normal"/>
    <w:link w:val="Heading3Char"/>
    <w:uiPriority w:val="9"/>
    <w:unhideWhenUsed/>
    <w:qFormat/>
    <w:rsid w:val="00091BB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593D9E"/>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593D9E"/>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C0646"/>
    <w:pPr>
      <w:ind w:left="720"/>
      <w:contextualSpacing/>
    </w:pPr>
  </w:style>
  <w:style w:type="paragraph" w:styleId="BalloonText">
    <w:name w:val="Balloon Text"/>
    <w:basedOn w:val="Normal"/>
    <w:link w:val="BalloonTextChar"/>
    <w:uiPriority w:val="99"/>
    <w:semiHidden/>
    <w:unhideWhenUsed/>
    <w:rsid w:val="00C145D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145D8"/>
    <w:rPr>
      <w:rFonts w:ascii="Tahoma" w:hAnsi="Tahoma" w:cs="Tahoma"/>
      <w:sz w:val="16"/>
      <w:szCs w:val="16"/>
    </w:rPr>
  </w:style>
  <w:style w:type="character" w:styleId="Hyperlink">
    <w:name w:val="Hyperlink"/>
    <w:basedOn w:val="DefaultParagraphFont"/>
    <w:uiPriority w:val="99"/>
    <w:unhideWhenUsed/>
    <w:rsid w:val="00A32D5F"/>
    <w:rPr>
      <w:b w:val="0"/>
      <w:bCs w:val="0"/>
      <w:strike w:val="0"/>
      <w:dstrike w:val="0"/>
      <w:color w:val="104A96"/>
      <w:u w:val="none"/>
      <w:effect w:val="none"/>
      <w:shd w:val="clear" w:color="auto" w:fill="auto"/>
    </w:rPr>
  </w:style>
  <w:style w:type="paragraph" w:styleId="NormalWeb">
    <w:name w:val="Normal (Web)"/>
    <w:basedOn w:val="Normal"/>
    <w:uiPriority w:val="99"/>
    <w:unhideWhenUsed/>
    <w:rsid w:val="00A32D5F"/>
    <w:pPr>
      <w:spacing w:after="0" w:line="240" w:lineRule="auto"/>
    </w:pPr>
    <w:rPr>
      <w:rFonts w:ascii="Times New Roman" w:eastAsia="Times New Roman" w:hAnsi="Times New Roman" w:cs="Times New Roman"/>
      <w:sz w:val="24"/>
      <w:szCs w:val="24"/>
      <w:lang w:eastAsia="lt-LT"/>
    </w:rPr>
  </w:style>
  <w:style w:type="character" w:customStyle="1" w:styleId="googqs-tidbit">
    <w:name w:val="goog_qs-tidbit"/>
    <w:basedOn w:val="DefaultParagraphFont"/>
    <w:rsid w:val="00EF389B"/>
  </w:style>
  <w:style w:type="character" w:styleId="Strong">
    <w:name w:val="Strong"/>
    <w:basedOn w:val="DefaultParagraphFont"/>
    <w:uiPriority w:val="22"/>
    <w:qFormat/>
    <w:rsid w:val="009B744F"/>
    <w:rPr>
      <w:b/>
      <w:bCs/>
    </w:rPr>
  </w:style>
  <w:style w:type="paragraph" w:customStyle="1" w:styleId="caps">
    <w:name w:val="caps"/>
    <w:basedOn w:val="Normal"/>
    <w:rsid w:val="00B36258"/>
    <w:pPr>
      <w:spacing w:before="100" w:beforeAutospacing="1" w:after="100" w:afterAutospacing="1" w:line="240" w:lineRule="auto"/>
    </w:pPr>
    <w:rPr>
      <w:rFonts w:ascii="Times New Roman" w:eastAsia="Times New Roman" w:hAnsi="Times New Roman" w:cs="Times New Roman"/>
      <w:sz w:val="24"/>
      <w:szCs w:val="24"/>
      <w:lang w:eastAsia="lt-LT"/>
    </w:rPr>
  </w:style>
  <w:style w:type="paragraph" w:styleId="Header">
    <w:name w:val="header"/>
    <w:basedOn w:val="Normal"/>
    <w:link w:val="HeaderChar"/>
    <w:uiPriority w:val="99"/>
    <w:unhideWhenUsed/>
    <w:rsid w:val="00222D14"/>
    <w:pPr>
      <w:tabs>
        <w:tab w:val="center" w:pos="4819"/>
        <w:tab w:val="right" w:pos="9638"/>
      </w:tabs>
      <w:spacing w:after="0" w:line="240" w:lineRule="auto"/>
    </w:pPr>
  </w:style>
  <w:style w:type="character" w:customStyle="1" w:styleId="HeaderChar">
    <w:name w:val="Header Char"/>
    <w:basedOn w:val="DefaultParagraphFont"/>
    <w:link w:val="Header"/>
    <w:uiPriority w:val="99"/>
    <w:rsid w:val="00222D14"/>
  </w:style>
  <w:style w:type="paragraph" w:styleId="Footer">
    <w:name w:val="footer"/>
    <w:basedOn w:val="Normal"/>
    <w:link w:val="FooterChar"/>
    <w:uiPriority w:val="99"/>
    <w:unhideWhenUsed/>
    <w:rsid w:val="00222D14"/>
    <w:pPr>
      <w:tabs>
        <w:tab w:val="center" w:pos="4819"/>
        <w:tab w:val="right" w:pos="9638"/>
      </w:tabs>
      <w:spacing w:after="0" w:line="240" w:lineRule="auto"/>
    </w:pPr>
  </w:style>
  <w:style w:type="character" w:customStyle="1" w:styleId="FooterChar">
    <w:name w:val="Footer Char"/>
    <w:basedOn w:val="DefaultParagraphFont"/>
    <w:link w:val="Footer"/>
    <w:uiPriority w:val="99"/>
    <w:rsid w:val="00222D14"/>
  </w:style>
  <w:style w:type="table" w:styleId="TableGrid">
    <w:name w:val="Table Grid"/>
    <w:basedOn w:val="TableNormal"/>
    <w:uiPriority w:val="59"/>
    <w:rsid w:val="00A5208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8248B9"/>
    <w:pPr>
      <w:autoSpaceDE w:val="0"/>
      <w:autoSpaceDN w:val="0"/>
      <w:adjustRightInd w:val="0"/>
      <w:spacing w:after="0" w:line="240" w:lineRule="auto"/>
    </w:pPr>
    <w:rPr>
      <w:rFonts w:ascii="Times New Roman" w:eastAsia="Calibri" w:hAnsi="Times New Roman" w:cs="Times New Roman"/>
      <w:color w:val="000000"/>
      <w:sz w:val="24"/>
      <w:szCs w:val="24"/>
      <w:lang w:val="en-US"/>
    </w:rPr>
  </w:style>
  <w:style w:type="character" w:customStyle="1" w:styleId="Heading1Char">
    <w:name w:val="Heading 1 Char"/>
    <w:basedOn w:val="DefaultParagraphFont"/>
    <w:link w:val="Heading1"/>
    <w:rsid w:val="007915D7"/>
    <w:rPr>
      <w:rFonts w:ascii="Times New Roman" w:eastAsia="Times New Roman" w:hAnsi="Times New Roman" w:cs="Times New Roman"/>
      <w:b/>
      <w:kern w:val="28"/>
      <w:sz w:val="20"/>
      <w:szCs w:val="20"/>
      <w:lang w:eastAsia="x-none"/>
    </w:rPr>
  </w:style>
  <w:style w:type="character" w:customStyle="1" w:styleId="Heading2Char">
    <w:name w:val="Heading 2 Char"/>
    <w:basedOn w:val="DefaultParagraphFont"/>
    <w:link w:val="Heading2"/>
    <w:rsid w:val="007915D7"/>
    <w:rPr>
      <w:rFonts w:ascii="Times New Roman" w:eastAsia="Times New Roman" w:hAnsi="Times New Roman" w:cs="Times New Roman"/>
      <w:b/>
      <w:i/>
      <w:sz w:val="20"/>
      <w:szCs w:val="20"/>
      <w:lang w:eastAsia="x-none"/>
    </w:rPr>
  </w:style>
  <w:style w:type="paragraph" w:styleId="TOC2">
    <w:name w:val="toc 2"/>
    <w:basedOn w:val="Normal"/>
    <w:next w:val="Normal"/>
    <w:autoRedefine/>
    <w:uiPriority w:val="39"/>
    <w:unhideWhenUsed/>
    <w:qFormat/>
    <w:rsid w:val="0034081A"/>
    <w:pPr>
      <w:tabs>
        <w:tab w:val="left" w:pos="709"/>
        <w:tab w:val="right" w:leader="dot" w:pos="9911"/>
      </w:tabs>
      <w:spacing w:after="0" w:line="360" w:lineRule="auto"/>
      <w:ind w:left="220"/>
      <w:jc w:val="right"/>
    </w:pPr>
    <w:rPr>
      <w:rFonts w:ascii="Calibri" w:eastAsia="Calibri" w:hAnsi="Calibri" w:cs="Times New Roman"/>
      <w:lang w:val="en-US"/>
    </w:rPr>
  </w:style>
  <w:style w:type="paragraph" w:styleId="Caption">
    <w:name w:val="caption"/>
    <w:basedOn w:val="Normal"/>
    <w:next w:val="Normal"/>
    <w:qFormat/>
    <w:rsid w:val="007915D7"/>
    <w:pPr>
      <w:widowControl w:val="0"/>
      <w:spacing w:before="120" w:after="120" w:line="240" w:lineRule="auto"/>
      <w:ind w:left="851" w:firstLine="720"/>
      <w:jc w:val="both"/>
    </w:pPr>
    <w:rPr>
      <w:rFonts w:ascii="TimesLT" w:eastAsia="Times New Roman" w:hAnsi="TimesLT" w:cs="Times New Roman"/>
      <w:i/>
      <w:sz w:val="20"/>
      <w:szCs w:val="20"/>
      <w:lang w:val="en-AU"/>
    </w:rPr>
  </w:style>
  <w:style w:type="paragraph" w:styleId="BodyText">
    <w:name w:val="Body Text"/>
    <w:basedOn w:val="Normal"/>
    <w:link w:val="BodyTextChar"/>
    <w:rsid w:val="007915D7"/>
    <w:pPr>
      <w:spacing w:after="120" w:line="240" w:lineRule="auto"/>
      <w:jc w:val="both"/>
    </w:pPr>
    <w:rPr>
      <w:rFonts w:ascii="Times New Roman" w:eastAsia="Times New Roman" w:hAnsi="Times New Roman" w:cs="Times New Roman"/>
      <w:sz w:val="20"/>
      <w:szCs w:val="20"/>
      <w:lang w:eastAsia="x-none"/>
    </w:rPr>
  </w:style>
  <w:style w:type="character" w:customStyle="1" w:styleId="BodyTextChar">
    <w:name w:val="Body Text Char"/>
    <w:basedOn w:val="DefaultParagraphFont"/>
    <w:link w:val="BodyText"/>
    <w:rsid w:val="007915D7"/>
    <w:rPr>
      <w:rFonts w:ascii="Times New Roman" w:eastAsia="Times New Roman" w:hAnsi="Times New Roman" w:cs="Times New Roman"/>
      <w:sz w:val="20"/>
      <w:szCs w:val="20"/>
      <w:lang w:eastAsia="x-none"/>
    </w:rPr>
  </w:style>
  <w:style w:type="paragraph" w:styleId="FootnoteText">
    <w:name w:val="footnote text"/>
    <w:aliases w:val="Footnote,Footnote text,fn,Footnote Text Char Char"/>
    <w:basedOn w:val="Normal"/>
    <w:link w:val="FootnoteTextChar"/>
    <w:semiHidden/>
    <w:rsid w:val="007915D7"/>
    <w:pPr>
      <w:spacing w:after="0" w:line="240" w:lineRule="auto"/>
    </w:pPr>
    <w:rPr>
      <w:rFonts w:ascii="Times New Roman" w:eastAsia="Times New Roman" w:hAnsi="Times New Roman" w:cs="Times New Roman"/>
      <w:sz w:val="20"/>
      <w:szCs w:val="20"/>
      <w:lang w:val="x-none" w:eastAsia="x-none"/>
    </w:rPr>
  </w:style>
  <w:style w:type="character" w:customStyle="1" w:styleId="FootnoteTextChar">
    <w:name w:val="Footnote Text Char"/>
    <w:aliases w:val="Footnote Char,Footnote text Char,fn Char,Footnote Text Char Char Char"/>
    <w:basedOn w:val="DefaultParagraphFont"/>
    <w:link w:val="FootnoteText"/>
    <w:semiHidden/>
    <w:rsid w:val="007915D7"/>
    <w:rPr>
      <w:rFonts w:ascii="Times New Roman" w:eastAsia="Times New Roman" w:hAnsi="Times New Roman" w:cs="Times New Roman"/>
      <w:sz w:val="20"/>
      <w:szCs w:val="20"/>
      <w:lang w:val="x-none" w:eastAsia="x-none"/>
    </w:rPr>
  </w:style>
  <w:style w:type="character" w:styleId="FootnoteReference">
    <w:name w:val="footnote reference"/>
    <w:semiHidden/>
    <w:rsid w:val="007915D7"/>
    <w:rPr>
      <w:vertAlign w:val="superscript"/>
    </w:rPr>
  </w:style>
  <w:style w:type="character" w:customStyle="1" w:styleId="googqs-tidbit-1">
    <w:name w:val="goog_qs-tidbit-1"/>
    <w:rsid w:val="007915D7"/>
  </w:style>
  <w:style w:type="character" w:customStyle="1" w:styleId="googqs-tidbit1">
    <w:name w:val="goog_qs-tidbit1"/>
    <w:rsid w:val="007915D7"/>
    <w:rPr>
      <w:vanish w:val="0"/>
      <w:webHidden w:val="0"/>
      <w:specVanish w:val="0"/>
    </w:rPr>
  </w:style>
  <w:style w:type="table" w:styleId="ColorfulGrid-Accent5">
    <w:name w:val="Colorful Grid Accent 5"/>
    <w:basedOn w:val="TableNormal"/>
    <w:uiPriority w:val="73"/>
    <w:rsid w:val="007915D7"/>
    <w:pPr>
      <w:spacing w:after="0" w:line="240" w:lineRule="auto"/>
    </w:pPr>
    <w:rPr>
      <w:rFonts w:ascii="Calibri" w:eastAsia="Calibri" w:hAnsi="Calibri" w:cs="Times New Roman"/>
      <w:color w:val="000000"/>
      <w:sz w:val="20"/>
      <w:szCs w:val="20"/>
      <w:lang w:eastAsia="lt-LT"/>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styleId="MediumGrid3-Accent5">
    <w:name w:val="Medium Grid 3 Accent 5"/>
    <w:basedOn w:val="TableNormal"/>
    <w:uiPriority w:val="69"/>
    <w:rsid w:val="007915D7"/>
    <w:pPr>
      <w:spacing w:after="0" w:line="240" w:lineRule="auto"/>
    </w:pPr>
    <w:rPr>
      <w:rFonts w:ascii="Calibri" w:eastAsia="Calibri" w:hAnsi="Calibri" w:cs="Times New Roman"/>
      <w:sz w:val="20"/>
      <w:szCs w:val="20"/>
      <w:lang w:eastAsia="lt-LT"/>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styleId="LightList-Accent5">
    <w:name w:val="Light List Accent 5"/>
    <w:basedOn w:val="TableNormal"/>
    <w:uiPriority w:val="61"/>
    <w:rsid w:val="007915D7"/>
    <w:pPr>
      <w:spacing w:after="0" w:line="240" w:lineRule="auto"/>
    </w:pPr>
    <w:rPr>
      <w:rFonts w:ascii="Calibri" w:eastAsia="Calibri" w:hAnsi="Calibri" w:cs="Times New Roman"/>
      <w:sz w:val="20"/>
      <w:szCs w:val="20"/>
      <w:lang w:eastAsia="lt-LT"/>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MediumGrid1-Accent5">
    <w:name w:val="Medium Grid 1 Accent 5"/>
    <w:basedOn w:val="TableNormal"/>
    <w:uiPriority w:val="67"/>
    <w:rsid w:val="007915D7"/>
    <w:pPr>
      <w:spacing w:after="0" w:line="240" w:lineRule="auto"/>
    </w:pPr>
    <w:rPr>
      <w:rFonts w:ascii="Calibri" w:eastAsia="Calibri" w:hAnsi="Calibri" w:cs="Times New Roman"/>
      <w:sz w:val="20"/>
      <w:szCs w:val="20"/>
      <w:lang w:eastAsia="lt-LT"/>
    </w:rPr>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character" w:styleId="FollowedHyperlink">
    <w:name w:val="FollowedHyperlink"/>
    <w:uiPriority w:val="99"/>
    <w:semiHidden/>
    <w:unhideWhenUsed/>
    <w:rsid w:val="007915D7"/>
    <w:rPr>
      <w:color w:val="800080"/>
      <w:u w:val="single"/>
    </w:rPr>
  </w:style>
  <w:style w:type="paragraph" w:styleId="TOC1">
    <w:name w:val="toc 1"/>
    <w:basedOn w:val="Normal"/>
    <w:next w:val="Normal"/>
    <w:autoRedefine/>
    <w:uiPriority w:val="39"/>
    <w:unhideWhenUsed/>
    <w:qFormat/>
    <w:rsid w:val="004320B0"/>
    <w:pPr>
      <w:tabs>
        <w:tab w:val="left" w:pos="284"/>
        <w:tab w:val="right" w:leader="dot" w:pos="9911"/>
      </w:tabs>
      <w:spacing w:after="0" w:line="360" w:lineRule="auto"/>
    </w:pPr>
  </w:style>
  <w:style w:type="paragraph" w:styleId="TOCHeading">
    <w:name w:val="TOC Heading"/>
    <w:basedOn w:val="Heading1"/>
    <w:next w:val="Normal"/>
    <w:uiPriority w:val="39"/>
    <w:unhideWhenUsed/>
    <w:qFormat/>
    <w:rsid w:val="00997551"/>
    <w:pPr>
      <w:keepLines/>
      <w:spacing w:before="480" w:after="0" w:line="276" w:lineRule="auto"/>
      <w:jc w:val="left"/>
      <w:outlineLvl w:val="9"/>
    </w:pPr>
    <w:rPr>
      <w:rFonts w:asciiTheme="majorHAnsi" w:eastAsiaTheme="majorEastAsia" w:hAnsiTheme="majorHAnsi" w:cstheme="majorBidi"/>
      <w:bCs/>
      <w:color w:val="365F91" w:themeColor="accent1" w:themeShade="BF"/>
      <w:kern w:val="0"/>
      <w:sz w:val="28"/>
      <w:szCs w:val="28"/>
      <w:lang w:val="en-US" w:eastAsia="ja-JP"/>
    </w:rPr>
  </w:style>
  <w:style w:type="paragraph" w:styleId="TOC3">
    <w:name w:val="toc 3"/>
    <w:basedOn w:val="Normal"/>
    <w:next w:val="Normal"/>
    <w:autoRedefine/>
    <w:uiPriority w:val="39"/>
    <w:unhideWhenUsed/>
    <w:qFormat/>
    <w:rsid w:val="004320B0"/>
    <w:pPr>
      <w:tabs>
        <w:tab w:val="right" w:leader="dot" w:pos="9923"/>
      </w:tabs>
      <w:spacing w:after="100"/>
      <w:ind w:left="440"/>
    </w:pPr>
    <w:rPr>
      <w:rFonts w:eastAsiaTheme="minorEastAsia"/>
      <w:lang w:val="en-US" w:eastAsia="ja-JP"/>
    </w:rPr>
  </w:style>
  <w:style w:type="character" w:customStyle="1" w:styleId="Heading3Char">
    <w:name w:val="Heading 3 Char"/>
    <w:basedOn w:val="DefaultParagraphFont"/>
    <w:link w:val="Heading3"/>
    <w:uiPriority w:val="9"/>
    <w:rsid w:val="00091BB8"/>
    <w:rPr>
      <w:rFonts w:asciiTheme="majorHAnsi" w:eastAsiaTheme="majorEastAsia" w:hAnsiTheme="majorHAnsi" w:cstheme="majorBidi"/>
      <w:b/>
      <w:bCs/>
      <w:color w:val="4F81BD" w:themeColor="accent1"/>
    </w:rPr>
  </w:style>
  <w:style w:type="character" w:customStyle="1" w:styleId="st">
    <w:name w:val="st"/>
    <w:basedOn w:val="DefaultParagraphFont"/>
    <w:rsid w:val="0039716D"/>
  </w:style>
  <w:style w:type="character" w:customStyle="1" w:styleId="texthdblue">
    <w:name w:val="texthdblue"/>
    <w:basedOn w:val="DefaultParagraphFont"/>
    <w:rsid w:val="00773AAC"/>
  </w:style>
  <w:style w:type="character" w:styleId="LineNumber">
    <w:name w:val="line number"/>
    <w:basedOn w:val="DefaultParagraphFont"/>
    <w:uiPriority w:val="99"/>
    <w:semiHidden/>
    <w:unhideWhenUsed/>
    <w:rsid w:val="005E0DA4"/>
  </w:style>
  <w:style w:type="character" w:customStyle="1" w:styleId="Heading4Char">
    <w:name w:val="Heading 4 Char"/>
    <w:basedOn w:val="DefaultParagraphFont"/>
    <w:link w:val="Heading4"/>
    <w:uiPriority w:val="9"/>
    <w:rsid w:val="00593D9E"/>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593D9E"/>
    <w:rPr>
      <w:rFonts w:asciiTheme="majorHAnsi" w:eastAsiaTheme="majorEastAsia" w:hAnsiTheme="majorHAnsi" w:cstheme="majorBidi"/>
      <w:color w:val="243F60" w:themeColor="accent1" w:themeShade="7F"/>
    </w:rPr>
  </w:style>
  <w:style w:type="paragraph" w:styleId="TOC4">
    <w:name w:val="toc 4"/>
    <w:basedOn w:val="Normal"/>
    <w:next w:val="Normal"/>
    <w:autoRedefine/>
    <w:uiPriority w:val="39"/>
    <w:unhideWhenUsed/>
    <w:rsid w:val="00F66BC0"/>
    <w:pPr>
      <w:tabs>
        <w:tab w:val="right" w:leader="dot" w:pos="9911"/>
      </w:tabs>
      <w:spacing w:after="0" w:line="360" w:lineRule="auto"/>
    </w:pPr>
  </w:style>
  <w:style w:type="paragraph" w:styleId="TOC5">
    <w:name w:val="toc 5"/>
    <w:basedOn w:val="Normal"/>
    <w:next w:val="Normal"/>
    <w:autoRedefine/>
    <w:uiPriority w:val="39"/>
    <w:unhideWhenUsed/>
    <w:rsid w:val="00A45317"/>
    <w:pPr>
      <w:tabs>
        <w:tab w:val="right" w:leader="dot" w:pos="9911"/>
      </w:tabs>
      <w:spacing w:after="0" w:line="360" w:lineRule="auto"/>
    </w:pPr>
  </w:style>
  <w:style w:type="character" w:customStyle="1" w:styleId="hps">
    <w:name w:val="hps"/>
    <w:basedOn w:val="DefaultParagraphFont"/>
    <w:rsid w:val="00AA65E2"/>
  </w:style>
  <w:style w:type="character" w:customStyle="1" w:styleId="shorttext">
    <w:name w:val="short_text"/>
    <w:basedOn w:val="DefaultParagraphFont"/>
    <w:rsid w:val="00AA65E2"/>
  </w:style>
  <w:style w:type="character" w:styleId="Emphasis">
    <w:name w:val="Emphasis"/>
    <w:basedOn w:val="DefaultParagraphFont"/>
    <w:uiPriority w:val="20"/>
    <w:qFormat/>
    <w:rsid w:val="00AA65E2"/>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3934"/>
  </w:style>
  <w:style w:type="paragraph" w:styleId="Heading1">
    <w:name w:val="heading 1"/>
    <w:basedOn w:val="Normal"/>
    <w:next w:val="Normal"/>
    <w:link w:val="Heading1Char"/>
    <w:qFormat/>
    <w:rsid w:val="007915D7"/>
    <w:pPr>
      <w:keepNext/>
      <w:spacing w:before="60" w:line="240" w:lineRule="auto"/>
      <w:jc w:val="center"/>
      <w:outlineLvl w:val="0"/>
    </w:pPr>
    <w:rPr>
      <w:rFonts w:ascii="Times New Roman" w:eastAsia="Times New Roman" w:hAnsi="Times New Roman" w:cs="Times New Roman"/>
      <w:b/>
      <w:kern w:val="28"/>
      <w:sz w:val="20"/>
      <w:szCs w:val="20"/>
      <w:lang w:eastAsia="x-none"/>
    </w:rPr>
  </w:style>
  <w:style w:type="paragraph" w:styleId="Heading2">
    <w:name w:val="heading 2"/>
    <w:basedOn w:val="Normal"/>
    <w:next w:val="Normal"/>
    <w:link w:val="Heading2Char"/>
    <w:qFormat/>
    <w:rsid w:val="007915D7"/>
    <w:pPr>
      <w:keepNext/>
      <w:widowControl w:val="0"/>
      <w:spacing w:before="200" w:after="120" w:line="240" w:lineRule="auto"/>
      <w:ind w:firstLine="567"/>
      <w:outlineLvl w:val="1"/>
    </w:pPr>
    <w:rPr>
      <w:rFonts w:ascii="Times New Roman" w:eastAsia="Times New Roman" w:hAnsi="Times New Roman" w:cs="Times New Roman"/>
      <w:b/>
      <w:i/>
      <w:sz w:val="20"/>
      <w:szCs w:val="20"/>
      <w:lang w:eastAsia="x-none"/>
    </w:rPr>
  </w:style>
  <w:style w:type="paragraph" w:styleId="Heading3">
    <w:name w:val="heading 3"/>
    <w:basedOn w:val="Normal"/>
    <w:next w:val="Normal"/>
    <w:link w:val="Heading3Char"/>
    <w:uiPriority w:val="9"/>
    <w:unhideWhenUsed/>
    <w:qFormat/>
    <w:rsid w:val="00091BB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593D9E"/>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593D9E"/>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C0646"/>
    <w:pPr>
      <w:ind w:left="720"/>
      <w:contextualSpacing/>
    </w:pPr>
  </w:style>
  <w:style w:type="paragraph" w:styleId="BalloonText">
    <w:name w:val="Balloon Text"/>
    <w:basedOn w:val="Normal"/>
    <w:link w:val="BalloonTextChar"/>
    <w:uiPriority w:val="99"/>
    <w:semiHidden/>
    <w:unhideWhenUsed/>
    <w:rsid w:val="00C145D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145D8"/>
    <w:rPr>
      <w:rFonts w:ascii="Tahoma" w:hAnsi="Tahoma" w:cs="Tahoma"/>
      <w:sz w:val="16"/>
      <w:szCs w:val="16"/>
    </w:rPr>
  </w:style>
  <w:style w:type="character" w:styleId="Hyperlink">
    <w:name w:val="Hyperlink"/>
    <w:basedOn w:val="DefaultParagraphFont"/>
    <w:uiPriority w:val="99"/>
    <w:unhideWhenUsed/>
    <w:rsid w:val="00A32D5F"/>
    <w:rPr>
      <w:b w:val="0"/>
      <w:bCs w:val="0"/>
      <w:strike w:val="0"/>
      <w:dstrike w:val="0"/>
      <w:color w:val="104A96"/>
      <w:u w:val="none"/>
      <w:effect w:val="none"/>
      <w:shd w:val="clear" w:color="auto" w:fill="auto"/>
    </w:rPr>
  </w:style>
  <w:style w:type="paragraph" w:styleId="NormalWeb">
    <w:name w:val="Normal (Web)"/>
    <w:basedOn w:val="Normal"/>
    <w:uiPriority w:val="99"/>
    <w:unhideWhenUsed/>
    <w:rsid w:val="00A32D5F"/>
    <w:pPr>
      <w:spacing w:after="0" w:line="240" w:lineRule="auto"/>
    </w:pPr>
    <w:rPr>
      <w:rFonts w:ascii="Times New Roman" w:eastAsia="Times New Roman" w:hAnsi="Times New Roman" w:cs="Times New Roman"/>
      <w:sz w:val="24"/>
      <w:szCs w:val="24"/>
      <w:lang w:eastAsia="lt-LT"/>
    </w:rPr>
  </w:style>
  <w:style w:type="character" w:customStyle="1" w:styleId="googqs-tidbit">
    <w:name w:val="goog_qs-tidbit"/>
    <w:basedOn w:val="DefaultParagraphFont"/>
    <w:rsid w:val="00EF389B"/>
  </w:style>
  <w:style w:type="character" w:styleId="Strong">
    <w:name w:val="Strong"/>
    <w:basedOn w:val="DefaultParagraphFont"/>
    <w:uiPriority w:val="22"/>
    <w:qFormat/>
    <w:rsid w:val="009B744F"/>
    <w:rPr>
      <w:b/>
      <w:bCs/>
    </w:rPr>
  </w:style>
  <w:style w:type="paragraph" w:customStyle="1" w:styleId="caps">
    <w:name w:val="caps"/>
    <w:basedOn w:val="Normal"/>
    <w:rsid w:val="00B36258"/>
    <w:pPr>
      <w:spacing w:before="100" w:beforeAutospacing="1" w:after="100" w:afterAutospacing="1" w:line="240" w:lineRule="auto"/>
    </w:pPr>
    <w:rPr>
      <w:rFonts w:ascii="Times New Roman" w:eastAsia="Times New Roman" w:hAnsi="Times New Roman" w:cs="Times New Roman"/>
      <w:sz w:val="24"/>
      <w:szCs w:val="24"/>
      <w:lang w:eastAsia="lt-LT"/>
    </w:rPr>
  </w:style>
  <w:style w:type="paragraph" w:styleId="Header">
    <w:name w:val="header"/>
    <w:basedOn w:val="Normal"/>
    <w:link w:val="HeaderChar"/>
    <w:uiPriority w:val="99"/>
    <w:unhideWhenUsed/>
    <w:rsid w:val="00222D14"/>
    <w:pPr>
      <w:tabs>
        <w:tab w:val="center" w:pos="4819"/>
        <w:tab w:val="right" w:pos="9638"/>
      </w:tabs>
      <w:spacing w:after="0" w:line="240" w:lineRule="auto"/>
    </w:pPr>
  </w:style>
  <w:style w:type="character" w:customStyle="1" w:styleId="HeaderChar">
    <w:name w:val="Header Char"/>
    <w:basedOn w:val="DefaultParagraphFont"/>
    <w:link w:val="Header"/>
    <w:uiPriority w:val="99"/>
    <w:rsid w:val="00222D14"/>
  </w:style>
  <w:style w:type="paragraph" w:styleId="Footer">
    <w:name w:val="footer"/>
    <w:basedOn w:val="Normal"/>
    <w:link w:val="FooterChar"/>
    <w:uiPriority w:val="99"/>
    <w:unhideWhenUsed/>
    <w:rsid w:val="00222D14"/>
    <w:pPr>
      <w:tabs>
        <w:tab w:val="center" w:pos="4819"/>
        <w:tab w:val="right" w:pos="9638"/>
      </w:tabs>
      <w:spacing w:after="0" w:line="240" w:lineRule="auto"/>
    </w:pPr>
  </w:style>
  <w:style w:type="character" w:customStyle="1" w:styleId="FooterChar">
    <w:name w:val="Footer Char"/>
    <w:basedOn w:val="DefaultParagraphFont"/>
    <w:link w:val="Footer"/>
    <w:uiPriority w:val="99"/>
    <w:rsid w:val="00222D14"/>
  </w:style>
  <w:style w:type="table" w:styleId="TableGrid">
    <w:name w:val="Table Grid"/>
    <w:basedOn w:val="TableNormal"/>
    <w:uiPriority w:val="59"/>
    <w:rsid w:val="00A5208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8248B9"/>
    <w:pPr>
      <w:autoSpaceDE w:val="0"/>
      <w:autoSpaceDN w:val="0"/>
      <w:adjustRightInd w:val="0"/>
      <w:spacing w:after="0" w:line="240" w:lineRule="auto"/>
    </w:pPr>
    <w:rPr>
      <w:rFonts w:ascii="Times New Roman" w:eastAsia="Calibri" w:hAnsi="Times New Roman" w:cs="Times New Roman"/>
      <w:color w:val="000000"/>
      <w:sz w:val="24"/>
      <w:szCs w:val="24"/>
      <w:lang w:val="en-US"/>
    </w:rPr>
  </w:style>
  <w:style w:type="character" w:customStyle="1" w:styleId="Heading1Char">
    <w:name w:val="Heading 1 Char"/>
    <w:basedOn w:val="DefaultParagraphFont"/>
    <w:link w:val="Heading1"/>
    <w:rsid w:val="007915D7"/>
    <w:rPr>
      <w:rFonts w:ascii="Times New Roman" w:eastAsia="Times New Roman" w:hAnsi="Times New Roman" w:cs="Times New Roman"/>
      <w:b/>
      <w:kern w:val="28"/>
      <w:sz w:val="20"/>
      <w:szCs w:val="20"/>
      <w:lang w:eastAsia="x-none"/>
    </w:rPr>
  </w:style>
  <w:style w:type="character" w:customStyle="1" w:styleId="Heading2Char">
    <w:name w:val="Heading 2 Char"/>
    <w:basedOn w:val="DefaultParagraphFont"/>
    <w:link w:val="Heading2"/>
    <w:rsid w:val="007915D7"/>
    <w:rPr>
      <w:rFonts w:ascii="Times New Roman" w:eastAsia="Times New Roman" w:hAnsi="Times New Roman" w:cs="Times New Roman"/>
      <w:b/>
      <w:i/>
      <w:sz w:val="20"/>
      <w:szCs w:val="20"/>
      <w:lang w:eastAsia="x-none"/>
    </w:rPr>
  </w:style>
  <w:style w:type="paragraph" w:styleId="TOC2">
    <w:name w:val="toc 2"/>
    <w:basedOn w:val="Normal"/>
    <w:next w:val="Normal"/>
    <w:autoRedefine/>
    <w:uiPriority w:val="39"/>
    <w:unhideWhenUsed/>
    <w:qFormat/>
    <w:rsid w:val="0034081A"/>
    <w:pPr>
      <w:tabs>
        <w:tab w:val="left" w:pos="709"/>
        <w:tab w:val="right" w:leader="dot" w:pos="9911"/>
      </w:tabs>
      <w:spacing w:after="0" w:line="360" w:lineRule="auto"/>
      <w:ind w:left="220"/>
      <w:jc w:val="right"/>
    </w:pPr>
    <w:rPr>
      <w:rFonts w:ascii="Calibri" w:eastAsia="Calibri" w:hAnsi="Calibri" w:cs="Times New Roman"/>
      <w:lang w:val="en-US"/>
    </w:rPr>
  </w:style>
  <w:style w:type="paragraph" w:styleId="Caption">
    <w:name w:val="caption"/>
    <w:basedOn w:val="Normal"/>
    <w:next w:val="Normal"/>
    <w:qFormat/>
    <w:rsid w:val="007915D7"/>
    <w:pPr>
      <w:widowControl w:val="0"/>
      <w:spacing w:before="120" w:after="120" w:line="240" w:lineRule="auto"/>
      <w:ind w:left="851" w:firstLine="720"/>
      <w:jc w:val="both"/>
    </w:pPr>
    <w:rPr>
      <w:rFonts w:ascii="TimesLT" w:eastAsia="Times New Roman" w:hAnsi="TimesLT" w:cs="Times New Roman"/>
      <w:i/>
      <w:sz w:val="20"/>
      <w:szCs w:val="20"/>
      <w:lang w:val="en-AU"/>
    </w:rPr>
  </w:style>
  <w:style w:type="paragraph" w:styleId="BodyText">
    <w:name w:val="Body Text"/>
    <w:basedOn w:val="Normal"/>
    <w:link w:val="BodyTextChar"/>
    <w:rsid w:val="007915D7"/>
    <w:pPr>
      <w:spacing w:after="120" w:line="240" w:lineRule="auto"/>
      <w:jc w:val="both"/>
    </w:pPr>
    <w:rPr>
      <w:rFonts w:ascii="Times New Roman" w:eastAsia="Times New Roman" w:hAnsi="Times New Roman" w:cs="Times New Roman"/>
      <w:sz w:val="20"/>
      <w:szCs w:val="20"/>
      <w:lang w:eastAsia="x-none"/>
    </w:rPr>
  </w:style>
  <w:style w:type="character" w:customStyle="1" w:styleId="BodyTextChar">
    <w:name w:val="Body Text Char"/>
    <w:basedOn w:val="DefaultParagraphFont"/>
    <w:link w:val="BodyText"/>
    <w:rsid w:val="007915D7"/>
    <w:rPr>
      <w:rFonts w:ascii="Times New Roman" w:eastAsia="Times New Roman" w:hAnsi="Times New Roman" w:cs="Times New Roman"/>
      <w:sz w:val="20"/>
      <w:szCs w:val="20"/>
      <w:lang w:eastAsia="x-none"/>
    </w:rPr>
  </w:style>
  <w:style w:type="paragraph" w:styleId="FootnoteText">
    <w:name w:val="footnote text"/>
    <w:aliases w:val="Footnote,Footnote text,fn,Footnote Text Char Char"/>
    <w:basedOn w:val="Normal"/>
    <w:link w:val="FootnoteTextChar"/>
    <w:semiHidden/>
    <w:rsid w:val="007915D7"/>
    <w:pPr>
      <w:spacing w:after="0" w:line="240" w:lineRule="auto"/>
    </w:pPr>
    <w:rPr>
      <w:rFonts w:ascii="Times New Roman" w:eastAsia="Times New Roman" w:hAnsi="Times New Roman" w:cs="Times New Roman"/>
      <w:sz w:val="20"/>
      <w:szCs w:val="20"/>
      <w:lang w:val="x-none" w:eastAsia="x-none"/>
    </w:rPr>
  </w:style>
  <w:style w:type="character" w:customStyle="1" w:styleId="FootnoteTextChar">
    <w:name w:val="Footnote Text Char"/>
    <w:aliases w:val="Footnote Char,Footnote text Char,fn Char,Footnote Text Char Char Char"/>
    <w:basedOn w:val="DefaultParagraphFont"/>
    <w:link w:val="FootnoteText"/>
    <w:semiHidden/>
    <w:rsid w:val="007915D7"/>
    <w:rPr>
      <w:rFonts w:ascii="Times New Roman" w:eastAsia="Times New Roman" w:hAnsi="Times New Roman" w:cs="Times New Roman"/>
      <w:sz w:val="20"/>
      <w:szCs w:val="20"/>
      <w:lang w:val="x-none" w:eastAsia="x-none"/>
    </w:rPr>
  </w:style>
  <w:style w:type="character" w:styleId="FootnoteReference">
    <w:name w:val="footnote reference"/>
    <w:semiHidden/>
    <w:rsid w:val="007915D7"/>
    <w:rPr>
      <w:vertAlign w:val="superscript"/>
    </w:rPr>
  </w:style>
  <w:style w:type="character" w:customStyle="1" w:styleId="googqs-tidbit-1">
    <w:name w:val="goog_qs-tidbit-1"/>
    <w:rsid w:val="007915D7"/>
  </w:style>
  <w:style w:type="character" w:customStyle="1" w:styleId="googqs-tidbit1">
    <w:name w:val="goog_qs-tidbit1"/>
    <w:rsid w:val="007915D7"/>
    <w:rPr>
      <w:vanish w:val="0"/>
      <w:webHidden w:val="0"/>
      <w:specVanish w:val="0"/>
    </w:rPr>
  </w:style>
  <w:style w:type="table" w:styleId="ColorfulGrid-Accent5">
    <w:name w:val="Colorful Grid Accent 5"/>
    <w:basedOn w:val="TableNormal"/>
    <w:uiPriority w:val="73"/>
    <w:rsid w:val="007915D7"/>
    <w:pPr>
      <w:spacing w:after="0" w:line="240" w:lineRule="auto"/>
    </w:pPr>
    <w:rPr>
      <w:rFonts w:ascii="Calibri" w:eastAsia="Calibri" w:hAnsi="Calibri" w:cs="Times New Roman"/>
      <w:color w:val="000000"/>
      <w:sz w:val="20"/>
      <w:szCs w:val="20"/>
      <w:lang w:eastAsia="lt-LT"/>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styleId="MediumGrid3-Accent5">
    <w:name w:val="Medium Grid 3 Accent 5"/>
    <w:basedOn w:val="TableNormal"/>
    <w:uiPriority w:val="69"/>
    <w:rsid w:val="007915D7"/>
    <w:pPr>
      <w:spacing w:after="0" w:line="240" w:lineRule="auto"/>
    </w:pPr>
    <w:rPr>
      <w:rFonts w:ascii="Calibri" w:eastAsia="Calibri" w:hAnsi="Calibri" w:cs="Times New Roman"/>
      <w:sz w:val="20"/>
      <w:szCs w:val="20"/>
      <w:lang w:eastAsia="lt-LT"/>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styleId="LightList-Accent5">
    <w:name w:val="Light List Accent 5"/>
    <w:basedOn w:val="TableNormal"/>
    <w:uiPriority w:val="61"/>
    <w:rsid w:val="007915D7"/>
    <w:pPr>
      <w:spacing w:after="0" w:line="240" w:lineRule="auto"/>
    </w:pPr>
    <w:rPr>
      <w:rFonts w:ascii="Calibri" w:eastAsia="Calibri" w:hAnsi="Calibri" w:cs="Times New Roman"/>
      <w:sz w:val="20"/>
      <w:szCs w:val="20"/>
      <w:lang w:eastAsia="lt-LT"/>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MediumGrid1-Accent5">
    <w:name w:val="Medium Grid 1 Accent 5"/>
    <w:basedOn w:val="TableNormal"/>
    <w:uiPriority w:val="67"/>
    <w:rsid w:val="007915D7"/>
    <w:pPr>
      <w:spacing w:after="0" w:line="240" w:lineRule="auto"/>
    </w:pPr>
    <w:rPr>
      <w:rFonts w:ascii="Calibri" w:eastAsia="Calibri" w:hAnsi="Calibri" w:cs="Times New Roman"/>
      <w:sz w:val="20"/>
      <w:szCs w:val="20"/>
      <w:lang w:eastAsia="lt-LT"/>
    </w:rPr>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character" w:styleId="FollowedHyperlink">
    <w:name w:val="FollowedHyperlink"/>
    <w:uiPriority w:val="99"/>
    <w:semiHidden/>
    <w:unhideWhenUsed/>
    <w:rsid w:val="007915D7"/>
    <w:rPr>
      <w:color w:val="800080"/>
      <w:u w:val="single"/>
    </w:rPr>
  </w:style>
  <w:style w:type="paragraph" w:styleId="TOC1">
    <w:name w:val="toc 1"/>
    <w:basedOn w:val="Normal"/>
    <w:next w:val="Normal"/>
    <w:autoRedefine/>
    <w:uiPriority w:val="39"/>
    <w:unhideWhenUsed/>
    <w:qFormat/>
    <w:rsid w:val="004320B0"/>
    <w:pPr>
      <w:tabs>
        <w:tab w:val="left" w:pos="284"/>
        <w:tab w:val="right" w:leader="dot" w:pos="9911"/>
      </w:tabs>
      <w:spacing w:after="0" w:line="360" w:lineRule="auto"/>
    </w:pPr>
  </w:style>
  <w:style w:type="paragraph" w:styleId="TOCHeading">
    <w:name w:val="TOC Heading"/>
    <w:basedOn w:val="Heading1"/>
    <w:next w:val="Normal"/>
    <w:uiPriority w:val="39"/>
    <w:unhideWhenUsed/>
    <w:qFormat/>
    <w:rsid w:val="00997551"/>
    <w:pPr>
      <w:keepLines/>
      <w:spacing w:before="480" w:after="0" w:line="276" w:lineRule="auto"/>
      <w:jc w:val="left"/>
      <w:outlineLvl w:val="9"/>
    </w:pPr>
    <w:rPr>
      <w:rFonts w:asciiTheme="majorHAnsi" w:eastAsiaTheme="majorEastAsia" w:hAnsiTheme="majorHAnsi" w:cstheme="majorBidi"/>
      <w:bCs/>
      <w:color w:val="365F91" w:themeColor="accent1" w:themeShade="BF"/>
      <w:kern w:val="0"/>
      <w:sz w:val="28"/>
      <w:szCs w:val="28"/>
      <w:lang w:val="en-US" w:eastAsia="ja-JP"/>
    </w:rPr>
  </w:style>
  <w:style w:type="paragraph" w:styleId="TOC3">
    <w:name w:val="toc 3"/>
    <w:basedOn w:val="Normal"/>
    <w:next w:val="Normal"/>
    <w:autoRedefine/>
    <w:uiPriority w:val="39"/>
    <w:unhideWhenUsed/>
    <w:qFormat/>
    <w:rsid w:val="004320B0"/>
    <w:pPr>
      <w:tabs>
        <w:tab w:val="right" w:leader="dot" w:pos="9923"/>
      </w:tabs>
      <w:spacing w:after="100"/>
      <w:ind w:left="440"/>
    </w:pPr>
    <w:rPr>
      <w:rFonts w:eastAsiaTheme="minorEastAsia"/>
      <w:lang w:val="en-US" w:eastAsia="ja-JP"/>
    </w:rPr>
  </w:style>
  <w:style w:type="character" w:customStyle="1" w:styleId="Heading3Char">
    <w:name w:val="Heading 3 Char"/>
    <w:basedOn w:val="DefaultParagraphFont"/>
    <w:link w:val="Heading3"/>
    <w:uiPriority w:val="9"/>
    <w:rsid w:val="00091BB8"/>
    <w:rPr>
      <w:rFonts w:asciiTheme="majorHAnsi" w:eastAsiaTheme="majorEastAsia" w:hAnsiTheme="majorHAnsi" w:cstheme="majorBidi"/>
      <w:b/>
      <w:bCs/>
      <w:color w:val="4F81BD" w:themeColor="accent1"/>
    </w:rPr>
  </w:style>
  <w:style w:type="character" w:customStyle="1" w:styleId="st">
    <w:name w:val="st"/>
    <w:basedOn w:val="DefaultParagraphFont"/>
    <w:rsid w:val="0039716D"/>
  </w:style>
  <w:style w:type="character" w:customStyle="1" w:styleId="texthdblue">
    <w:name w:val="texthdblue"/>
    <w:basedOn w:val="DefaultParagraphFont"/>
    <w:rsid w:val="00773AAC"/>
  </w:style>
  <w:style w:type="character" w:styleId="LineNumber">
    <w:name w:val="line number"/>
    <w:basedOn w:val="DefaultParagraphFont"/>
    <w:uiPriority w:val="99"/>
    <w:semiHidden/>
    <w:unhideWhenUsed/>
    <w:rsid w:val="005E0DA4"/>
  </w:style>
  <w:style w:type="character" w:customStyle="1" w:styleId="Heading4Char">
    <w:name w:val="Heading 4 Char"/>
    <w:basedOn w:val="DefaultParagraphFont"/>
    <w:link w:val="Heading4"/>
    <w:uiPriority w:val="9"/>
    <w:rsid w:val="00593D9E"/>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593D9E"/>
    <w:rPr>
      <w:rFonts w:asciiTheme="majorHAnsi" w:eastAsiaTheme="majorEastAsia" w:hAnsiTheme="majorHAnsi" w:cstheme="majorBidi"/>
      <w:color w:val="243F60" w:themeColor="accent1" w:themeShade="7F"/>
    </w:rPr>
  </w:style>
  <w:style w:type="paragraph" w:styleId="TOC4">
    <w:name w:val="toc 4"/>
    <w:basedOn w:val="Normal"/>
    <w:next w:val="Normal"/>
    <w:autoRedefine/>
    <w:uiPriority w:val="39"/>
    <w:unhideWhenUsed/>
    <w:rsid w:val="00F66BC0"/>
    <w:pPr>
      <w:tabs>
        <w:tab w:val="right" w:leader="dot" w:pos="9911"/>
      </w:tabs>
      <w:spacing w:after="0" w:line="360" w:lineRule="auto"/>
    </w:pPr>
  </w:style>
  <w:style w:type="paragraph" w:styleId="TOC5">
    <w:name w:val="toc 5"/>
    <w:basedOn w:val="Normal"/>
    <w:next w:val="Normal"/>
    <w:autoRedefine/>
    <w:uiPriority w:val="39"/>
    <w:unhideWhenUsed/>
    <w:rsid w:val="00A45317"/>
    <w:pPr>
      <w:tabs>
        <w:tab w:val="right" w:leader="dot" w:pos="9911"/>
      </w:tabs>
      <w:spacing w:after="0" w:line="360" w:lineRule="auto"/>
    </w:pPr>
  </w:style>
  <w:style w:type="character" w:customStyle="1" w:styleId="hps">
    <w:name w:val="hps"/>
    <w:basedOn w:val="DefaultParagraphFont"/>
    <w:rsid w:val="00AA65E2"/>
  </w:style>
  <w:style w:type="character" w:customStyle="1" w:styleId="shorttext">
    <w:name w:val="short_text"/>
    <w:basedOn w:val="DefaultParagraphFont"/>
    <w:rsid w:val="00AA65E2"/>
  </w:style>
  <w:style w:type="character" w:styleId="Emphasis">
    <w:name w:val="Emphasis"/>
    <w:basedOn w:val="DefaultParagraphFont"/>
    <w:uiPriority w:val="20"/>
    <w:qFormat/>
    <w:rsid w:val="00AA65E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279776">
      <w:bodyDiv w:val="1"/>
      <w:marLeft w:val="0"/>
      <w:marRight w:val="0"/>
      <w:marTop w:val="0"/>
      <w:marBottom w:val="0"/>
      <w:divBdr>
        <w:top w:val="none" w:sz="0" w:space="0" w:color="auto"/>
        <w:left w:val="none" w:sz="0" w:space="0" w:color="auto"/>
        <w:bottom w:val="none" w:sz="0" w:space="0" w:color="auto"/>
        <w:right w:val="none" w:sz="0" w:space="0" w:color="auto"/>
      </w:divBdr>
      <w:divsChild>
        <w:div w:id="1320691765">
          <w:marLeft w:val="0"/>
          <w:marRight w:val="0"/>
          <w:marTop w:val="0"/>
          <w:marBottom w:val="0"/>
          <w:divBdr>
            <w:top w:val="none" w:sz="0" w:space="0" w:color="auto"/>
            <w:left w:val="none" w:sz="0" w:space="0" w:color="auto"/>
            <w:bottom w:val="none" w:sz="0" w:space="0" w:color="auto"/>
            <w:right w:val="none" w:sz="0" w:space="0" w:color="auto"/>
          </w:divBdr>
          <w:divsChild>
            <w:div w:id="574360215">
              <w:marLeft w:val="0"/>
              <w:marRight w:val="0"/>
              <w:marTop w:val="0"/>
              <w:marBottom w:val="0"/>
              <w:divBdr>
                <w:top w:val="none" w:sz="0" w:space="0" w:color="auto"/>
                <w:left w:val="none" w:sz="0" w:space="0" w:color="auto"/>
                <w:bottom w:val="none" w:sz="0" w:space="0" w:color="auto"/>
                <w:right w:val="none" w:sz="0" w:space="0" w:color="auto"/>
              </w:divBdr>
              <w:divsChild>
                <w:div w:id="1204517484">
                  <w:marLeft w:val="0"/>
                  <w:marRight w:val="0"/>
                  <w:marTop w:val="0"/>
                  <w:marBottom w:val="0"/>
                  <w:divBdr>
                    <w:top w:val="none" w:sz="0" w:space="0" w:color="auto"/>
                    <w:left w:val="none" w:sz="0" w:space="0" w:color="auto"/>
                    <w:bottom w:val="none" w:sz="0" w:space="0" w:color="auto"/>
                    <w:right w:val="none" w:sz="0" w:space="0" w:color="auto"/>
                  </w:divBdr>
                  <w:divsChild>
                    <w:div w:id="794757022">
                      <w:marLeft w:val="0"/>
                      <w:marRight w:val="0"/>
                      <w:marTop w:val="0"/>
                      <w:marBottom w:val="0"/>
                      <w:divBdr>
                        <w:top w:val="none" w:sz="0" w:space="0" w:color="auto"/>
                        <w:left w:val="none" w:sz="0" w:space="0" w:color="auto"/>
                        <w:bottom w:val="none" w:sz="0" w:space="0" w:color="auto"/>
                        <w:right w:val="none" w:sz="0" w:space="0" w:color="auto"/>
                      </w:divBdr>
                      <w:divsChild>
                        <w:div w:id="1075275861">
                          <w:marLeft w:val="0"/>
                          <w:marRight w:val="0"/>
                          <w:marTop w:val="0"/>
                          <w:marBottom w:val="0"/>
                          <w:divBdr>
                            <w:top w:val="none" w:sz="0" w:space="0" w:color="auto"/>
                            <w:left w:val="none" w:sz="0" w:space="0" w:color="auto"/>
                            <w:bottom w:val="none" w:sz="0" w:space="0" w:color="auto"/>
                            <w:right w:val="none" w:sz="0" w:space="0" w:color="auto"/>
                          </w:divBdr>
                          <w:divsChild>
                            <w:div w:id="1867402687">
                              <w:marLeft w:val="0"/>
                              <w:marRight w:val="0"/>
                              <w:marTop w:val="0"/>
                              <w:marBottom w:val="0"/>
                              <w:divBdr>
                                <w:top w:val="none" w:sz="0" w:space="0" w:color="auto"/>
                                <w:left w:val="none" w:sz="0" w:space="0" w:color="auto"/>
                                <w:bottom w:val="none" w:sz="0" w:space="0" w:color="auto"/>
                                <w:right w:val="none" w:sz="0" w:space="0" w:color="auto"/>
                              </w:divBdr>
                              <w:divsChild>
                                <w:div w:id="1906991797">
                                  <w:marLeft w:val="0"/>
                                  <w:marRight w:val="0"/>
                                  <w:marTop w:val="0"/>
                                  <w:marBottom w:val="0"/>
                                  <w:divBdr>
                                    <w:top w:val="none" w:sz="0" w:space="0" w:color="auto"/>
                                    <w:left w:val="none" w:sz="0" w:space="0" w:color="auto"/>
                                    <w:bottom w:val="none" w:sz="0" w:space="0" w:color="auto"/>
                                    <w:right w:val="none" w:sz="0" w:space="0" w:color="auto"/>
                                  </w:divBdr>
                                  <w:divsChild>
                                    <w:div w:id="1272010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67543878">
      <w:bodyDiv w:val="1"/>
      <w:marLeft w:val="0"/>
      <w:marRight w:val="0"/>
      <w:marTop w:val="0"/>
      <w:marBottom w:val="0"/>
      <w:divBdr>
        <w:top w:val="none" w:sz="0" w:space="0" w:color="auto"/>
        <w:left w:val="none" w:sz="0" w:space="0" w:color="auto"/>
        <w:bottom w:val="none" w:sz="0" w:space="0" w:color="auto"/>
        <w:right w:val="none" w:sz="0" w:space="0" w:color="auto"/>
      </w:divBdr>
      <w:divsChild>
        <w:div w:id="1658916091">
          <w:marLeft w:val="547"/>
          <w:marRight w:val="0"/>
          <w:marTop w:val="154"/>
          <w:marBottom w:val="0"/>
          <w:divBdr>
            <w:top w:val="none" w:sz="0" w:space="0" w:color="auto"/>
            <w:left w:val="none" w:sz="0" w:space="0" w:color="auto"/>
            <w:bottom w:val="none" w:sz="0" w:space="0" w:color="auto"/>
            <w:right w:val="none" w:sz="0" w:space="0" w:color="auto"/>
          </w:divBdr>
        </w:div>
        <w:div w:id="1775401611">
          <w:marLeft w:val="547"/>
          <w:marRight w:val="0"/>
          <w:marTop w:val="154"/>
          <w:marBottom w:val="0"/>
          <w:divBdr>
            <w:top w:val="none" w:sz="0" w:space="0" w:color="auto"/>
            <w:left w:val="none" w:sz="0" w:space="0" w:color="auto"/>
            <w:bottom w:val="none" w:sz="0" w:space="0" w:color="auto"/>
            <w:right w:val="none" w:sz="0" w:space="0" w:color="auto"/>
          </w:divBdr>
        </w:div>
        <w:div w:id="1978216757">
          <w:marLeft w:val="547"/>
          <w:marRight w:val="0"/>
          <w:marTop w:val="154"/>
          <w:marBottom w:val="0"/>
          <w:divBdr>
            <w:top w:val="none" w:sz="0" w:space="0" w:color="auto"/>
            <w:left w:val="none" w:sz="0" w:space="0" w:color="auto"/>
            <w:bottom w:val="none" w:sz="0" w:space="0" w:color="auto"/>
            <w:right w:val="none" w:sz="0" w:space="0" w:color="auto"/>
          </w:divBdr>
        </w:div>
      </w:divsChild>
    </w:div>
    <w:div w:id="329986068">
      <w:bodyDiv w:val="1"/>
      <w:marLeft w:val="0"/>
      <w:marRight w:val="0"/>
      <w:marTop w:val="0"/>
      <w:marBottom w:val="0"/>
      <w:divBdr>
        <w:top w:val="none" w:sz="0" w:space="0" w:color="auto"/>
        <w:left w:val="none" w:sz="0" w:space="0" w:color="auto"/>
        <w:bottom w:val="none" w:sz="0" w:space="0" w:color="auto"/>
        <w:right w:val="none" w:sz="0" w:space="0" w:color="auto"/>
      </w:divBdr>
    </w:div>
    <w:div w:id="544877992">
      <w:bodyDiv w:val="1"/>
      <w:marLeft w:val="0"/>
      <w:marRight w:val="0"/>
      <w:marTop w:val="0"/>
      <w:marBottom w:val="0"/>
      <w:divBdr>
        <w:top w:val="none" w:sz="0" w:space="0" w:color="auto"/>
        <w:left w:val="none" w:sz="0" w:space="0" w:color="auto"/>
        <w:bottom w:val="none" w:sz="0" w:space="0" w:color="auto"/>
        <w:right w:val="none" w:sz="0" w:space="0" w:color="auto"/>
      </w:divBdr>
    </w:div>
    <w:div w:id="635255305">
      <w:bodyDiv w:val="1"/>
      <w:marLeft w:val="0"/>
      <w:marRight w:val="0"/>
      <w:marTop w:val="0"/>
      <w:marBottom w:val="0"/>
      <w:divBdr>
        <w:top w:val="none" w:sz="0" w:space="0" w:color="auto"/>
        <w:left w:val="none" w:sz="0" w:space="0" w:color="auto"/>
        <w:bottom w:val="none" w:sz="0" w:space="0" w:color="auto"/>
        <w:right w:val="none" w:sz="0" w:space="0" w:color="auto"/>
      </w:divBdr>
    </w:div>
    <w:div w:id="690765326">
      <w:bodyDiv w:val="1"/>
      <w:marLeft w:val="0"/>
      <w:marRight w:val="0"/>
      <w:marTop w:val="0"/>
      <w:marBottom w:val="0"/>
      <w:divBdr>
        <w:top w:val="none" w:sz="0" w:space="0" w:color="auto"/>
        <w:left w:val="none" w:sz="0" w:space="0" w:color="auto"/>
        <w:bottom w:val="none" w:sz="0" w:space="0" w:color="auto"/>
        <w:right w:val="none" w:sz="0" w:space="0" w:color="auto"/>
      </w:divBdr>
      <w:divsChild>
        <w:div w:id="2102754644">
          <w:marLeft w:val="0"/>
          <w:marRight w:val="0"/>
          <w:marTop w:val="0"/>
          <w:marBottom w:val="0"/>
          <w:divBdr>
            <w:top w:val="none" w:sz="0" w:space="0" w:color="auto"/>
            <w:left w:val="none" w:sz="0" w:space="0" w:color="auto"/>
            <w:bottom w:val="none" w:sz="0" w:space="0" w:color="auto"/>
            <w:right w:val="none" w:sz="0" w:space="0" w:color="auto"/>
          </w:divBdr>
          <w:divsChild>
            <w:div w:id="1348480050">
              <w:marLeft w:val="0"/>
              <w:marRight w:val="0"/>
              <w:marTop w:val="0"/>
              <w:marBottom w:val="0"/>
              <w:divBdr>
                <w:top w:val="none" w:sz="0" w:space="0" w:color="auto"/>
                <w:left w:val="none" w:sz="0" w:space="0" w:color="auto"/>
                <w:bottom w:val="none" w:sz="0" w:space="0" w:color="auto"/>
                <w:right w:val="none" w:sz="0" w:space="0" w:color="auto"/>
              </w:divBdr>
              <w:divsChild>
                <w:div w:id="1689260375">
                  <w:marLeft w:val="0"/>
                  <w:marRight w:val="0"/>
                  <w:marTop w:val="0"/>
                  <w:marBottom w:val="0"/>
                  <w:divBdr>
                    <w:top w:val="none" w:sz="0" w:space="0" w:color="auto"/>
                    <w:left w:val="none" w:sz="0" w:space="0" w:color="auto"/>
                    <w:bottom w:val="none" w:sz="0" w:space="0" w:color="auto"/>
                    <w:right w:val="none" w:sz="0" w:space="0" w:color="auto"/>
                  </w:divBdr>
                  <w:divsChild>
                    <w:div w:id="23216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6554968">
      <w:bodyDiv w:val="1"/>
      <w:marLeft w:val="0"/>
      <w:marRight w:val="0"/>
      <w:marTop w:val="0"/>
      <w:marBottom w:val="0"/>
      <w:divBdr>
        <w:top w:val="none" w:sz="0" w:space="0" w:color="auto"/>
        <w:left w:val="none" w:sz="0" w:space="0" w:color="auto"/>
        <w:bottom w:val="none" w:sz="0" w:space="0" w:color="auto"/>
        <w:right w:val="none" w:sz="0" w:space="0" w:color="auto"/>
      </w:divBdr>
      <w:divsChild>
        <w:div w:id="1133140292">
          <w:marLeft w:val="0"/>
          <w:marRight w:val="0"/>
          <w:marTop w:val="0"/>
          <w:marBottom w:val="0"/>
          <w:divBdr>
            <w:top w:val="none" w:sz="0" w:space="0" w:color="auto"/>
            <w:left w:val="none" w:sz="0" w:space="0" w:color="auto"/>
            <w:bottom w:val="none" w:sz="0" w:space="0" w:color="auto"/>
            <w:right w:val="none" w:sz="0" w:space="0" w:color="auto"/>
          </w:divBdr>
          <w:divsChild>
            <w:div w:id="1931692582">
              <w:marLeft w:val="0"/>
              <w:marRight w:val="0"/>
              <w:marTop w:val="0"/>
              <w:marBottom w:val="0"/>
              <w:divBdr>
                <w:top w:val="none" w:sz="0" w:space="0" w:color="auto"/>
                <w:left w:val="none" w:sz="0" w:space="0" w:color="auto"/>
                <w:bottom w:val="none" w:sz="0" w:space="0" w:color="auto"/>
                <w:right w:val="none" w:sz="0" w:space="0" w:color="auto"/>
              </w:divBdr>
              <w:divsChild>
                <w:div w:id="506753145">
                  <w:marLeft w:val="0"/>
                  <w:marRight w:val="0"/>
                  <w:marTop w:val="0"/>
                  <w:marBottom w:val="0"/>
                  <w:divBdr>
                    <w:top w:val="none" w:sz="0" w:space="0" w:color="auto"/>
                    <w:left w:val="none" w:sz="0" w:space="0" w:color="auto"/>
                    <w:bottom w:val="none" w:sz="0" w:space="0" w:color="auto"/>
                    <w:right w:val="none" w:sz="0" w:space="0" w:color="auto"/>
                  </w:divBdr>
                  <w:divsChild>
                    <w:div w:id="1147164722">
                      <w:marLeft w:val="0"/>
                      <w:marRight w:val="0"/>
                      <w:marTop w:val="0"/>
                      <w:marBottom w:val="0"/>
                      <w:divBdr>
                        <w:top w:val="none" w:sz="0" w:space="0" w:color="auto"/>
                        <w:left w:val="none" w:sz="0" w:space="0" w:color="auto"/>
                        <w:bottom w:val="none" w:sz="0" w:space="0" w:color="auto"/>
                        <w:right w:val="none" w:sz="0" w:space="0" w:color="auto"/>
                      </w:divBdr>
                      <w:divsChild>
                        <w:div w:id="1757360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2516300">
      <w:bodyDiv w:val="1"/>
      <w:marLeft w:val="0"/>
      <w:marRight w:val="0"/>
      <w:marTop w:val="0"/>
      <w:marBottom w:val="0"/>
      <w:divBdr>
        <w:top w:val="none" w:sz="0" w:space="0" w:color="auto"/>
        <w:left w:val="none" w:sz="0" w:space="0" w:color="auto"/>
        <w:bottom w:val="none" w:sz="0" w:space="0" w:color="auto"/>
        <w:right w:val="none" w:sz="0" w:space="0" w:color="auto"/>
      </w:divBdr>
    </w:div>
    <w:div w:id="1064596490">
      <w:bodyDiv w:val="1"/>
      <w:marLeft w:val="0"/>
      <w:marRight w:val="0"/>
      <w:marTop w:val="0"/>
      <w:marBottom w:val="0"/>
      <w:divBdr>
        <w:top w:val="none" w:sz="0" w:space="0" w:color="auto"/>
        <w:left w:val="none" w:sz="0" w:space="0" w:color="auto"/>
        <w:bottom w:val="none" w:sz="0" w:space="0" w:color="auto"/>
        <w:right w:val="none" w:sz="0" w:space="0" w:color="auto"/>
      </w:divBdr>
      <w:divsChild>
        <w:div w:id="1452744134">
          <w:marLeft w:val="0"/>
          <w:marRight w:val="0"/>
          <w:marTop w:val="0"/>
          <w:marBottom w:val="0"/>
          <w:divBdr>
            <w:top w:val="none" w:sz="0" w:space="0" w:color="auto"/>
            <w:left w:val="none" w:sz="0" w:space="0" w:color="auto"/>
            <w:bottom w:val="none" w:sz="0" w:space="0" w:color="auto"/>
            <w:right w:val="none" w:sz="0" w:space="0" w:color="auto"/>
          </w:divBdr>
          <w:divsChild>
            <w:div w:id="160892705">
              <w:marLeft w:val="0"/>
              <w:marRight w:val="0"/>
              <w:marTop w:val="0"/>
              <w:marBottom w:val="0"/>
              <w:divBdr>
                <w:top w:val="single" w:sz="12" w:space="0" w:color="CECECE"/>
                <w:left w:val="single" w:sz="12" w:space="3" w:color="CECECE"/>
                <w:bottom w:val="none" w:sz="0" w:space="0" w:color="auto"/>
                <w:right w:val="single" w:sz="12" w:space="0" w:color="CECECE"/>
              </w:divBdr>
              <w:divsChild>
                <w:div w:id="1509445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1363615">
      <w:bodyDiv w:val="1"/>
      <w:marLeft w:val="0"/>
      <w:marRight w:val="0"/>
      <w:marTop w:val="0"/>
      <w:marBottom w:val="0"/>
      <w:divBdr>
        <w:top w:val="none" w:sz="0" w:space="0" w:color="auto"/>
        <w:left w:val="none" w:sz="0" w:space="0" w:color="auto"/>
        <w:bottom w:val="none" w:sz="0" w:space="0" w:color="auto"/>
        <w:right w:val="none" w:sz="0" w:space="0" w:color="auto"/>
      </w:divBdr>
      <w:divsChild>
        <w:div w:id="673066537">
          <w:marLeft w:val="0"/>
          <w:marRight w:val="0"/>
          <w:marTop w:val="0"/>
          <w:marBottom w:val="0"/>
          <w:divBdr>
            <w:top w:val="none" w:sz="0" w:space="0" w:color="auto"/>
            <w:left w:val="none" w:sz="0" w:space="0" w:color="auto"/>
            <w:bottom w:val="none" w:sz="0" w:space="0" w:color="auto"/>
            <w:right w:val="none" w:sz="0" w:space="0" w:color="auto"/>
          </w:divBdr>
          <w:divsChild>
            <w:div w:id="831682281">
              <w:marLeft w:val="0"/>
              <w:marRight w:val="0"/>
              <w:marTop w:val="0"/>
              <w:marBottom w:val="0"/>
              <w:divBdr>
                <w:top w:val="none" w:sz="0" w:space="0" w:color="auto"/>
                <w:left w:val="none" w:sz="0" w:space="0" w:color="auto"/>
                <w:bottom w:val="none" w:sz="0" w:space="0" w:color="auto"/>
                <w:right w:val="none" w:sz="0" w:space="0" w:color="auto"/>
              </w:divBdr>
            </w:div>
            <w:div w:id="1202673771">
              <w:marLeft w:val="0"/>
              <w:marRight w:val="0"/>
              <w:marTop w:val="0"/>
              <w:marBottom w:val="0"/>
              <w:divBdr>
                <w:top w:val="none" w:sz="0" w:space="0" w:color="auto"/>
                <w:left w:val="none" w:sz="0" w:space="0" w:color="auto"/>
                <w:bottom w:val="none" w:sz="0" w:space="0" w:color="auto"/>
                <w:right w:val="none" w:sz="0" w:space="0" w:color="auto"/>
              </w:divBdr>
            </w:div>
            <w:div w:id="1681538658">
              <w:marLeft w:val="0"/>
              <w:marRight w:val="0"/>
              <w:marTop w:val="0"/>
              <w:marBottom w:val="0"/>
              <w:divBdr>
                <w:top w:val="none" w:sz="0" w:space="0" w:color="auto"/>
                <w:left w:val="none" w:sz="0" w:space="0" w:color="auto"/>
                <w:bottom w:val="none" w:sz="0" w:space="0" w:color="auto"/>
                <w:right w:val="none" w:sz="0" w:space="0" w:color="auto"/>
              </w:divBdr>
            </w:div>
            <w:div w:id="1902253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8504582">
      <w:bodyDiv w:val="1"/>
      <w:marLeft w:val="0"/>
      <w:marRight w:val="0"/>
      <w:marTop w:val="0"/>
      <w:marBottom w:val="0"/>
      <w:divBdr>
        <w:top w:val="none" w:sz="0" w:space="0" w:color="auto"/>
        <w:left w:val="none" w:sz="0" w:space="0" w:color="auto"/>
        <w:bottom w:val="none" w:sz="0" w:space="0" w:color="auto"/>
        <w:right w:val="none" w:sz="0" w:space="0" w:color="auto"/>
      </w:divBdr>
      <w:divsChild>
        <w:div w:id="792140718">
          <w:marLeft w:val="0"/>
          <w:marRight w:val="0"/>
          <w:marTop w:val="0"/>
          <w:marBottom w:val="0"/>
          <w:divBdr>
            <w:top w:val="none" w:sz="0" w:space="0" w:color="auto"/>
            <w:left w:val="none" w:sz="0" w:space="0" w:color="auto"/>
            <w:bottom w:val="none" w:sz="0" w:space="0" w:color="auto"/>
            <w:right w:val="none" w:sz="0" w:space="0" w:color="auto"/>
          </w:divBdr>
          <w:divsChild>
            <w:div w:id="262033161">
              <w:marLeft w:val="0"/>
              <w:marRight w:val="0"/>
              <w:marTop w:val="0"/>
              <w:marBottom w:val="0"/>
              <w:divBdr>
                <w:top w:val="none" w:sz="0" w:space="0" w:color="auto"/>
                <w:left w:val="none" w:sz="0" w:space="0" w:color="auto"/>
                <w:bottom w:val="none" w:sz="0" w:space="0" w:color="auto"/>
                <w:right w:val="none" w:sz="0" w:space="0" w:color="auto"/>
              </w:divBdr>
              <w:divsChild>
                <w:div w:id="1971207069">
                  <w:marLeft w:val="0"/>
                  <w:marRight w:val="0"/>
                  <w:marTop w:val="0"/>
                  <w:marBottom w:val="0"/>
                  <w:divBdr>
                    <w:top w:val="none" w:sz="0" w:space="0" w:color="auto"/>
                    <w:left w:val="none" w:sz="0" w:space="0" w:color="auto"/>
                    <w:bottom w:val="none" w:sz="0" w:space="0" w:color="auto"/>
                    <w:right w:val="none" w:sz="0" w:space="0" w:color="auto"/>
                  </w:divBdr>
                  <w:divsChild>
                    <w:div w:id="775366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0220707">
      <w:bodyDiv w:val="1"/>
      <w:marLeft w:val="0"/>
      <w:marRight w:val="0"/>
      <w:marTop w:val="0"/>
      <w:marBottom w:val="0"/>
      <w:divBdr>
        <w:top w:val="none" w:sz="0" w:space="0" w:color="auto"/>
        <w:left w:val="none" w:sz="0" w:space="0" w:color="auto"/>
        <w:bottom w:val="none" w:sz="0" w:space="0" w:color="auto"/>
        <w:right w:val="none" w:sz="0" w:space="0" w:color="auto"/>
      </w:divBdr>
    </w:div>
    <w:div w:id="1875345075">
      <w:bodyDiv w:val="1"/>
      <w:marLeft w:val="0"/>
      <w:marRight w:val="0"/>
      <w:marTop w:val="0"/>
      <w:marBottom w:val="0"/>
      <w:divBdr>
        <w:top w:val="none" w:sz="0" w:space="0" w:color="auto"/>
        <w:left w:val="none" w:sz="0" w:space="0" w:color="auto"/>
        <w:bottom w:val="none" w:sz="0" w:space="0" w:color="auto"/>
        <w:right w:val="none" w:sz="0" w:space="0" w:color="auto"/>
      </w:divBdr>
      <w:divsChild>
        <w:div w:id="140007546">
          <w:marLeft w:val="0"/>
          <w:marRight w:val="0"/>
          <w:marTop w:val="0"/>
          <w:marBottom w:val="0"/>
          <w:divBdr>
            <w:top w:val="none" w:sz="0" w:space="0" w:color="auto"/>
            <w:left w:val="none" w:sz="0" w:space="0" w:color="auto"/>
            <w:bottom w:val="none" w:sz="0" w:space="0" w:color="auto"/>
            <w:right w:val="none" w:sz="0" w:space="0" w:color="auto"/>
          </w:divBdr>
          <w:divsChild>
            <w:div w:id="1697923040">
              <w:marLeft w:val="0"/>
              <w:marRight w:val="0"/>
              <w:marTop w:val="0"/>
              <w:marBottom w:val="0"/>
              <w:divBdr>
                <w:top w:val="none" w:sz="0" w:space="0" w:color="auto"/>
                <w:left w:val="none" w:sz="0" w:space="0" w:color="auto"/>
                <w:bottom w:val="none" w:sz="0" w:space="0" w:color="auto"/>
                <w:right w:val="none" w:sz="0" w:space="0" w:color="auto"/>
              </w:divBdr>
              <w:divsChild>
                <w:div w:id="153689416">
                  <w:marLeft w:val="0"/>
                  <w:marRight w:val="0"/>
                  <w:marTop w:val="0"/>
                  <w:marBottom w:val="0"/>
                  <w:divBdr>
                    <w:top w:val="none" w:sz="0" w:space="0" w:color="auto"/>
                    <w:left w:val="none" w:sz="0" w:space="0" w:color="auto"/>
                    <w:bottom w:val="none" w:sz="0" w:space="0" w:color="auto"/>
                    <w:right w:val="none" w:sz="0" w:space="0" w:color="auto"/>
                  </w:divBdr>
                  <w:divsChild>
                    <w:div w:id="1768190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6674066">
      <w:bodyDiv w:val="1"/>
      <w:marLeft w:val="0"/>
      <w:marRight w:val="0"/>
      <w:marTop w:val="0"/>
      <w:marBottom w:val="0"/>
      <w:divBdr>
        <w:top w:val="none" w:sz="0" w:space="0" w:color="auto"/>
        <w:left w:val="none" w:sz="0" w:space="0" w:color="auto"/>
        <w:bottom w:val="none" w:sz="0" w:space="0" w:color="auto"/>
        <w:right w:val="none" w:sz="0" w:space="0" w:color="auto"/>
      </w:divBdr>
    </w:div>
    <w:div w:id="21158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mita.lt/uploads/documents/intelektine_nuosavybe/lietuvos_inovaciju_20102020_m._strategija.doc" TargetMode="External"/><Relationship Id="rId21" Type="http://schemas.openxmlformats.org/officeDocument/2006/relationships/chart" Target="charts/chart3.xml"/><Relationship Id="rId34" Type="http://schemas.openxmlformats.org/officeDocument/2006/relationships/chart" Target="charts/chart13.xml"/><Relationship Id="rId42" Type="http://schemas.openxmlformats.org/officeDocument/2006/relationships/hyperlink" Target="http://brie.berkeley.edu/~briewww/publications/WP163.pdf" TargetMode="External"/><Relationship Id="rId47" Type="http://schemas.openxmlformats.org/officeDocument/2006/relationships/hyperlink" Target="http://www.inovacijos.lt/inopagalba/cms/65lt.pdf" TargetMode="External"/><Relationship Id="rId50" Type="http://schemas.openxmlformats.org/officeDocument/2006/relationships/hyperlink" Target="http://www.emeraldinsight.com/journals.htm?issn=00251747&amp;volume=45&amp;issue%20=4&amp;articleid=1602964" TargetMode="External"/><Relationship Id="rId55" Type="http://schemas.openxmlformats.org/officeDocument/2006/relationships/chart" Target="charts/chart18.xml"/><Relationship Id="rId63" Type="http://schemas.openxmlformats.org/officeDocument/2006/relationships/chart" Target="charts/chart26.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diagramQuickStyle" Target="diagrams/quickStyle1.xml"/><Relationship Id="rId29" Type="http://schemas.openxmlformats.org/officeDocument/2006/relationships/chart" Target="charts/chart8.xml"/><Relationship Id="rId11" Type="http://schemas.openxmlformats.org/officeDocument/2006/relationships/image" Target="media/image2.png"/><Relationship Id="rId24" Type="http://schemas.openxmlformats.org/officeDocument/2006/relationships/chart" Target="charts/chart6.xml"/><Relationship Id="rId32" Type="http://schemas.openxmlformats.org/officeDocument/2006/relationships/chart" Target="charts/chart11.xml"/><Relationship Id="rId37" Type="http://schemas.openxmlformats.org/officeDocument/2006/relationships/hyperlink" Target="http://www.evca.eu/404.aspx" TargetMode="External"/><Relationship Id="rId40" Type="http://schemas.openxmlformats.org/officeDocument/2006/relationships/hyperlink" Target="http://papers.ssrn.com/sol3/papers.cfm?abstract_id=960505" TargetMode="External"/><Relationship Id="rId45" Type="http://schemas.openxmlformats.org/officeDocument/2006/relationships/hyperlink" Target="http://arno.uvt.nl/show.cgi?fid=53796" TargetMode="External"/><Relationship Id="rId53" Type="http://schemas.openxmlformats.org/officeDocument/2006/relationships/chart" Target="charts/chart16.xml"/><Relationship Id="rId58" Type="http://schemas.openxmlformats.org/officeDocument/2006/relationships/chart" Target="charts/chart21.xml"/><Relationship Id="rId5" Type="http://schemas.openxmlformats.org/officeDocument/2006/relationships/settings" Target="settings.xml"/><Relationship Id="rId61" Type="http://schemas.openxmlformats.org/officeDocument/2006/relationships/chart" Target="charts/chart24.xml"/><Relationship Id="rId19" Type="http://schemas.openxmlformats.org/officeDocument/2006/relationships/chart" Target="charts/chart1.xml"/><Relationship Id="rId14" Type="http://schemas.openxmlformats.org/officeDocument/2006/relationships/diagramData" Target="diagrams/data1.xml"/><Relationship Id="rId22" Type="http://schemas.openxmlformats.org/officeDocument/2006/relationships/chart" Target="charts/chart4.xml"/><Relationship Id="rId27" Type="http://schemas.openxmlformats.org/officeDocument/2006/relationships/hyperlink" Target="http://www.mita.lt/uploads/documents/intelektine_nuosavybe/lietuvos_inovaciju_20102020_m._strategija__20102013_m._priemoniu_planas.doc" TargetMode="External"/><Relationship Id="rId30" Type="http://schemas.openxmlformats.org/officeDocument/2006/relationships/chart" Target="charts/chart9.xml"/><Relationship Id="rId35" Type="http://schemas.openxmlformats.org/officeDocument/2006/relationships/header" Target="header2.xml"/><Relationship Id="rId43" Type="http://schemas.openxmlformats.org/officeDocument/2006/relationships/hyperlink" Target="http://hcd.ucdavis.edu/faculty/webpages/kenney/articles_files/Organizing%20Venture%20Capital:%20The%20Rise%20and%20Demise%20of%20American%20Research%20and%20Development%20Corporation.pdf" TargetMode="External"/><Relationship Id="rId48" Type="http://schemas.openxmlformats.org/officeDocument/2006/relationships/hyperlink" Target="http://www.evca.eu/uploadedFiles/Home/Knowledge_Center/EVCA_Research/Economical_Impact/EconomicImpactBuyouts.pdf" TargetMode="External"/><Relationship Id="rId56" Type="http://schemas.openxmlformats.org/officeDocument/2006/relationships/chart" Target="charts/chart19.xml"/><Relationship Id="rId64"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chart" Target="charts/chart14.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diagramColors" Target="diagrams/colors1.xml"/><Relationship Id="rId25" Type="http://schemas.openxmlformats.org/officeDocument/2006/relationships/chart" Target="charts/chart7.xml"/><Relationship Id="rId33" Type="http://schemas.openxmlformats.org/officeDocument/2006/relationships/chart" Target="charts/chart12.xml"/><Relationship Id="rId38" Type="http://schemas.openxmlformats.org/officeDocument/2006/relationships/hyperlink" Target="http://www.fsa.gov.uk/pubs/other/Impact_of_AIFM_Directive.pdf" TargetMode="External"/><Relationship Id="rId46" Type="http://schemas.openxmlformats.org/officeDocument/2006/relationships/hyperlink" Target="http://www.ifw-members.ifw-kiel.de/publications/venture-capital-contracts-a-survey-of-the-recent-literature/kap1017.pdf" TargetMode="External"/><Relationship Id="rId59" Type="http://schemas.openxmlformats.org/officeDocument/2006/relationships/chart" Target="charts/chart22.xml"/><Relationship Id="rId20" Type="http://schemas.openxmlformats.org/officeDocument/2006/relationships/chart" Target="charts/chart2.xml"/><Relationship Id="rId41" Type="http://schemas.openxmlformats.org/officeDocument/2006/relationships/hyperlink" Target="http://www.altassets.com/pdfs/VentureCapitalHungary.pdf" TargetMode="External"/><Relationship Id="rId54" Type="http://schemas.openxmlformats.org/officeDocument/2006/relationships/chart" Target="charts/chart17.xml"/><Relationship Id="rId62" Type="http://schemas.openxmlformats.org/officeDocument/2006/relationships/chart" Target="charts/chart25.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diagramLayout" Target="diagrams/layout1.xml"/><Relationship Id="rId23" Type="http://schemas.openxmlformats.org/officeDocument/2006/relationships/chart" Target="charts/chart5.xml"/><Relationship Id="rId28" Type="http://schemas.openxmlformats.org/officeDocument/2006/relationships/hyperlink" Target="http://www.mita.lt/lt/inovacijos/inovacijos-europoje/" TargetMode="External"/><Relationship Id="rId36" Type="http://schemas.openxmlformats.org/officeDocument/2006/relationships/hyperlink" Target="http://ec.europa.eu/internal_market/investment/docs/other_docs/reports/equity_en.pdf" TargetMode="External"/><Relationship Id="rId49" Type="http://schemas.openxmlformats.org/officeDocument/2006/relationships/hyperlink" Target="http://www.plan.be/admin/uploaded/200605091448024.WP0009en.pdf" TargetMode="External"/><Relationship Id="rId57" Type="http://schemas.openxmlformats.org/officeDocument/2006/relationships/chart" Target="charts/chart20.xml"/><Relationship Id="rId10" Type="http://schemas.openxmlformats.org/officeDocument/2006/relationships/image" Target="media/image1.png"/><Relationship Id="rId31" Type="http://schemas.openxmlformats.org/officeDocument/2006/relationships/chart" Target="charts/chart10.xml"/><Relationship Id="rId44" Type="http://schemas.openxmlformats.org/officeDocument/2006/relationships/hyperlink" Target="http://www.emeraldinsight.com/journals.htm?issn=0143-991X&amp;volume=35&amp;issue=3&amp;articlei-d=1722848&amp;" TargetMode="External"/><Relationship Id="rId52" Type="http://schemas.openxmlformats.org/officeDocument/2006/relationships/chart" Target="charts/chart15.xml"/><Relationship Id="rId60" Type="http://schemas.openxmlformats.org/officeDocument/2006/relationships/chart" Target="charts/chart23.xml"/><Relationship Id="rId65"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3" Type="http://schemas.openxmlformats.org/officeDocument/2006/relationships/oleObject" Target="embeddings/oleObject1.bin"/><Relationship Id="rId18" Type="http://schemas.microsoft.com/office/2007/relationships/diagramDrawing" Target="diagrams/drawing1.xml"/><Relationship Id="rId39" Type="http://schemas.openxmlformats.org/officeDocument/2006/relationships/hyperlink" Target="http://www.google.com/books?hl=lt&amp;lr=&amp;id=e0bdjUgzLG0C&amp;oi=fnd&amp;pg=PP15&amp;dq=The+impact+of+venture+capital+investments+on+the+Hungarian+economy&amp;ots=gv1h0XQq1V&amp;sig=o6fR2vzvtoyTYeZdk0n0qSc3Q7I"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usriukas\Desktop\magistro%20baigiamasis%20darbas\Duomenys%20magistriniui\DUOMENYS%20IR%20GRAFIKAI%20DALIAI%20INOVACINIS%20VERSLAS%20LT%20(Autosaved).xlsx" TargetMode="External"/></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Ausriukas\Desktop\magistro%20baigiamasis%20darbas\Duomenys%20magistriniui\DUOMENYS%20IR%20GRAFIKAI%20DALIAI%20INOVACINIS%20VERSLAS%20LT.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Ausriukas\Desktop\magistro%20baigiamasis%20darbas\Duomenys%20magistriniui\DUOMENYS%20IR%20GRAFIKAI%20DALIAI%20INOVACINIS%20VERSLAS%20LT.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Ausriukas\Desktop\magistro%20baigiamasis%20darbas\inovacines%20imones%20grafikas.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Ausriukas\Desktop\magistro%20baigiamasis%20darbas\Duomenys%20magistriniui\DUOMENYS%20IR%20GRAFIKAI%20DALIAI%20INOVACINIS%20VERSLAS%20LT.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Ausriukas\Desktop\magistro%20baigiamasis%20darbas\Duomenys%20magistriniui\DUOMENYS%20IR%20GRAFIKAI%20DALIAI%20INOVACINIS%20VERSLAS%20LT.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Ausriukas\Desktop\magistro%20baigiamasis%20darbas\Duomenys%20magistriniui\DUOMENYS%20IR%20GRAFIKAI%20DALIAI%20INOVACINIS%20VERSLAS%20LT.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Ausriukas\Desktop\magistro%20baigiamasis%20darbas\Duomenys%20magistriniui\DUOMENYS%20IR%20GRAFIKAI%20DALIAI%20INOVACINIS%20VERSLAS%20LT.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Ausriukas\Desktop\magistro%20baigiamasis%20darbas\Duomenys%20magistriniui\DUOMENYS%20IR%20GRAFIKAI%20DALIAI%20INOVACINIS%20VERSLAS%20LT.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Ausriukas\Desktop\magistro%20baigiamasis%20darbas\Duomenys%20magistriniui\DUOMENYS%20IR%20GRAFIKAI%20DALIAI%20INOVACINIS%20VERSLAS%20LT.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Ausriukas\Desktop\magistro%20baigiamasis%20darbas\Duomenys%20magistriniui\DUOMENYS%20IR%20GRAFIKAI%20DALIAI%20INOVACINIS%20VERSLAS%20LT.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usriukas\Desktop\magistro%20baigiamasis%20darbas\Duomenys%20magistriniui\DUOMENYS%20IR%20GRAFIKAI%20DALIAI%20INOVACINIS%20VERSLAS%20LT%20(Autosaved).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Ausriukas\Desktop\magistro%20baigiamasis%20darbas\Duomenys%20magistriniui\DUOMENYS%20IR%20GRAFIKAI%20DALIAI%20INOVACINIS%20VERSLAS%20LT.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Ausriukas\Desktop\magistro%20baigiamasis%20darbas\Duomenys%20magistriniui\DUOMENYS%20IR%20GRAFIKAI%20DALIAI%20INOVACINIS%20VERSLAS%20LT.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Ausriukas\Desktop\magistro%20baigiamasis%20darbas\Duomenys%20magistriniui\DUOMENYS%20IR%20GRAFIKAI%20DALIAI%20INOVACINIS%20VERSLAS%20LT.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Ausriukas\Desktop\magistro%20baigiamasis%20darbas\Duomenys%20magistriniui\DUOMENYS%20IR%20GRAFIKAI%20DALIAI%20INOVACINIS%20VERSLAS%20LT.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Users\Ausriukas\Desktop\magistro%20baigiamasis%20darbas\Duomenys%20magistriniui\DUOMENYS%20IR%20GRAFIKAI%20DALIAI%20INOVACINIS%20VERSLAS%20LT.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C:\Users\Ausriukas\Desktop\magistro%20baigiamasis%20darbas\Duomenys%20magistriniui\DUOMENYS%20IR%20GRAFIKAI%20DALIAI%20INOVACINIS%20VERSLAS%20LT.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C:\Users\Ausriukas\Desktop\magistro%20baigiamasis%20darbas\Duomenys%20magistriniui\DUOMENYS%20IR%20GRAFIKAI%20DALIAI%20INOVACINIS%20VERSLAS%20LT.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usriukas\Desktop\magistro%20baigiamasis%20darbas\Duomenys%20magistriniui\DUOMENYS%20IR%20GRAFIKAI%20DALIAI%20INOVACINIS%20VERSLAS%20LT%20(Autosaved).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usriukas\Desktop\magistro%20baigiamasis%20darbas\Duomenys%20magistriniui\DUOMENYS%20IR%20GRAFIKAI%20DALIAI%20INOVACINIS%20VERSLAS%20LT%20(Autosaved).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usriukas\Desktop\magistro%20baigiamasis%20darbas\Duomenys%20magistriniui\DUOMENYS%20IR%20GRAFIKAI%20DALIAI%20INOVACINIS%20VERSLAS%20LT%20(Autosaved).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usriukas\Desktop\magistro%20baigiamasis%20darbas\Duomenys%20magistriniui\DUOMENYS%20IR%20GRAFIKAI%20DALIAI%20INOVACINIS%20VERSLAS%20LT%20(Autosaved).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Ausriukas\Desktop\magistro%20baigiamasis%20darbas\Duomenys%20magistriniui\DUOMENYS%20IR%20GRAFIKAI%20DALIAI%20INOVACINIS%20VERSLAS%20LT%20(Autosaved).xlsx" TargetMode="Externa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Ausriukas\Desktop\magistro%20baigiamasis%20darbas\Duomenys%20magistriniui\DUOMENYS%20IR%20GRAFIKAI%20DALIAI%20INOVACINIS%20VERSLAS%20LT.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Ausriukas\Desktop\magistro%20baigiamasis%20darbas\Duomenys%20magistriniui\DUOMENYS%20IR%20GRAFIKAI%20DALIAI%20INOVACINIS%20VERSLAS%20L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spPr>
            <a:solidFill>
              <a:srgbClr val="002060"/>
            </a:solidFill>
          </c:spPr>
          <c:invertIfNegative val="0"/>
          <c:dPt>
            <c:idx val="6"/>
            <c:invertIfNegative val="0"/>
            <c:bubble3D val="0"/>
            <c:spPr>
              <a:solidFill>
                <a:srgbClr val="92D050"/>
              </a:solidFill>
              <a:ln>
                <a:solidFill>
                  <a:srgbClr val="92D050"/>
                </a:solidFill>
              </a:ln>
            </c:spPr>
          </c:dPt>
          <c:dPt>
            <c:idx val="17"/>
            <c:invertIfNegative val="0"/>
            <c:bubble3D val="0"/>
            <c:spPr>
              <a:solidFill>
                <a:schemeClr val="accent6">
                  <a:lumMod val="75000"/>
                </a:schemeClr>
              </a:solidFill>
              <a:ln>
                <a:solidFill>
                  <a:schemeClr val="accent6">
                    <a:lumMod val="75000"/>
                  </a:schemeClr>
                </a:solidFill>
              </a:ln>
            </c:spPr>
          </c:dPt>
          <c:dPt>
            <c:idx val="18"/>
            <c:invertIfNegative val="0"/>
            <c:bubble3D val="0"/>
          </c:dPt>
          <c:cat>
            <c:strRef>
              <c:f>'es nvest (2)'!$A$2:$A$30</c:f>
              <c:strCache>
                <c:ptCount val="29"/>
                <c:pt idx="0">
                  <c:v>Švedija</c:v>
                </c:pt>
                <c:pt idx="1">
                  <c:v>Jungtinė Karalystė</c:v>
                </c:pt>
                <c:pt idx="2">
                  <c:v>Airija</c:v>
                </c:pt>
                <c:pt idx="3">
                  <c:v>Prancūzija</c:v>
                </c:pt>
                <c:pt idx="4">
                  <c:v>Nyderlandai</c:v>
                </c:pt>
                <c:pt idx="5">
                  <c:v>Suomija</c:v>
                </c:pt>
                <c:pt idx="6">
                  <c:v>ES</c:v>
                </c:pt>
                <c:pt idx="7">
                  <c:v>Ispanija</c:v>
                </c:pt>
                <c:pt idx="8">
                  <c:v>Belgija</c:v>
                </c:pt>
                <c:pt idx="9">
                  <c:v>Austrija</c:v>
                </c:pt>
                <c:pt idx="10">
                  <c:v>Bulgarija</c:v>
                </c:pt>
                <c:pt idx="11">
                  <c:v>Liuksemburgas</c:v>
                </c:pt>
                <c:pt idx="12">
                  <c:v>Lenkija</c:v>
                </c:pt>
                <c:pt idx="13">
                  <c:v>Vokietija</c:v>
                </c:pt>
                <c:pt idx="14">
                  <c:v>Estija</c:v>
                </c:pt>
                <c:pt idx="15">
                  <c:v>Danija</c:v>
                </c:pt>
                <c:pt idx="16">
                  <c:v>Čekijos Respublika</c:v>
                </c:pt>
                <c:pt idx="17">
                  <c:v>CEE</c:v>
                </c:pt>
                <c:pt idx="18">
                  <c:v>Portugalija</c:v>
                </c:pt>
                <c:pt idx="19">
                  <c:v>Italija</c:v>
                </c:pt>
                <c:pt idx="20">
                  <c:v>Rumunija</c:v>
                </c:pt>
                <c:pt idx="21">
                  <c:v>Vengrija</c:v>
                </c:pt>
                <c:pt idx="22">
                  <c:v>Kipras</c:v>
                </c:pt>
                <c:pt idx="23">
                  <c:v>Latvija</c:v>
                </c:pt>
                <c:pt idx="24">
                  <c:v>Slovakija</c:v>
                </c:pt>
                <c:pt idx="25">
                  <c:v>Malta</c:v>
                </c:pt>
                <c:pt idx="26">
                  <c:v>Slovėnija</c:v>
                </c:pt>
                <c:pt idx="27">
                  <c:v>Graikija</c:v>
                </c:pt>
                <c:pt idx="28">
                  <c:v>Lietuva</c:v>
                </c:pt>
              </c:strCache>
            </c:strRef>
          </c:cat>
          <c:val>
            <c:numRef>
              <c:f>'es nvest (2)'!$B$2:$B$30</c:f>
              <c:numCache>
                <c:formatCode>General</c:formatCode>
                <c:ptCount val="29"/>
                <c:pt idx="0">
                  <c:v>0.77500000000000002</c:v>
                </c:pt>
                <c:pt idx="1">
                  <c:v>0.75</c:v>
                </c:pt>
                <c:pt idx="2">
                  <c:v>0.5</c:v>
                </c:pt>
                <c:pt idx="3">
                  <c:v>0.33500000000000002</c:v>
                </c:pt>
                <c:pt idx="4">
                  <c:v>0.33300000000000002</c:v>
                </c:pt>
                <c:pt idx="5">
                  <c:v>0.32500000000000001</c:v>
                </c:pt>
                <c:pt idx="6">
                  <c:v>0.34</c:v>
                </c:pt>
                <c:pt idx="7">
                  <c:v>0.27500000000000002</c:v>
                </c:pt>
                <c:pt idx="8">
                  <c:v>0.26600000000000001</c:v>
                </c:pt>
                <c:pt idx="9">
                  <c:v>0.246</c:v>
                </c:pt>
                <c:pt idx="10">
                  <c:v>0.22800000000000001</c:v>
                </c:pt>
                <c:pt idx="11">
                  <c:v>0.222</c:v>
                </c:pt>
                <c:pt idx="12">
                  <c:v>0.192</c:v>
                </c:pt>
                <c:pt idx="13">
                  <c:v>0.186</c:v>
                </c:pt>
                <c:pt idx="14">
                  <c:v>0.17599999999999999</c:v>
                </c:pt>
                <c:pt idx="15">
                  <c:v>0.16500000000000001</c:v>
                </c:pt>
                <c:pt idx="16">
                  <c:v>0.13300000000000001</c:v>
                </c:pt>
                <c:pt idx="17">
                  <c:v>0.11899999999999999</c:v>
                </c:pt>
                <c:pt idx="18">
                  <c:v>0.109</c:v>
                </c:pt>
                <c:pt idx="19">
                  <c:v>0.10199999999999999</c:v>
                </c:pt>
                <c:pt idx="20">
                  <c:v>0.10100000000000001</c:v>
                </c:pt>
                <c:pt idx="21">
                  <c:v>6.8000000000000005E-2</c:v>
                </c:pt>
                <c:pt idx="22">
                  <c:v>3.5000000000000003E-2</c:v>
                </c:pt>
                <c:pt idx="23">
                  <c:v>2.9000000000000001E-2</c:v>
                </c:pt>
                <c:pt idx="24">
                  <c:v>2.1999999999999999E-2</c:v>
                </c:pt>
                <c:pt idx="25">
                  <c:v>0.02</c:v>
                </c:pt>
                <c:pt idx="26">
                  <c:v>1.9E-2</c:v>
                </c:pt>
                <c:pt idx="27">
                  <c:v>1.4999999999999999E-2</c:v>
                </c:pt>
                <c:pt idx="28">
                  <c:v>6.0000000000000001E-3</c:v>
                </c:pt>
              </c:numCache>
            </c:numRef>
          </c:val>
        </c:ser>
        <c:dLbls>
          <c:showLegendKey val="0"/>
          <c:showVal val="0"/>
          <c:showCatName val="0"/>
          <c:showSerName val="0"/>
          <c:showPercent val="0"/>
          <c:showBubbleSize val="0"/>
        </c:dLbls>
        <c:gapWidth val="150"/>
        <c:axId val="230184960"/>
        <c:axId val="229526336"/>
      </c:barChart>
      <c:catAx>
        <c:axId val="230184960"/>
        <c:scaling>
          <c:orientation val="minMax"/>
        </c:scaling>
        <c:delete val="0"/>
        <c:axPos val="b"/>
        <c:majorTickMark val="out"/>
        <c:minorTickMark val="none"/>
        <c:tickLblPos val="nextTo"/>
        <c:txPr>
          <a:bodyPr/>
          <a:lstStyle/>
          <a:p>
            <a:pPr>
              <a:defRPr sz="1000">
                <a:latin typeface="Times New Roman" pitchFamily="18" charset="0"/>
                <a:cs typeface="Times New Roman" pitchFamily="18" charset="0"/>
              </a:defRPr>
            </a:pPr>
            <a:endParaRPr lang="lt-LT"/>
          </a:p>
        </c:txPr>
        <c:crossAx val="229526336"/>
        <c:crosses val="autoZero"/>
        <c:auto val="1"/>
        <c:lblAlgn val="ctr"/>
        <c:lblOffset val="100"/>
        <c:noMultiLvlLbl val="0"/>
      </c:catAx>
      <c:valAx>
        <c:axId val="229526336"/>
        <c:scaling>
          <c:orientation val="minMax"/>
        </c:scaling>
        <c:delete val="0"/>
        <c:axPos val="l"/>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lt-LT"/>
          </a:p>
        </c:txPr>
        <c:crossAx val="230184960"/>
        <c:crosses val="autoZero"/>
        <c:crossBetween val="between"/>
      </c:valAx>
      <c:spPr>
        <a:noFill/>
        <a:ln>
          <a:noFill/>
        </a:ln>
      </c:spPr>
    </c:plotArea>
    <c:plotVisOnly val="1"/>
    <c:dispBlanksAs val="gap"/>
    <c:showDLblsOverMax val="0"/>
  </c:chart>
  <c:spPr>
    <a:noFill/>
    <a:ln>
      <a:noFill/>
    </a:ln>
  </c:sp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plotArea>
      <c:layout/>
      <c:barChart>
        <c:barDir val="col"/>
        <c:grouping val="clustered"/>
        <c:varyColors val="0"/>
        <c:ser>
          <c:idx val="0"/>
          <c:order val="0"/>
          <c:tx>
            <c:strRef>
              <c:f>'Išlaidos MTEP ES'!$B$7</c:f>
              <c:strCache>
                <c:ptCount val="1"/>
                <c:pt idx="0">
                  <c:v>Išlaidų MTEP santykis su BVP, proc.</c:v>
                </c:pt>
              </c:strCache>
            </c:strRef>
          </c:tx>
          <c:spPr>
            <a:solidFill>
              <a:schemeClr val="accent6">
                <a:lumMod val="60000"/>
                <a:lumOff val="40000"/>
              </a:schemeClr>
            </a:solidFill>
          </c:spPr>
          <c:invertIfNegative val="0"/>
          <c:dPt>
            <c:idx val="8"/>
            <c:invertIfNegative val="0"/>
            <c:bubble3D val="0"/>
            <c:spPr>
              <a:solidFill>
                <a:schemeClr val="accent6">
                  <a:lumMod val="75000"/>
                </a:schemeClr>
              </a:solidFill>
            </c:spPr>
          </c:dPt>
          <c:dPt>
            <c:idx val="20"/>
            <c:invertIfNegative val="0"/>
            <c:bubble3D val="0"/>
            <c:spPr>
              <a:solidFill>
                <a:schemeClr val="accent6">
                  <a:lumMod val="50000"/>
                </a:schemeClr>
              </a:solidFill>
            </c:spPr>
          </c:dPt>
          <c:dPt>
            <c:idx val="25"/>
            <c:invertIfNegative val="0"/>
            <c:bubble3D val="0"/>
          </c:dPt>
          <c:cat>
            <c:strRef>
              <c:f>'Išlaidos MTEP ES'!$A$8:$A$35</c:f>
              <c:strCache>
                <c:ptCount val="28"/>
                <c:pt idx="0">
                  <c:v>Kipras</c:v>
                </c:pt>
                <c:pt idx="1">
                  <c:v>Rumunija</c:v>
                </c:pt>
                <c:pt idx="2">
                  <c:v>Bulgarija</c:v>
                </c:pt>
                <c:pt idx="3">
                  <c:v>Graikija</c:v>
                </c:pt>
                <c:pt idx="4">
                  <c:v>Latvija</c:v>
                </c:pt>
                <c:pt idx="5">
                  <c:v>Malta</c:v>
                </c:pt>
                <c:pt idx="6">
                  <c:v>Slovakija</c:v>
                </c:pt>
                <c:pt idx="7">
                  <c:v>Lenkija</c:v>
                </c:pt>
                <c:pt idx="8">
                  <c:v>Lietuva</c:v>
                </c:pt>
                <c:pt idx="9">
                  <c:v>Vengrija</c:v>
                </c:pt>
                <c:pt idx="10">
                  <c:v>Italija</c:v>
                </c:pt>
                <c:pt idx="11">
                  <c:v>Ispanija</c:v>
                </c:pt>
                <c:pt idx="12">
                  <c:v>Portugalija</c:v>
                </c:pt>
                <c:pt idx="13">
                  <c:v>Čekija</c:v>
                </c:pt>
                <c:pt idx="14">
                  <c:v>Estija</c:v>
                </c:pt>
                <c:pt idx="15">
                  <c:v>Liuksemburgas</c:v>
                </c:pt>
                <c:pt idx="16">
                  <c:v>Jungtinė Karalystė</c:v>
                </c:pt>
                <c:pt idx="17">
                  <c:v>Airija</c:v>
                </c:pt>
                <c:pt idx="18">
                  <c:v>Nyderlandai</c:v>
                </c:pt>
                <c:pt idx="19">
                  <c:v>Belgija</c:v>
                </c:pt>
                <c:pt idx="20">
                  <c:v>ES 27</c:v>
                </c:pt>
                <c:pt idx="21">
                  <c:v>Slovėnija</c:v>
                </c:pt>
                <c:pt idx="22">
                  <c:v>Prancūzija</c:v>
                </c:pt>
                <c:pt idx="23">
                  <c:v>Austrija</c:v>
                </c:pt>
                <c:pt idx="24">
                  <c:v>Vokietija</c:v>
                </c:pt>
                <c:pt idx="25">
                  <c:v>Danija</c:v>
                </c:pt>
                <c:pt idx="26">
                  <c:v>Švedija</c:v>
                </c:pt>
                <c:pt idx="27">
                  <c:v>Suomija</c:v>
                </c:pt>
              </c:strCache>
            </c:strRef>
          </c:cat>
          <c:val>
            <c:numRef>
              <c:f>'Išlaidos MTEP ES'!$B$8:$B$35</c:f>
              <c:numCache>
                <c:formatCode>General</c:formatCode>
                <c:ptCount val="28"/>
                <c:pt idx="0">
                  <c:v>0.43999999999999995</c:v>
                </c:pt>
                <c:pt idx="1">
                  <c:v>0.47</c:v>
                </c:pt>
                <c:pt idx="2">
                  <c:v>0.59</c:v>
                </c:pt>
                <c:pt idx="3">
                  <c:v>0.6</c:v>
                </c:pt>
                <c:pt idx="4">
                  <c:v>0.6</c:v>
                </c:pt>
                <c:pt idx="5">
                  <c:v>0.62</c:v>
                </c:pt>
                <c:pt idx="6">
                  <c:v>0.63</c:v>
                </c:pt>
                <c:pt idx="7">
                  <c:v>0.73</c:v>
                </c:pt>
                <c:pt idx="8">
                  <c:v>0.79</c:v>
                </c:pt>
                <c:pt idx="9">
                  <c:v>1.1299999999999999</c:v>
                </c:pt>
                <c:pt idx="10">
                  <c:v>1.21</c:v>
                </c:pt>
                <c:pt idx="11">
                  <c:v>1.3900000000000001</c:v>
                </c:pt>
                <c:pt idx="12">
                  <c:v>1.42</c:v>
                </c:pt>
                <c:pt idx="13">
                  <c:v>1.5499999999999998</c:v>
                </c:pt>
                <c:pt idx="14">
                  <c:v>1.6</c:v>
                </c:pt>
                <c:pt idx="15">
                  <c:v>1.64</c:v>
                </c:pt>
                <c:pt idx="16">
                  <c:v>1.73</c:v>
                </c:pt>
                <c:pt idx="17">
                  <c:v>1.79</c:v>
                </c:pt>
                <c:pt idx="18">
                  <c:v>1.8399999999999999</c:v>
                </c:pt>
                <c:pt idx="19">
                  <c:v>1.9700000000000002</c:v>
                </c:pt>
                <c:pt idx="20">
                  <c:v>1.99</c:v>
                </c:pt>
                <c:pt idx="21">
                  <c:v>2.1</c:v>
                </c:pt>
                <c:pt idx="22">
                  <c:v>2.2399999999999998</c:v>
                </c:pt>
                <c:pt idx="23">
                  <c:v>2.75</c:v>
                </c:pt>
                <c:pt idx="24">
                  <c:v>2.82</c:v>
                </c:pt>
                <c:pt idx="25">
                  <c:v>3.04</c:v>
                </c:pt>
                <c:pt idx="26">
                  <c:v>3.42</c:v>
                </c:pt>
                <c:pt idx="27">
                  <c:v>3.45</c:v>
                </c:pt>
              </c:numCache>
            </c:numRef>
          </c:val>
        </c:ser>
        <c:dLbls>
          <c:showLegendKey val="0"/>
          <c:showVal val="0"/>
          <c:showCatName val="0"/>
          <c:showSerName val="0"/>
          <c:showPercent val="0"/>
          <c:showBubbleSize val="0"/>
        </c:dLbls>
        <c:gapWidth val="150"/>
        <c:axId val="231828992"/>
        <c:axId val="231729408"/>
      </c:barChart>
      <c:catAx>
        <c:axId val="231828992"/>
        <c:scaling>
          <c:orientation val="minMax"/>
        </c:scaling>
        <c:delete val="0"/>
        <c:axPos val="b"/>
        <c:majorTickMark val="out"/>
        <c:minorTickMark val="none"/>
        <c:tickLblPos val="nextTo"/>
        <c:txPr>
          <a:bodyPr/>
          <a:lstStyle/>
          <a:p>
            <a:pPr>
              <a:defRPr>
                <a:latin typeface="Times New Roman" pitchFamily="18" charset="0"/>
                <a:cs typeface="Times New Roman" pitchFamily="18" charset="0"/>
              </a:defRPr>
            </a:pPr>
            <a:endParaRPr lang="lt-LT"/>
          </a:p>
        </c:txPr>
        <c:crossAx val="231729408"/>
        <c:crosses val="autoZero"/>
        <c:auto val="1"/>
        <c:lblAlgn val="ctr"/>
        <c:lblOffset val="100"/>
        <c:noMultiLvlLbl val="0"/>
      </c:catAx>
      <c:valAx>
        <c:axId val="231729408"/>
        <c:scaling>
          <c:orientation val="minMax"/>
        </c:scaling>
        <c:delete val="0"/>
        <c:axPos val="l"/>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lt-LT"/>
          </a:p>
        </c:txPr>
        <c:crossAx val="231828992"/>
        <c:crosses val="autoZero"/>
        <c:crossBetween val="between"/>
      </c:valAx>
      <c:spPr>
        <a:noFill/>
      </c:spPr>
    </c:plotArea>
    <c:plotVisOnly val="1"/>
    <c:dispBlanksAs val="gap"/>
    <c:showDLblsOverMax val="0"/>
  </c:chart>
  <c:spPr>
    <a:noFill/>
    <a:ln>
      <a:noFill/>
    </a:ln>
  </c:spPr>
  <c:externalData r:id="rId1">
    <c:autoUpdate val="0"/>
  </c:externalData>
  <c:userShapes r:id="rId2"/>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plotArea>
      <c:layout>
        <c:manualLayout>
          <c:layoutTarget val="inner"/>
          <c:xMode val="edge"/>
          <c:yMode val="edge"/>
          <c:x val="8.3354111986001747E-2"/>
          <c:y val="5.0925925925925923E-2"/>
          <c:w val="0.85606423496341444"/>
          <c:h val="0.76778541929947586"/>
        </c:manualLayout>
      </c:layout>
      <c:lineChart>
        <c:grouping val="standard"/>
        <c:varyColors val="0"/>
        <c:ser>
          <c:idx val="0"/>
          <c:order val="0"/>
          <c:tx>
            <c:strRef>
              <c:f>Sheet3!$A$2</c:f>
              <c:strCache>
                <c:ptCount val="1"/>
                <c:pt idx="0">
                  <c:v>Verslo įmonių sektoriaus išlaidos MTEP</c:v>
                </c:pt>
              </c:strCache>
            </c:strRef>
          </c:tx>
          <c:trendline>
            <c:spPr>
              <a:ln>
                <a:solidFill>
                  <a:schemeClr val="accent6">
                    <a:lumMod val="50000"/>
                  </a:schemeClr>
                </a:solidFill>
                <a:prstDash val="sysDash"/>
              </a:ln>
            </c:spPr>
            <c:trendlineType val="linear"/>
            <c:dispRSqr val="0"/>
            <c:dispEq val="0"/>
          </c:trendline>
          <c:cat>
            <c:strRef>
              <c:f>Sheet3!$B$1:$J$1</c:f>
              <c:strCache>
                <c:ptCount val="9"/>
                <c:pt idx="0">
                  <c:v>2002</c:v>
                </c:pt>
                <c:pt idx="1">
                  <c:v>2003</c:v>
                </c:pt>
                <c:pt idx="2">
                  <c:v>2004</c:v>
                </c:pt>
                <c:pt idx="3">
                  <c:v>2005</c:v>
                </c:pt>
                <c:pt idx="4">
                  <c:v>2006</c:v>
                </c:pt>
                <c:pt idx="5">
                  <c:v>2007</c:v>
                </c:pt>
                <c:pt idx="6">
                  <c:v>2008</c:v>
                </c:pt>
                <c:pt idx="7">
                  <c:v>2009</c:v>
                </c:pt>
                <c:pt idx="8">
                  <c:v>2010</c:v>
                </c:pt>
              </c:strCache>
            </c:strRef>
          </c:cat>
          <c:val>
            <c:numRef>
              <c:f>Sheet3!$B$2:$J$2</c:f>
              <c:numCache>
                <c:formatCode>General</c:formatCode>
                <c:ptCount val="9"/>
                <c:pt idx="0">
                  <c:v>58.1</c:v>
                </c:pt>
                <c:pt idx="1">
                  <c:v>80.2</c:v>
                </c:pt>
                <c:pt idx="2">
                  <c:v>101.3</c:v>
                </c:pt>
                <c:pt idx="3">
                  <c:v>110.5</c:v>
                </c:pt>
                <c:pt idx="4">
                  <c:v>183.8</c:v>
                </c:pt>
                <c:pt idx="5">
                  <c:v>229.1</c:v>
                </c:pt>
                <c:pt idx="6">
                  <c:v>211.4</c:v>
                </c:pt>
                <c:pt idx="7">
                  <c:v>181.6</c:v>
                </c:pt>
                <c:pt idx="8">
                  <c:v>220.3</c:v>
                </c:pt>
              </c:numCache>
            </c:numRef>
          </c:val>
          <c:smooth val="0"/>
        </c:ser>
        <c:dLbls>
          <c:showLegendKey val="0"/>
          <c:showVal val="0"/>
          <c:showCatName val="0"/>
          <c:showSerName val="0"/>
          <c:showPercent val="0"/>
          <c:showBubbleSize val="0"/>
        </c:dLbls>
        <c:marker val="1"/>
        <c:smooth val="0"/>
        <c:axId val="231825408"/>
        <c:axId val="231731136"/>
      </c:lineChart>
      <c:catAx>
        <c:axId val="231825408"/>
        <c:scaling>
          <c:orientation val="minMax"/>
        </c:scaling>
        <c:delete val="0"/>
        <c:axPos val="b"/>
        <c:majorTickMark val="out"/>
        <c:minorTickMark val="none"/>
        <c:tickLblPos val="nextTo"/>
        <c:txPr>
          <a:bodyPr/>
          <a:lstStyle/>
          <a:p>
            <a:pPr>
              <a:defRPr>
                <a:latin typeface="Times New Roman" pitchFamily="18" charset="0"/>
                <a:cs typeface="Times New Roman" pitchFamily="18" charset="0"/>
              </a:defRPr>
            </a:pPr>
            <a:endParaRPr lang="lt-LT"/>
          </a:p>
        </c:txPr>
        <c:crossAx val="231731136"/>
        <c:crosses val="autoZero"/>
        <c:auto val="1"/>
        <c:lblAlgn val="ctr"/>
        <c:lblOffset val="100"/>
        <c:noMultiLvlLbl val="0"/>
      </c:catAx>
      <c:valAx>
        <c:axId val="231731136"/>
        <c:scaling>
          <c:orientation val="minMax"/>
        </c:scaling>
        <c:delete val="0"/>
        <c:axPos val="l"/>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lt-LT"/>
          </a:p>
        </c:txPr>
        <c:crossAx val="231825408"/>
        <c:crosses val="autoZero"/>
        <c:crossBetween val="between"/>
      </c:valAx>
      <c:spPr>
        <a:noFill/>
        <a:ln>
          <a:noFill/>
        </a:ln>
      </c:spPr>
    </c:plotArea>
    <c:plotVisOnly val="1"/>
    <c:dispBlanksAs val="gap"/>
    <c:showDLblsOverMax val="0"/>
  </c:chart>
  <c:spPr>
    <a:noFill/>
    <a:ln>
      <a:noFill/>
    </a:ln>
  </c:sp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plotArea>
      <c:layout/>
      <c:barChart>
        <c:barDir val="col"/>
        <c:grouping val="clustered"/>
        <c:varyColors val="0"/>
        <c:ser>
          <c:idx val="0"/>
          <c:order val="0"/>
          <c:tx>
            <c:strRef>
              <c:f>Sheet1!$A$2</c:f>
              <c:strCache>
                <c:ptCount val="1"/>
                <c:pt idx="0">
                  <c:v>Inovacinės įmonės</c:v>
                </c:pt>
              </c:strCache>
            </c:strRef>
          </c:tx>
          <c:spPr>
            <a:solidFill>
              <a:schemeClr val="accent6"/>
            </a:solidFill>
          </c:spPr>
          <c:invertIfNegative val="0"/>
          <c:dLbls>
            <c:txPr>
              <a:bodyPr/>
              <a:lstStyle/>
              <a:p>
                <a:pPr>
                  <a:defRPr sz="900">
                    <a:latin typeface="Times New Roman" pitchFamily="18" charset="0"/>
                    <a:cs typeface="Times New Roman" pitchFamily="18" charset="0"/>
                  </a:defRPr>
                </a:pPr>
                <a:endParaRPr lang="lt-LT"/>
              </a:p>
            </c:txPr>
            <c:showLegendKey val="0"/>
            <c:showVal val="1"/>
            <c:showCatName val="0"/>
            <c:showSerName val="0"/>
            <c:showPercent val="0"/>
            <c:showBubbleSize val="0"/>
            <c:showLeaderLines val="0"/>
          </c:dLbls>
          <c:trendline>
            <c:spPr>
              <a:ln w="19050">
                <a:solidFill>
                  <a:schemeClr val="accent6">
                    <a:lumMod val="60000"/>
                    <a:lumOff val="40000"/>
                  </a:schemeClr>
                </a:solidFill>
                <a:headEnd type="oval"/>
                <a:tailEnd type="stealth"/>
              </a:ln>
            </c:spPr>
            <c:trendlineType val="linear"/>
            <c:dispRSqr val="0"/>
            <c:dispEq val="0"/>
          </c:trendline>
          <c:cat>
            <c:strRef>
              <c:f>Sheet1!$B$1:$E$1</c:f>
              <c:strCache>
                <c:ptCount val="4"/>
                <c:pt idx="0">
                  <c:v>2002-2004</c:v>
                </c:pt>
                <c:pt idx="1">
                  <c:v>2004-2006</c:v>
                </c:pt>
                <c:pt idx="2">
                  <c:v>2006-2008</c:v>
                </c:pt>
                <c:pt idx="3">
                  <c:v>2008-2010</c:v>
                </c:pt>
              </c:strCache>
            </c:strRef>
          </c:cat>
          <c:val>
            <c:numRef>
              <c:f>Sheet1!$B$2:$E$2</c:f>
              <c:numCache>
                <c:formatCode>General</c:formatCode>
                <c:ptCount val="4"/>
                <c:pt idx="0">
                  <c:v>23.4</c:v>
                </c:pt>
                <c:pt idx="1">
                  <c:v>18.399999999999999</c:v>
                </c:pt>
                <c:pt idx="2">
                  <c:v>28.8</c:v>
                </c:pt>
                <c:pt idx="3">
                  <c:v>32.5</c:v>
                </c:pt>
              </c:numCache>
            </c:numRef>
          </c:val>
        </c:ser>
        <c:dLbls>
          <c:showLegendKey val="0"/>
          <c:showVal val="0"/>
          <c:showCatName val="0"/>
          <c:showSerName val="0"/>
          <c:showPercent val="0"/>
          <c:showBubbleSize val="0"/>
        </c:dLbls>
        <c:gapWidth val="150"/>
        <c:axId val="231825920"/>
        <c:axId val="231732864"/>
      </c:barChart>
      <c:catAx>
        <c:axId val="231825920"/>
        <c:scaling>
          <c:orientation val="minMax"/>
        </c:scaling>
        <c:delete val="0"/>
        <c:axPos val="b"/>
        <c:majorTickMark val="out"/>
        <c:minorTickMark val="none"/>
        <c:tickLblPos val="nextTo"/>
        <c:txPr>
          <a:bodyPr/>
          <a:lstStyle/>
          <a:p>
            <a:pPr>
              <a:defRPr sz="1000">
                <a:solidFill>
                  <a:sysClr val="windowText" lastClr="000000"/>
                </a:solidFill>
                <a:latin typeface="Times New Roman" pitchFamily="18" charset="0"/>
                <a:cs typeface="Times New Roman" pitchFamily="18" charset="0"/>
              </a:defRPr>
            </a:pPr>
            <a:endParaRPr lang="lt-LT"/>
          </a:p>
        </c:txPr>
        <c:crossAx val="231732864"/>
        <c:crosses val="autoZero"/>
        <c:auto val="1"/>
        <c:lblAlgn val="ctr"/>
        <c:lblOffset val="100"/>
        <c:noMultiLvlLbl val="0"/>
      </c:catAx>
      <c:valAx>
        <c:axId val="231732864"/>
        <c:scaling>
          <c:orientation val="minMax"/>
        </c:scaling>
        <c:delete val="0"/>
        <c:axPos val="l"/>
        <c:majorGridlines/>
        <c:numFmt formatCode="General" sourceLinked="1"/>
        <c:majorTickMark val="out"/>
        <c:minorTickMark val="none"/>
        <c:tickLblPos val="nextTo"/>
        <c:txPr>
          <a:bodyPr/>
          <a:lstStyle/>
          <a:p>
            <a:pPr>
              <a:defRPr sz="1000">
                <a:solidFill>
                  <a:sysClr val="windowText" lastClr="000000"/>
                </a:solidFill>
                <a:latin typeface="Times New Roman" pitchFamily="18" charset="0"/>
                <a:cs typeface="Times New Roman" pitchFamily="18" charset="0"/>
              </a:defRPr>
            </a:pPr>
            <a:endParaRPr lang="lt-LT"/>
          </a:p>
        </c:txPr>
        <c:crossAx val="231825920"/>
        <c:crosses val="autoZero"/>
        <c:crossBetween val="between"/>
      </c:valAx>
      <c:spPr>
        <a:noFill/>
        <a:ln>
          <a:noFill/>
        </a:ln>
      </c:spPr>
    </c:plotArea>
    <c:plotVisOnly val="1"/>
    <c:dispBlanksAs val="gap"/>
    <c:showDLblsOverMax val="0"/>
  </c:chart>
  <c:spPr>
    <a:noFill/>
    <a:ln>
      <a:noFill/>
    </a:ln>
  </c:sp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259958248803321"/>
          <c:y val="5.0925925925925923E-2"/>
          <c:w val="0.82461508718453691"/>
          <c:h val="0.76276545523342765"/>
        </c:manualLayout>
      </c:layout>
      <c:scatterChart>
        <c:scatterStyle val="lineMarker"/>
        <c:varyColors val="0"/>
        <c:ser>
          <c:idx val="0"/>
          <c:order val="0"/>
          <c:tx>
            <c:strRef>
              <c:f>difuzija!$A$2</c:f>
              <c:strCache>
                <c:ptCount val="1"/>
                <c:pt idx="0">
                  <c:v>ES 27</c:v>
                </c:pt>
              </c:strCache>
            </c:strRef>
          </c:tx>
          <c:spPr>
            <a:ln w="28575">
              <a:noFill/>
            </a:ln>
          </c:spPr>
          <c:marker>
            <c:symbol val="diamond"/>
            <c:size val="9"/>
            <c:spPr>
              <a:solidFill>
                <a:schemeClr val="accent6">
                  <a:lumMod val="50000"/>
                </a:schemeClr>
              </a:solidFill>
              <a:ln>
                <a:noFill/>
              </a:ln>
            </c:spPr>
          </c:marker>
          <c:dLbls>
            <c:dLbl>
              <c:idx val="0"/>
              <c:layout>
                <c:manualLayout>
                  <c:x val="-2.4485964650725816E-2"/>
                  <c:y val="-2.2450912305069765E-2"/>
                </c:manualLayout>
              </c:layout>
              <c:showLegendKey val="0"/>
              <c:showVal val="0"/>
              <c:showCatName val="0"/>
              <c:showSerName val="1"/>
              <c:showPercent val="0"/>
              <c:showBubbleSize val="0"/>
            </c:dLbl>
            <c:txPr>
              <a:bodyPr/>
              <a:lstStyle/>
              <a:p>
                <a:pPr>
                  <a:defRPr sz="900">
                    <a:latin typeface="Times New Roman" pitchFamily="18" charset="0"/>
                    <a:cs typeface="Times New Roman" pitchFamily="18" charset="0"/>
                  </a:defRPr>
                </a:pPr>
                <a:endParaRPr lang="lt-LT"/>
              </a:p>
            </c:txPr>
            <c:showLegendKey val="0"/>
            <c:showVal val="0"/>
            <c:showCatName val="0"/>
            <c:showSerName val="1"/>
            <c:showPercent val="0"/>
            <c:showBubbleSize val="0"/>
            <c:showLeaderLines val="0"/>
          </c:dLbls>
          <c:xVal>
            <c:numRef>
              <c:f>difuzija!$B$2</c:f>
              <c:numCache>
                <c:formatCode>General</c:formatCode>
                <c:ptCount val="1"/>
                <c:pt idx="0">
                  <c:v>1.99</c:v>
                </c:pt>
              </c:numCache>
            </c:numRef>
          </c:xVal>
          <c:yVal>
            <c:numRef>
              <c:f>difuzija!$D$2</c:f>
              <c:numCache>
                <c:formatCode>General</c:formatCode>
                <c:ptCount val="1"/>
                <c:pt idx="0">
                  <c:v>13.26</c:v>
                </c:pt>
              </c:numCache>
            </c:numRef>
          </c:yVal>
          <c:smooth val="0"/>
        </c:ser>
        <c:ser>
          <c:idx val="1"/>
          <c:order val="1"/>
          <c:tx>
            <c:strRef>
              <c:f>difuzija!$A$3</c:f>
              <c:strCache>
                <c:ptCount val="1"/>
                <c:pt idx="0">
                  <c:v>BE</c:v>
                </c:pt>
              </c:strCache>
            </c:strRef>
          </c:tx>
          <c:spPr>
            <a:ln w="28575">
              <a:noFill/>
            </a:ln>
          </c:spPr>
          <c:marker>
            <c:symbol val="diamond"/>
            <c:size val="9"/>
            <c:spPr>
              <a:solidFill>
                <a:srgbClr val="C0E43C"/>
              </a:solidFill>
              <a:ln>
                <a:noFill/>
              </a:ln>
            </c:spPr>
          </c:marker>
          <c:dLbls>
            <c:dLbl>
              <c:idx val="0"/>
              <c:layout>
                <c:manualLayout>
                  <c:x val="-1.7842869366635497E-2"/>
                  <c:y val="-1.3782830921878417E-2"/>
                </c:manualLayout>
              </c:layout>
              <c:showLegendKey val="0"/>
              <c:showVal val="0"/>
              <c:showCatName val="0"/>
              <c:showSerName val="1"/>
              <c:showPercent val="0"/>
              <c:showBubbleSize val="0"/>
            </c:dLbl>
            <c:txPr>
              <a:bodyPr/>
              <a:lstStyle/>
              <a:p>
                <a:pPr>
                  <a:defRPr sz="900">
                    <a:latin typeface="Times New Roman" pitchFamily="18" charset="0"/>
                    <a:cs typeface="Times New Roman" pitchFamily="18" charset="0"/>
                  </a:defRPr>
                </a:pPr>
                <a:endParaRPr lang="lt-LT"/>
              </a:p>
            </c:txPr>
            <c:showLegendKey val="0"/>
            <c:showVal val="0"/>
            <c:showCatName val="0"/>
            <c:showSerName val="1"/>
            <c:showPercent val="0"/>
            <c:showBubbleSize val="0"/>
            <c:showLeaderLines val="0"/>
          </c:dLbls>
          <c:xVal>
            <c:numRef>
              <c:f>difuzija!$B$3</c:f>
              <c:numCache>
                <c:formatCode>General</c:formatCode>
                <c:ptCount val="1"/>
                <c:pt idx="0">
                  <c:v>1.9700000000000002</c:v>
                </c:pt>
              </c:numCache>
            </c:numRef>
          </c:xVal>
          <c:yVal>
            <c:numRef>
              <c:f>difuzija!$D$3</c:f>
              <c:numCache>
                <c:formatCode>General</c:formatCode>
                <c:ptCount val="1"/>
                <c:pt idx="0">
                  <c:v>9.5</c:v>
                </c:pt>
              </c:numCache>
            </c:numRef>
          </c:yVal>
          <c:smooth val="0"/>
        </c:ser>
        <c:ser>
          <c:idx val="2"/>
          <c:order val="2"/>
          <c:tx>
            <c:strRef>
              <c:f>difuzija!$A$4</c:f>
              <c:strCache>
                <c:ptCount val="1"/>
                <c:pt idx="0">
                  <c:v>BG</c:v>
                </c:pt>
              </c:strCache>
            </c:strRef>
          </c:tx>
          <c:spPr>
            <a:ln w="28575">
              <a:noFill/>
            </a:ln>
          </c:spPr>
          <c:marker>
            <c:symbol val="diamond"/>
            <c:size val="9"/>
            <c:spPr>
              <a:solidFill>
                <a:schemeClr val="accent6">
                  <a:lumMod val="75000"/>
                </a:schemeClr>
              </a:solidFill>
              <a:ln>
                <a:noFill/>
              </a:ln>
            </c:spPr>
          </c:marker>
          <c:dLbls>
            <c:dLbl>
              <c:idx val="0"/>
              <c:layout>
                <c:manualLayout>
                  <c:x val="-1.1807190767820689E-2"/>
                  <c:y val="7.2082576216433896E-3"/>
                </c:manualLayout>
              </c:layout>
              <c:showLegendKey val="0"/>
              <c:showVal val="0"/>
              <c:showCatName val="0"/>
              <c:showSerName val="1"/>
              <c:showPercent val="0"/>
              <c:showBubbleSize val="0"/>
            </c:dLbl>
            <c:txPr>
              <a:bodyPr/>
              <a:lstStyle/>
              <a:p>
                <a:pPr>
                  <a:defRPr sz="900">
                    <a:latin typeface="Times New Roman" pitchFamily="18" charset="0"/>
                    <a:cs typeface="Times New Roman" pitchFamily="18" charset="0"/>
                  </a:defRPr>
                </a:pPr>
                <a:endParaRPr lang="lt-LT"/>
              </a:p>
            </c:txPr>
            <c:showLegendKey val="0"/>
            <c:showVal val="0"/>
            <c:showCatName val="0"/>
            <c:showSerName val="1"/>
            <c:showPercent val="0"/>
            <c:showBubbleSize val="0"/>
            <c:showLeaderLines val="0"/>
          </c:dLbls>
          <c:xVal>
            <c:numRef>
              <c:f>difuzija!$B$4</c:f>
              <c:numCache>
                <c:formatCode>General</c:formatCode>
                <c:ptCount val="1"/>
                <c:pt idx="0">
                  <c:v>0.59</c:v>
                </c:pt>
              </c:numCache>
            </c:numRef>
          </c:xVal>
          <c:yVal>
            <c:numRef>
              <c:f>difuzija!$D$4</c:f>
              <c:numCache>
                <c:formatCode>General</c:formatCode>
                <c:ptCount val="1"/>
                <c:pt idx="0">
                  <c:v>14.2</c:v>
                </c:pt>
              </c:numCache>
            </c:numRef>
          </c:yVal>
          <c:smooth val="0"/>
        </c:ser>
        <c:ser>
          <c:idx val="3"/>
          <c:order val="3"/>
          <c:tx>
            <c:strRef>
              <c:f>difuzija!$A$5</c:f>
              <c:strCache>
                <c:ptCount val="1"/>
                <c:pt idx="0">
                  <c:v>CZ</c:v>
                </c:pt>
              </c:strCache>
            </c:strRef>
          </c:tx>
          <c:spPr>
            <a:ln w="28575">
              <a:noFill/>
            </a:ln>
          </c:spPr>
          <c:marker>
            <c:symbol val="diamond"/>
            <c:size val="9"/>
            <c:spPr>
              <a:solidFill>
                <a:srgbClr val="9BE5EF"/>
              </a:solidFill>
              <a:ln>
                <a:noFill/>
              </a:ln>
            </c:spPr>
          </c:marker>
          <c:dLbls>
            <c:dLbl>
              <c:idx val="0"/>
              <c:layout>
                <c:manualLayout>
                  <c:x val="-1.0360902997658714E-2"/>
                  <c:y val="-4.6295128440753249E-3"/>
                </c:manualLayout>
              </c:layout>
              <c:showLegendKey val="0"/>
              <c:showVal val="0"/>
              <c:showCatName val="0"/>
              <c:showSerName val="1"/>
              <c:showPercent val="0"/>
              <c:showBubbleSize val="0"/>
            </c:dLbl>
            <c:txPr>
              <a:bodyPr/>
              <a:lstStyle/>
              <a:p>
                <a:pPr>
                  <a:defRPr sz="900">
                    <a:latin typeface="Times New Roman" pitchFamily="18" charset="0"/>
                    <a:cs typeface="Times New Roman" pitchFamily="18" charset="0"/>
                  </a:defRPr>
                </a:pPr>
                <a:endParaRPr lang="lt-LT"/>
              </a:p>
            </c:txPr>
            <c:showLegendKey val="0"/>
            <c:showVal val="0"/>
            <c:showCatName val="0"/>
            <c:showSerName val="1"/>
            <c:showPercent val="0"/>
            <c:showBubbleSize val="0"/>
            <c:showLeaderLines val="0"/>
          </c:dLbls>
          <c:xVal>
            <c:numRef>
              <c:f>difuzija!$B$5</c:f>
              <c:numCache>
                <c:formatCode>General</c:formatCode>
                <c:ptCount val="1"/>
                <c:pt idx="0">
                  <c:v>1.5499999999999998</c:v>
                </c:pt>
              </c:numCache>
            </c:numRef>
          </c:xVal>
          <c:yVal>
            <c:numRef>
              <c:f>difuzija!$D$5</c:f>
              <c:numCache>
                <c:formatCode>General</c:formatCode>
                <c:ptCount val="1"/>
                <c:pt idx="0">
                  <c:v>18.670000000000002</c:v>
                </c:pt>
              </c:numCache>
            </c:numRef>
          </c:yVal>
          <c:smooth val="0"/>
        </c:ser>
        <c:ser>
          <c:idx val="4"/>
          <c:order val="4"/>
          <c:tx>
            <c:strRef>
              <c:f>difuzija!$A$6</c:f>
              <c:strCache>
                <c:ptCount val="1"/>
                <c:pt idx="0">
                  <c:v>DK</c:v>
                </c:pt>
              </c:strCache>
            </c:strRef>
          </c:tx>
          <c:spPr>
            <a:ln w="28575">
              <a:noFill/>
            </a:ln>
          </c:spPr>
          <c:marker>
            <c:symbol val="diamond"/>
            <c:size val="9"/>
            <c:spPr>
              <a:solidFill>
                <a:schemeClr val="tx2">
                  <a:lumMod val="75000"/>
                </a:schemeClr>
              </a:solidFill>
              <a:ln>
                <a:noFill/>
              </a:ln>
            </c:spPr>
          </c:marker>
          <c:dLbls>
            <c:dLbl>
              <c:idx val="0"/>
              <c:layout>
                <c:manualLayout>
                  <c:x val="-1.1111111111111112E-2"/>
                  <c:y val="0"/>
                </c:manualLayout>
              </c:layout>
              <c:showLegendKey val="0"/>
              <c:showVal val="0"/>
              <c:showCatName val="0"/>
              <c:showSerName val="1"/>
              <c:showPercent val="0"/>
              <c:showBubbleSize val="0"/>
            </c:dLbl>
            <c:txPr>
              <a:bodyPr/>
              <a:lstStyle/>
              <a:p>
                <a:pPr>
                  <a:defRPr sz="900">
                    <a:latin typeface="Times New Roman" pitchFamily="18" charset="0"/>
                    <a:cs typeface="Times New Roman" pitchFamily="18" charset="0"/>
                  </a:defRPr>
                </a:pPr>
                <a:endParaRPr lang="lt-LT"/>
              </a:p>
            </c:txPr>
            <c:showLegendKey val="0"/>
            <c:showVal val="1"/>
            <c:showCatName val="0"/>
            <c:showSerName val="0"/>
            <c:showPercent val="0"/>
            <c:showBubbleSize val="0"/>
            <c:showLeaderLines val="0"/>
          </c:dLbls>
          <c:xVal>
            <c:numRef>
              <c:f>difuzija!$B$6</c:f>
              <c:numCache>
                <c:formatCode>General</c:formatCode>
                <c:ptCount val="1"/>
                <c:pt idx="0">
                  <c:v>3.04</c:v>
                </c:pt>
              </c:numCache>
            </c:numRef>
          </c:xVal>
          <c:yVal>
            <c:numRef>
              <c:f>difuzija!$D$6</c:f>
              <c:numCache>
                <c:formatCode>General</c:formatCode>
                <c:ptCount val="1"/>
                <c:pt idx="0">
                  <c:v>11.44</c:v>
                </c:pt>
              </c:numCache>
            </c:numRef>
          </c:yVal>
          <c:smooth val="0"/>
        </c:ser>
        <c:ser>
          <c:idx val="5"/>
          <c:order val="5"/>
          <c:tx>
            <c:strRef>
              <c:f>difuzija!$A$7</c:f>
              <c:strCache>
                <c:ptCount val="1"/>
                <c:pt idx="0">
                  <c:v>DE</c:v>
                </c:pt>
              </c:strCache>
            </c:strRef>
          </c:tx>
          <c:spPr>
            <a:ln w="28575">
              <a:noFill/>
            </a:ln>
          </c:spPr>
          <c:marker>
            <c:symbol val="diamond"/>
            <c:size val="9"/>
            <c:spPr>
              <a:solidFill>
                <a:schemeClr val="tx2">
                  <a:lumMod val="75000"/>
                </a:schemeClr>
              </a:solidFill>
              <a:ln>
                <a:noFill/>
              </a:ln>
            </c:spPr>
          </c:marker>
          <c:dLbls>
            <c:dLbl>
              <c:idx val="0"/>
              <c:layout>
                <c:manualLayout>
                  <c:x val="-9.8041131996197753E-3"/>
                  <c:y val="-3.051945019820857E-7"/>
                </c:manualLayout>
              </c:layout>
              <c:showLegendKey val="0"/>
              <c:showVal val="0"/>
              <c:showCatName val="0"/>
              <c:showSerName val="1"/>
              <c:showPercent val="0"/>
              <c:showBubbleSize val="0"/>
            </c:dLbl>
            <c:txPr>
              <a:bodyPr/>
              <a:lstStyle/>
              <a:p>
                <a:pPr>
                  <a:defRPr sz="900">
                    <a:latin typeface="Times New Roman" pitchFamily="18" charset="0"/>
                    <a:cs typeface="Times New Roman" pitchFamily="18" charset="0"/>
                  </a:defRPr>
                </a:pPr>
                <a:endParaRPr lang="lt-LT"/>
              </a:p>
            </c:txPr>
            <c:showLegendKey val="0"/>
            <c:showVal val="0"/>
            <c:showCatName val="0"/>
            <c:showSerName val="1"/>
            <c:showPercent val="0"/>
            <c:showBubbleSize val="0"/>
            <c:showLeaderLines val="0"/>
          </c:dLbls>
          <c:xVal>
            <c:numRef>
              <c:f>difuzija!$B$7</c:f>
              <c:numCache>
                <c:formatCode>General</c:formatCode>
                <c:ptCount val="1"/>
                <c:pt idx="0">
                  <c:v>2.82</c:v>
                </c:pt>
              </c:numCache>
            </c:numRef>
          </c:xVal>
          <c:yVal>
            <c:numRef>
              <c:f>difuzija!$D$7</c:f>
              <c:numCache>
                <c:formatCode>General</c:formatCode>
                <c:ptCount val="1"/>
                <c:pt idx="0">
                  <c:v>17.38</c:v>
                </c:pt>
              </c:numCache>
            </c:numRef>
          </c:yVal>
          <c:smooth val="0"/>
        </c:ser>
        <c:ser>
          <c:idx val="6"/>
          <c:order val="6"/>
          <c:tx>
            <c:strRef>
              <c:f>difuzija!$A$8</c:f>
              <c:strCache>
                <c:ptCount val="1"/>
                <c:pt idx="0">
                  <c:v>EE</c:v>
                </c:pt>
              </c:strCache>
            </c:strRef>
          </c:tx>
          <c:spPr>
            <a:ln w="28575">
              <a:noFill/>
            </a:ln>
          </c:spPr>
          <c:marker>
            <c:symbol val="diamond"/>
            <c:size val="9"/>
            <c:spPr>
              <a:solidFill>
                <a:srgbClr val="C0E43C"/>
              </a:solidFill>
              <a:ln>
                <a:noFill/>
              </a:ln>
            </c:spPr>
          </c:marker>
          <c:dLbls>
            <c:dLbl>
              <c:idx val="0"/>
              <c:layout>
                <c:manualLayout>
                  <c:x val="-1.388888888888894E-2"/>
                  <c:y val="-4.6296296296296294E-3"/>
                </c:manualLayout>
              </c:layout>
              <c:showLegendKey val="0"/>
              <c:showVal val="0"/>
              <c:showCatName val="0"/>
              <c:showSerName val="1"/>
              <c:showPercent val="0"/>
              <c:showBubbleSize val="0"/>
            </c:dLbl>
            <c:txPr>
              <a:bodyPr/>
              <a:lstStyle/>
              <a:p>
                <a:pPr>
                  <a:defRPr sz="900">
                    <a:latin typeface="Times New Roman" pitchFamily="18" charset="0"/>
                    <a:cs typeface="Times New Roman" pitchFamily="18" charset="0"/>
                  </a:defRPr>
                </a:pPr>
                <a:endParaRPr lang="lt-LT"/>
              </a:p>
            </c:txPr>
            <c:showLegendKey val="0"/>
            <c:showVal val="0"/>
            <c:showCatName val="0"/>
            <c:showSerName val="1"/>
            <c:showPercent val="0"/>
            <c:showBubbleSize val="0"/>
            <c:showLeaderLines val="0"/>
          </c:dLbls>
          <c:xVal>
            <c:numRef>
              <c:f>difuzija!$B$8</c:f>
              <c:numCache>
                <c:formatCode>General</c:formatCode>
                <c:ptCount val="1"/>
                <c:pt idx="0">
                  <c:v>1.6</c:v>
                </c:pt>
              </c:numCache>
            </c:numRef>
          </c:xVal>
          <c:yVal>
            <c:numRef>
              <c:f>difuzija!$D$8</c:f>
              <c:numCache>
                <c:formatCode>General</c:formatCode>
                <c:ptCount val="1"/>
                <c:pt idx="0">
                  <c:v>10.23</c:v>
                </c:pt>
              </c:numCache>
            </c:numRef>
          </c:yVal>
          <c:smooth val="0"/>
        </c:ser>
        <c:ser>
          <c:idx val="7"/>
          <c:order val="7"/>
          <c:tx>
            <c:strRef>
              <c:f>difuzija!$A$9</c:f>
              <c:strCache>
                <c:ptCount val="1"/>
                <c:pt idx="0">
                  <c:v>IE</c:v>
                </c:pt>
              </c:strCache>
            </c:strRef>
          </c:tx>
          <c:spPr>
            <a:ln w="28575">
              <a:noFill/>
            </a:ln>
          </c:spPr>
          <c:marker>
            <c:symbol val="diamond"/>
            <c:size val="9"/>
            <c:spPr>
              <a:solidFill>
                <a:srgbClr val="C0E43C"/>
              </a:solidFill>
              <a:ln>
                <a:noFill/>
              </a:ln>
            </c:spPr>
          </c:marker>
          <c:dLbls>
            <c:dLbl>
              <c:idx val="0"/>
              <c:layout>
                <c:manualLayout>
                  <c:x val="-1.2214198514742227E-2"/>
                  <c:y val="-9.2592959956344974E-3"/>
                </c:manualLayout>
              </c:layout>
              <c:showLegendKey val="0"/>
              <c:showVal val="0"/>
              <c:showCatName val="0"/>
              <c:showSerName val="1"/>
              <c:showPercent val="0"/>
              <c:showBubbleSize val="0"/>
            </c:dLbl>
            <c:txPr>
              <a:bodyPr/>
              <a:lstStyle/>
              <a:p>
                <a:pPr>
                  <a:defRPr sz="900">
                    <a:latin typeface="Times New Roman" pitchFamily="18" charset="0"/>
                    <a:cs typeface="Times New Roman" pitchFamily="18" charset="0"/>
                  </a:defRPr>
                </a:pPr>
                <a:endParaRPr lang="lt-LT"/>
              </a:p>
            </c:txPr>
            <c:showLegendKey val="0"/>
            <c:showVal val="0"/>
            <c:showCatName val="0"/>
            <c:showSerName val="1"/>
            <c:showPercent val="0"/>
            <c:showBubbleSize val="0"/>
            <c:showLeaderLines val="0"/>
          </c:dLbls>
          <c:xVal>
            <c:numRef>
              <c:f>difuzija!$B$9</c:f>
              <c:numCache>
                <c:formatCode>General</c:formatCode>
                <c:ptCount val="1"/>
                <c:pt idx="0">
                  <c:v>1.79</c:v>
                </c:pt>
              </c:numCache>
            </c:numRef>
          </c:xVal>
          <c:yVal>
            <c:numRef>
              <c:f>difuzija!$D$9</c:f>
              <c:numCache>
                <c:formatCode>General</c:formatCode>
                <c:ptCount val="1"/>
                <c:pt idx="0">
                  <c:v>11.01</c:v>
                </c:pt>
              </c:numCache>
            </c:numRef>
          </c:yVal>
          <c:smooth val="0"/>
        </c:ser>
        <c:ser>
          <c:idx val="8"/>
          <c:order val="8"/>
          <c:tx>
            <c:strRef>
              <c:f>difuzija!$A$10</c:f>
              <c:strCache>
                <c:ptCount val="1"/>
                <c:pt idx="0">
                  <c:v>GR</c:v>
                </c:pt>
              </c:strCache>
            </c:strRef>
          </c:tx>
          <c:spPr>
            <a:ln w="28575">
              <a:noFill/>
            </a:ln>
          </c:spPr>
          <c:marker>
            <c:symbol val="diamond"/>
            <c:size val="9"/>
            <c:spPr>
              <a:solidFill>
                <a:srgbClr val="9BE5EF"/>
              </a:solidFill>
              <a:ln>
                <a:noFill/>
              </a:ln>
            </c:spPr>
          </c:marker>
          <c:dLbls>
            <c:dLbl>
              <c:idx val="0"/>
              <c:layout>
                <c:manualLayout>
                  <c:x val="-1.0736044239893163E-2"/>
                  <c:y val="-6.1022120518688027E-3"/>
                </c:manualLayout>
              </c:layout>
              <c:showLegendKey val="0"/>
              <c:showVal val="0"/>
              <c:showCatName val="0"/>
              <c:showSerName val="1"/>
              <c:showPercent val="0"/>
              <c:showBubbleSize val="0"/>
            </c:dLbl>
            <c:txPr>
              <a:bodyPr/>
              <a:lstStyle/>
              <a:p>
                <a:pPr>
                  <a:defRPr sz="900">
                    <a:latin typeface="Times New Roman" pitchFamily="18" charset="0"/>
                    <a:cs typeface="Times New Roman" pitchFamily="18" charset="0"/>
                  </a:defRPr>
                </a:pPr>
                <a:endParaRPr lang="lt-LT"/>
              </a:p>
            </c:txPr>
            <c:showLegendKey val="0"/>
            <c:showVal val="0"/>
            <c:showCatName val="0"/>
            <c:showSerName val="1"/>
            <c:showPercent val="0"/>
            <c:showBubbleSize val="0"/>
            <c:showLeaderLines val="0"/>
          </c:dLbls>
          <c:xVal>
            <c:numRef>
              <c:f>difuzija!$B$10</c:f>
              <c:numCache>
                <c:formatCode>General</c:formatCode>
                <c:ptCount val="1"/>
                <c:pt idx="0">
                  <c:v>0.6</c:v>
                </c:pt>
              </c:numCache>
            </c:numRef>
          </c:xVal>
          <c:yVal>
            <c:numRef>
              <c:f>difuzija!$D$10</c:f>
              <c:numCache>
                <c:formatCode>General</c:formatCode>
                <c:ptCount val="1"/>
                <c:pt idx="0">
                  <c:v>19.23</c:v>
                </c:pt>
              </c:numCache>
            </c:numRef>
          </c:yVal>
          <c:smooth val="0"/>
        </c:ser>
        <c:ser>
          <c:idx val="9"/>
          <c:order val="9"/>
          <c:tx>
            <c:strRef>
              <c:f>difuzija!$A$11</c:f>
              <c:strCache>
                <c:ptCount val="1"/>
                <c:pt idx="0">
                  <c:v>ES </c:v>
                </c:pt>
              </c:strCache>
            </c:strRef>
          </c:tx>
          <c:spPr>
            <a:ln w="28575">
              <a:noFill/>
            </a:ln>
          </c:spPr>
          <c:marker>
            <c:symbol val="diamond"/>
            <c:size val="9"/>
            <c:spPr>
              <a:solidFill>
                <a:srgbClr val="9BE5EF"/>
              </a:solidFill>
              <a:ln>
                <a:noFill/>
              </a:ln>
            </c:spPr>
          </c:marker>
          <c:dLbls>
            <c:dLbl>
              <c:idx val="0"/>
              <c:layout>
                <c:manualLayout>
                  <c:x val="-1.1642711327750698E-2"/>
                  <c:y val="-1.3180395719765798E-2"/>
                </c:manualLayout>
              </c:layout>
              <c:showLegendKey val="0"/>
              <c:showVal val="0"/>
              <c:showCatName val="0"/>
              <c:showSerName val="1"/>
              <c:showPercent val="0"/>
              <c:showBubbleSize val="0"/>
            </c:dLbl>
            <c:txPr>
              <a:bodyPr/>
              <a:lstStyle/>
              <a:p>
                <a:pPr>
                  <a:defRPr sz="900">
                    <a:latin typeface="Times New Roman" pitchFamily="18" charset="0"/>
                    <a:cs typeface="Times New Roman" pitchFamily="18" charset="0"/>
                  </a:defRPr>
                </a:pPr>
                <a:endParaRPr lang="lt-LT"/>
              </a:p>
            </c:txPr>
            <c:showLegendKey val="0"/>
            <c:showVal val="0"/>
            <c:showCatName val="0"/>
            <c:showSerName val="1"/>
            <c:showPercent val="0"/>
            <c:showBubbleSize val="0"/>
            <c:showLeaderLines val="0"/>
          </c:dLbls>
          <c:xVal>
            <c:numRef>
              <c:f>difuzija!$B$11</c:f>
              <c:numCache>
                <c:formatCode>General</c:formatCode>
                <c:ptCount val="1"/>
                <c:pt idx="0">
                  <c:v>1.3900000000000001</c:v>
                </c:pt>
              </c:numCache>
            </c:numRef>
          </c:xVal>
          <c:yVal>
            <c:numRef>
              <c:f>difuzija!$D$11</c:f>
              <c:numCache>
                <c:formatCode>General</c:formatCode>
                <c:ptCount val="1"/>
                <c:pt idx="0">
                  <c:v>15.91</c:v>
                </c:pt>
              </c:numCache>
            </c:numRef>
          </c:yVal>
          <c:smooth val="0"/>
        </c:ser>
        <c:ser>
          <c:idx val="10"/>
          <c:order val="10"/>
          <c:tx>
            <c:strRef>
              <c:f>difuzija!$A$12</c:f>
              <c:strCache>
                <c:ptCount val="1"/>
                <c:pt idx="0">
                  <c:v>FR</c:v>
                </c:pt>
              </c:strCache>
            </c:strRef>
          </c:tx>
          <c:spPr>
            <a:ln w="28575">
              <a:noFill/>
            </a:ln>
          </c:spPr>
          <c:marker>
            <c:symbol val="diamond"/>
            <c:size val="9"/>
            <c:spPr>
              <a:solidFill>
                <a:srgbClr val="C0E43C"/>
              </a:solidFill>
              <a:ln>
                <a:noFill/>
              </a:ln>
            </c:spPr>
          </c:marker>
          <c:dLbls>
            <c:dLbl>
              <c:idx val="0"/>
              <c:layout>
                <c:manualLayout>
                  <c:x val="-8.7591588555047048E-3"/>
                  <c:y val="-4.6295128440752686E-3"/>
                </c:manualLayout>
              </c:layout>
              <c:showLegendKey val="0"/>
              <c:showVal val="0"/>
              <c:showCatName val="0"/>
              <c:showSerName val="1"/>
              <c:showPercent val="0"/>
              <c:showBubbleSize val="0"/>
            </c:dLbl>
            <c:txPr>
              <a:bodyPr/>
              <a:lstStyle/>
              <a:p>
                <a:pPr>
                  <a:defRPr sz="900">
                    <a:latin typeface="Times New Roman" pitchFamily="18" charset="0"/>
                    <a:cs typeface="Times New Roman" pitchFamily="18" charset="0"/>
                  </a:defRPr>
                </a:pPr>
                <a:endParaRPr lang="lt-LT"/>
              </a:p>
            </c:txPr>
            <c:showLegendKey val="0"/>
            <c:showVal val="0"/>
            <c:showCatName val="0"/>
            <c:showSerName val="1"/>
            <c:showPercent val="0"/>
            <c:showBubbleSize val="0"/>
            <c:showLeaderLines val="0"/>
          </c:dLbls>
          <c:xVal>
            <c:numRef>
              <c:f>difuzija!$B$12</c:f>
              <c:numCache>
                <c:formatCode>General</c:formatCode>
                <c:ptCount val="1"/>
                <c:pt idx="0">
                  <c:v>2.2399999999999998</c:v>
                </c:pt>
              </c:numCache>
            </c:numRef>
          </c:xVal>
          <c:yVal>
            <c:numRef>
              <c:f>difuzija!$D$12</c:f>
              <c:numCache>
                <c:formatCode>General</c:formatCode>
                <c:ptCount val="1"/>
                <c:pt idx="0">
                  <c:v>13.25</c:v>
                </c:pt>
              </c:numCache>
            </c:numRef>
          </c:yVal>
          <c:smooth val="0"/>
        </c:ser>
        <c:ser>
          <c:idx val="11"/>
          <c:order val="11"/>
          <c:tx>
            <c:strRef>
              <c:f>difuzija!$A$13</c:f>
              <c:strCache>
                <c:ptCount val="1"/>
                <c:pt idx="0">
                  <c:v>IT</c:v>
                </c:pt>
              </c:strCache>
            </c:strRef>
          </c:tx>
          <c:spPr>
            <a:ln w="28575">
              <a:noFill/>
            </a:ln>
          </c:spPr>
          <c:marker>
            <c:symbol val="diamond"/>
            <c:size val="9"/>
            <c:spPr>
              <a:solidFill>
                <a:srgbClr val="9BE5EF"/>
              </a:solidFill>
              <a:ln>
                <a:noFill/>
              </a:ln>
            </c:spPr>
          </c:marker>
          <c:dLbls>
            <c:dLbl>
              <c:idx val="0"/>
              <c:layout>
                <c:manualLayout>
                  <c:x val="-1.1111111111111212E-2"/>
                  <c:y val="-4.6296296296297144E-3"/>
                </c:manualLayout>
              </c:layout>
              <c:showLegendKey val="0"/>
              <c:showVal val="0"/>
              <c:showCatName val="0"/>
              <c:showSerName val="1"/>
              <c:showPercent val="0"/>
              <c:showBubbleSize val="0"/>
            </c:dLbl>
            <c:txPr>
              <a:bodyPr/>
              <a:lstStyle/>
              <a:p>
                <a:pPr>
                  <a:defRPr sz="900">
                    <a:latin typeface="Times New Roman" pitchFamily="18" charset="0"/>
                    <a:cs typeface="Times New Roman" pitchFamily="18" charset="0"/>
                  </a:defRPr>
                </a:pPr>
                <a:endParaRPr lang="lt-LT"/>
              </a:p>
            </c:txPr>
            <c:showLegendKey val="0"/>
            <c:showVal val="0"/>
            <c:showCatName val="0"/>
            <c:showSerName val="1"/>
            <c:showPercent val="0"/>
            <c:showBubbleSize val="0"/>
            <c:showLeaderLines val="0"/>
          </c:dLbls>
          <c:xVal>
            <c:numRef>
              <c:f>difuzija!$B$13</c:f>
              <c:numCache>
                <c:formatCode>General</c:formatCode>
                <c:ptCount val="1"/>
                <c:pt idx="0">
                  <c:v>1.21</c:v>
                </c:pt>
              </c:numCache>
            </c:numRef>
          </c:xVal>
          <c:yVal>
            <c:numRef>
              <c:f>difuzija!$D$13</c:f>
              <c:numCache>
                <c:formatCode>General</c:formatCode>
                <c:ptCount val="1"/>
                <c:pt idx="0">
                  <c:v>11.79</c:v>
                </c:pt>
              </c:numCache>
            </c:numRef>
          </c:yVal>
          <c:smooth val="0"/>
        </c:ser>
        <c:ser>
          <c:idx val="12"/>
          <c:order val="12"/>
          <c:tx>
            <c:strRef>
              <c:f>difuzija!$A$14</c:f>
              <c:strCache>
                <c:ptCount val="1"/>
                <c:pt idx="0">
                  <c:v>CY</c:v>
                </c:pt>
              </c:strCache>
            </c:strRef>
          </c:tx>
          <c:spPr>
            <a:ln w="28575">
              <a:noFill/>
            </a:ln>
          </c:spPr>
          <c:marker>
            <c:symbol val="diamond"/>
            <c:size val="9"/>
            <c:spPr>
              <a:solidFill>
                <a:srgbClr val="C0E43C"/>
              </a:solidFill>
              <a:ln>
                <a:noFill/>
              </a:ln>
            </c:spPr>
          </c:marker>
          <c:dLbls>
            <c:dLbl>
              <c:idx val="0"/>
              <c:layout>
                <c:manualLayout>
                  <c:x val="-3.4450885839227542E-2"/>
                  <c:y val="-2.7460434722547552E-2"/>
                </c:manualLayout>
              </c:layout>
              <c:showLegendKey val="0"/>
              <c:showVal val="0"/>
              <c:showCatName val="0"/>
              <c:showSerName val="1"/>
              <c:showPercent val="0"/>
              <c:showBubbleSize val="0"/>
            </c:dLbl>
            <c:txPr>
              <a:bodyPr/>
              <a:lstStyle/>
              <a:p>
                <a:pPr>
                  <a:defRPr sz="900">
                    <a:latin typeface="Times New Roman" pitchFamily="18" charset="0"/>
                    <a:cs typeface="Times New Roman" pitchFamily="18" charset="0"/>
                  </a:defRPr>
                </a:pPr>
                <a:endParaRPr lang="lt-LT"/>
              </a:p>
            </c:txPr>
            <c:showLegendKey val="0"/>
            <c:showVal val="0"/>
            <c:showCatName val="0"/>
            <c:showSerName val="1"/>
            <c:showPercent val="0"/>
            <c:showBubbleSize val="0"/>
            <c:showLeaderLines val="0"/>
          </c:dLbls>
          <c:xVal>
            <c:numRef>
              <c:f>difuzija!$B$14</c:f>
              <c:numCache>
                <c:formatCode>General</c:formatCode>
                <c:ptCount val="1"/>
                <c:pt idx="0">
                  <c:v>0.43999999999999995</c:v>
                </c:pt>
              </c:numCache>
            </c:numRef>
          </c:xVal>
          <c:yVal>
            <c:numRef>
              <c:f>difuzija!$D$14</c:f>
              <c:numCache>
                <c:formatCode>General</c:formatCode>
                <c:ptCount val="1"/>
                <c:pt idx="0">
                  <c:v>16.07</c:v>
                </c:pt>
              </c:numCache>
            </c:numRef>
          </c:yVal>
          <c:smooth val="0"/>
        </c:ser>
        <c:ser>
          <c:idx val="13"/>
          <c:order val="13"/>
          <c:tx>
            <c:strRef>
              <c:f>difuzija!$A$15</c:f>
              <c:strCache>
                <c:ptCount val="1"/>
                <c:pt idx="0">
                  <c:v>LV</c:v>
                </c:pt>
              </c:strCache>
            </c:strRef>
          </c:tx>
          <c:spPr>
            <a:ln w="28575">
              <a:noFill/>
            </a:ln>
          </c:spPr>
          <c:marker>
            <c:symbol val="diamond"/>
            <c:size val="9"/>
            <c:spPr>
              <a:solidFill>
                <a:schemeClr val="accent6">
                  <a:lumMod val="75000"/>
                </a:schemeClr>
              </a:solidFill>
              <a:ln>
                <a:noFill/>
              </a:ln>
            </c:spPr>
          </c:marker>
          <c:dLbls>
            <c:dLbl>
              <c:idx val="0"/>
              <c:layout>
                <c:manualLayout>
                  <c:x val="-9.9353278290825013E-3"/>
                  <c:y val="0"/>
                </c:manualLayout>
              </c:layout>
              <c:showLegendKey val="0"/>
              <c:showVal val="0"/>
              <c:showCatName val="0"/>
              <c:showSerName val="1"/>
              <c:showPercent val="0"/>
              <c:showBubbleSize val="0"/>
            </c:dLbl>
            <c:txPr>
              <a:bodyPr/>
              <a:lstStyle/>
              <a:p>
                <a:pPr>
                  <a:defRPr sz="900">
                    <a:latin typeface="Times New Roman" pitchFamily="18" charset="0"/>
                    <a:cs typeface="Times New Roman" pitchFamily="18" charset="0"/>
                  </a:defRPr>
                </a:pPr>
                <a:endParaRPr lang="lt-LT"/>
              </a:p>
            </c:txPr>
            <c:showLegendKey val="0"/>
            <c:showVal val="0"/>
            <c:showCatName val="0"/>
            <c:showSerName val="1"/>
            <c:showPercent val="0"/>
            <c:showBubbleSize val="0"/>
            <c:showLeaderLines val="0"/>
          </c:dLbls>
          <c:xVal>
            <c:numRef>
              <c:f>difuzija!$B$15</c:f>
              <c:numCache>
                <c:formatCode>General</c:formatCode>
                <c:ptCount val="1"/>
                <c:pt idx="0">
                  <c:v>0.6</c:v>
                </c:pt>
              </c:numCache>
            </c:numRef>
          </c:xVal>
          <c:yVal>
            <c:numRef>
              <c:f>difuzija!$D$15</c:f>
              <c:numCache>
                <c:formatCode>General</c:formatCode>
                <c:ptCount val="1"/>
                <c:pt idx="0">
                  <c:v>5.8</c:v>
                </c:pt>
              </c:numCache>
            </c:numRef>
          </c:yVal>
          <c:smooth val="0"/>
        </c:ser>
        <c:ser>
          <c:idx val="14"/>
          <c:order val="14"/>
          <c:tx>
            <c:strRef>
              <c:f>difuzija!$A$16</c:f>
              <c:strCache>
                <c:ptCount val="1"/>
                <c:pt idx="0">
                  <c:v>LT</c:v>
                </c:pt>
              </c:strCache>
            </c:strRef>
          </c:tx>
          <c:spPr>
            <a:ln w="28575">
              <a:noFill/>
            </a:ln>
          </c:spPr>
          <c:marker>
            <c:symbol val="diamond"/>
            <c:size val="9"/>
            <c:spPr>
              <a:solidFill>
                <a:schemeClr val="accent6">
                  <a:lumMod val="75000"/>
                </a:schemeClr>
              </a:solidFill>
              <a:ln>
                <a:noFill/>
              </a:ln>
            </c:spPr>
          </c:marker>
          <c:dLbls>
            <c:dLbl>
              <c:idx val="0"/>
              <c:layout>
                <c:manualLayout>
                  <c:x val="-1.1861312306329478E-2"/>
                  <c:y val="-3.0511060259345133E-3"/>
                </c:manualLayout>
              </c:layout>
              <c:spPr/>
              <c:txPr>
                <a:bodyPr/>
                <a:lstStyle/>
                <a:p>
                  <a:pPr>
                    <a:defRPr sz="900">
                      <a:latin typeface="Times New Roman" pitchFamily="18" charset="0"/>
                      <a:cs typeface="Times New Roman" pitchFamily="18" charset="0"/>
                    </a:defRPr>
                  </a:pPr>
                  <a:endParaRPr lang="lt-LT"/>
                </a:p>
              </c:txPr>
              <c:showLegendKey val="0"/>
              <c:showVal val="0"/>
              <c:showCatName val="0"/>
              <c:showSerName val="1"/>
              <c:showPercent val="0"/>
              <c:showBubbleSize val="0"/>
            </c:dLbl>
            <c:showLegendKey val="0"/>
            <c:showVal val="0"/>
            <c:showCatName val="0"/>
            <c:showSerName val="1"/>
            <c:showPercent val="0"/>
            <c:showBubbleSize val="0"/>
            <c:showLeaderLines val="0"/>
          </c:dLbls>
          <c:xVal>
            <c:numRef>
              <c:f>difuzija!$B$16</c:f>
              <c:numCache>
                <c:formatCode>General</c:formatCode>
                <c:ptCount val="1"/>
                <c:pt idx="0">
                  <c:v>0.79</c:v>
                </c:pt>
              </c:numCache>
            </c:numRef>
          </c:xVal>
          <c:yVal>
            <c:numRef>
              <c:f>difuzija!$D$16</c:f>
              <c:numCache>
                <c:formatCode>General</c:formatCode>
                <c:ptCount val="1"/>
                <c:pt idx="0">
                  <c:v>9.59</c:v>
                </c:pt>
              </c:numCache>
            </c:numRef>
          </c:yVal>
          <c:smooth val="0"/>
        </c:ser>
        <c:ser>
          <c:idx val="15"/>
          <c:order val="15"/>
          <c:tx>
            <c:strRef>
              <c:f>difuzija!$A$17</c:f>
              <c:strCache>
                <c:ptCount val="1"/>
                <c:pt idx="0">
                  <c:v>LU</c:v>
                </c:pt>
              </c:strCache>
            </c:strRef>
          </c:tx>
          <c:spPr>
            <a:ln w="28575">
              <a:noFill/>
            </a:ln>
          </c:spPr>
          <c:marker>
            <c:symbol val="diamond"/>
            <c:size val="9"/>
            <c:spPr>
              <a:solidFill>
                <a:srgbClr val="C0E43C"/>
              </a:solidFill>
              <a:ln>
                <a:noFill/>
              </a:ln>
            </c:spPr>
          </c:marker>
          <c:dLbls>
            <c:dLbl>
              <c:idx val="0"/>
              <c:layout>
                <c:manualLayout>
                  <c:x val="-1.3888888888888888E-2"/>
                  <c:y val="4.6296296296296294E-3"/>
                </c:manualLayout>
              </c:layout>
              <c:showLegendKey val="0"/>
              <c:showVal val="0"/>
              <c:showCatName val="0"/>
              <c:showSerName val="1"/>
              <c:showPercent val="0"/>
              <c:showBubbleSize val="0"/>
            </c:dLbl>
            <c:txPr>
              <a:bodyPr/>
              <a:lstStyle/>
              <a:p>
                <a:pPr>
                  <a:defRPr sz="900">
                    <a:latin typeface="Times New Roman" pitchFamily="18" charset="0"/>
                    <a:cs typeface="Times New Roman" pitchFamily="18" charset="0"/>
                  </a:defRPr>
                </a:pPr>
                <a:endParaRPr lang="lt-LT"/>
              </a:p>
            </c:txPr>
            <c:showLegendKey val="0"/>
            <c:showVal val="0"/>
            <c:showCatName val="0"/>
            <c:showSerName val="1"/>
            <c:showPercent val="0"/>
            <c:showBubbleSize val="0"/>
            <c:showLeaderLines val="0"/>
          </c:dLbls>
          <c:xVal>
            <c:numRef>
              <c:f>difuzija!$B$17</c:f>
              <c:numCache>
                <c:formatCode>General</c:formatCode>
                <c:ptCount val="1"/>
                <c:pt idx="0">
                  <c:v>1.64</c:v>
                </c:pt>
              </c:numCache>
            </c:numRef>
          </c:xVal>
          <c:yVal>
            <c:numRef>
              <c:f>difuzija!$D$17</c:f>
              <c:numCache>
                <c:formatCode>General</c:formatCode>
                <c:ptCount val="1"/>
                <c:pt idx="0">
                  <c:v>8.8699999999999992</c:v>
                </c:pt>
              </c:numCache>
            </c:numRef>
          </c:yVal>
          <c:smooth val="0"/>
        </c:ser>
        <c:ser>
          <c:idx val="16"/>
          <c:order val="16"/>
          <c:tx>
            <c:strRef>
              <c:f>difuzija!$A$18</c:f>
              <c:strCache>
                <c:ptCount val="1"/>
                <c:pt idx="0">
                  <c:v>HU</c:v>
                </c:pt>
              </c:strCache>
            </c:strRef>
          </c:tx>
          <c:spPr>
            <a:ln w="28575">
              <a:noFill/>
            </a:ln>
          </c:spPr>
          <c:marker>
            <c:symbol val="diamond"/>
            <c:size val="9"/>
            <c:spPr>
              <a:solidFill>
                <a:srgbClr val="9BE5EF"/>
              </a:solidFill>
              <a:ln>
                <a:noFill/>
              </a:ln>
            </c:spPr>
          </c:marker>
          <c:dLbls>
            <c:dLbl>
              <c:idx val="0"/>
              <c:layout>
                <c:manualLayout>
                  <c:x val="-8.3841732735369604E-3"/>
                  <c:y val="-1.5784068181408674E-3"/>
                </c:manualLayout>
              </c:layout>
              <c:showLegendKey val="0"/>
              <c:showVal val="0"/>
              <c:showCatName val="0"/>
              <c:showSerName val="1"/>
              <c:showPercent val="0"/>
              <c:showBubbleSize val="0"/>
            </c:dLbl>
            <c:txPr>
              <a:bodyPr/>
              <a:lstStyle/>
              <a:p>
                <a:pPr>
                  <a:defRPr sz="900">
                    <a:latin typeface="Times New Roman" pitchFamily="18" charset="0"/>
                    <a:cs typeface="Times New Roman" pitchFamily="18" charset="0"/>
                  </a:defRPr>
                </a:pPr>
                <a:endParaRPr lang="lt-LT"/>
              </a:p>
            </c:txPr>
            <c:showLegendKey val="0"/>
            <c:showVal val="0"/>
            <c:showCatName val="0"/>
            <c:showSerName val="1"/>
            <c:showPercent val="0"/>
            <c:showBubbleSize val="0"/>
            <c:showLeaderLines val="0"/>
          </c:dLbls>
          <c:xVal>
            <c:numRef>
              <c:f>difuzija!$B$18</c:f>
              <c:numCache>
                <c:formatCode>General</c:formatCode>
                <c:ptCount val="1"/>
                <c:pt idx="0">
                  <c:v>1.1299999999999999</c:v>
                </c:pt>
              </c:numCache>
            </c:numRef>
          </c:xVal>
          <c:yVal>
            <c:numRef>
              <c:f>difuzija!$D$18</c:f>
              <c:numCache>
                <c:formatCode>General</c:formatCode>
                <c:ptCount val="1"/>
                <c:pt idx="0">
                  <c:v>16.440000000000001</c:v>
                </c:pt>
              </c:numCache>
            </c:numRef>
          </c:yVal>
          <c:smooth val="0"/>
        </c:ser>
        <c:ser>
          <c:idx val="17"/>
          <c:order val="17"/>
          <c:tx>
            <c:strRef>
              <c:f>difuzija!$A$19</c:f>
              <c:strCache>
                <c:ptCount val="1"/>
                <c:pt idx="0">
                  <c:v>MT</c:v>
                </c:pt>
              </c:strCache>
            </c:strRef>
          </c:tx>
          <c:spPr>
            <a:ln w="28575">
              <a:noFill/>
            </a:ln>
          </c:spPr>
          <c:marker>
            <c:symbol val="diamond"/>
            <c:size val="9"/>
            <c:spPr>
              <a:solidFill>
                <a:srgbClr val="9BE5EF"/>
              </a:solidFill>
              <a:ln>
                <a:noFill/>
              </a:ln>
            </c:spPr>
          </c:marker>
          <c:dLbls>
            <c:dLbl>
              <c:idx val="0"/>
              <c:layout>
                <c:manualLayout>
                  <c:x val="-5.8395181931075492E-3"/>
                  <c:y val="5.4094324136624789E-3"/>
                </c:manualLayout>
              </c:layout>
              <c:showLegendKey val="0"/>
              <c:showVal val="0"/>
              <c:showCatName val="0"/>
              <c:showSerName val="1"/>
              <c:showPercent val="0"/>
              <c:showBubbleSize val="0"/>
            </c:dLbl>
            <c:txPr>
              <a:bodyPr/>
              <a:lstStyle/>
              <a:p>
                <a:pPr>
                  <a:defRPr sz="900">
                    <a:latin typeface="Times New Roman" pitchFamily="18" charset="0"/>
                    <a:cs typeface="Times New Roman" pitchFamily="18" charset="0"/>
                  </a:defRPr>
                </a:pPr>
                <a:endParaRPr lang="lt-LT"/>
              </a:p>
            </c:txPr>
            <c:showLegendKey val="0"/>
            <c:showVal val="0"/>
            <c:showCatName val="0"/>
            <c:showSerName val="1"/>
            <c:showPercent val="0"/>
            <c:showBubbleSize val="0"/>
            <c:showLeaderLines val="0"/>
          </c:dLbls>
          <c:xVal>
            <c:numRef>
              <c:f>difuzija!$B$19</c:f>
              <c:numCache>
                <c:formatCode>General</c:formatCode>
                <c:ptCount val="1"/>
                <c:pt idx="0">
                  <c:v>0.62</c:v>
                </c:pt>
              </c:numCache>
            </c:numRef>
          </c:xVal>
          <c:yVal>
            <c:numRef>
              <c:f>difuzija!$D$19</c:f>
              <c:numCache>
                <c:formatCode>General</c:formatCode>
                <c:ptCount val="1"/>
                <c:pt idx="0">
                  <c:v>15.22</c:v>
                </c:pt>
              </c:numCache>
            </c:numRef>
          </c:yVal>
          <c:smooth val="0"/>
        </c:ser>
        <c:ser>
          <c:idx val="18"/>
          <c:order val="18"/>
          <c:tx>
            <c:strRef>
              <c:f>difuzija!$A$20</c:f>
              <c:strCache>
                <c:ptCount val="1"/>
                <c:pt idx="0">
                  <c:v>NL</c:v>
                </c:pt>
              </c:strCache>
            </c:strRef>
          </c:tx>
          <c:spPr>
            <a:ln w="28575">
              <a:noFill/>
            </a:ln>
          </c:spPr>
          <c:marker>
            <c:symbol val="diamond"/>
            <c:size val="9"/>
            <c:spPr>
              <a:solidFill>
                <a:srgbClr val="C0E43C"/>
              </a:solidFill>
              <a:ln>
                <a:noFill/>
              </a:ln>
            </c:spPr>
          </c:marker>
          <c:dLbls>
            <c:dLbl>
              <c:idx val="0"/>
              <c:layout>
                <c:manualLayout>
                  <c:x val="-9.8043029701170292E-3"/>
                  <c:y val="0"/>
                </c:manualLayout>
              </c:layout>
              <c:showLegendKey val="0"/>
              <c:showVal val="0"/>
              <c:showCatName val="0"/>
              <c:showSerName val="1"/>
              <c:showPercent val="0"/>
              <c:showBubbleSize val="0"/>
            </c:dLbl>
            <c:txPr>
              <a:bodyPr/>
              <a:lstStyle/>
              <a:p>
                <a:pPr>
                  <a:defRPr sz="900">
                    <a:latin typeface="Times New Roman" pitchFamily="18" charset="0"/>
                    <a:cs typeface="Times New Roman" pitchFamily="18" charset="0"/>
                  </a:defRPr>
                </a:pPr>
                <a:endParaRPr lang="lt-LT"/>
              </a:p>
            </c:txPr>
            <c:showLegendKey val="0"/>
            <c:showVal val="0"/>
            <c:showCatName val="0"/>
            <c:showSerName val="1"/>
            <c:showPercent val="0"/>
            <c:showBubbleSize val="0"/>
            <c:showLeaderLines val="0"/>
          </c:dLbls>
          <c:xVal>
            <c:numRef>
              <c:f>difuzija!$B$20</c:f>
              <c:numCache>
                <c:formatCode>General</c:formatCode>
                <c:ptCount val="1"/>
                <c:pt idx="0">
                  <c:v>1.8399999999999999</c:v>
                </c:pt>
              </c:numCache>
            </c:numRef>
          </c:xVal>
          <c:yVal>
            <c:numRef>
              <c:f>difuzija!$D$20</c:f>
              <c:numCache>
                <c:formatCode>General</c:formatCode>
                <c:ptCount val="1"/>
                <c:pt idx="0">
                  <c:v>8.85</c:v>
                </c:pt>
              </c:numCache>
            </c:numRef>
          </c:yVal>
          <c:smooth val="0"/>
        </c:ser>
        <c:ser>
          <c:idx val="19"/>
          <c:order val="19"/>
          <c:tx>
            <c:strRef>
              <c:f>difuzija!$A$21</c:f>
              <c:strCache>
                <c:ptCount val="1"/>
                <c:pt idx="0">
                  <c:v>AT</c:v>
                </c:pt>
              </c:strCache>
            </c:strRef>
          </c:tx>
          <c:spPr>
            <a:ln w="28575">
              <a:noFill/>
            </a:ln>
          </c:spPr>
          <c:marker>
            <c:symbol val="diamond"/>
            <c:size val="9"/>
            <c:spPr>
              <a:solidFill>
                <a:srgbClr val="C0E43C"/>
              </a:solidFill>
              <a:ln>
                <a:noFill/>
              </a:ln>
            </c:spPr>
          </c:marker>
          <c:dLbls>
            <c:dLbl>
              <c:idx val="0"/>
              <c:layout>
                <c:manualLayout>
                  <c:x val="-8.7591588555047777E-3"/>
                  <c:y val="-3.1570538808507061E-3"/>
                </c:manualLayout>
              </c:layout>
              <c:showLegendKey val="0"/>
              <c:showVal val="0"/>
              <c:showCatName val="0"/>
              <c:showSerName val="1"/>
              <c:showPercent val="0"/>
              <c:showBubbleSize val="0"/>
            </c:dLbl>
            <c:txPr>
              <a:bodyPr/>
              <a:lstStyle/>
              <a:p>
                <a:pPr>
                  <a:defRPr sz="900">
                    <a:latin typeface="Times New Roman" pitchFamily="18" charset="0"/>
                    <a:cs typeface="Times New Roman" pitchFamily="18" charset="0"/>
                  </a:defRPr>
                </a:pPr>
                <a:endParaRPr lang="lt-LT"/>
              </a:p>
            </c:txPr>
            <c:showLegendKey val="0"/>
            <c:showVal val="0"/>
            <c:showCatName val="0"/>
            <c:showSerName val="1"/>
            <c:showPercent val="0"/>
            <c:showBubbleSize val="0"/>
            <c:showLeaderLines val="0"/>
          </c:dLbls>
          <c:xVal>
            <c:numRef>
              <c:f>difuzija!$B$21</c:f>
              <c:numCache>
                <c:formatCode>General</c:formatCode>
                <c:ptCount val="1"/>
                <c:pt idx="0">
                  <c:v>2.75</c:v>
                </c:pt>
              </c:numCache>
            </c:numRef>
          </c:xVal>
          <c:yVal>
            <c:numRef>
              <c:f>difuzija!$D$21</c:f>
              <c:numCache>
                <c:formatCode>General</c:formatCode>
                <c:ptCount val="1"/>
                <c:pt idx="0">
                  <c:v>11.24</c:v>
                </c:pt>
              </c:numCache>
            </c:numRef>
          </c:yVal>
          <c:smooth val="0"/>
        </c:ser>
        <c:ser>
          <c:idx val="20"/>
          <c:order val="20"/>
          <c:tx>
            <c:strRef>
              <c:f>difuzija!$A$22</c:f>
              <c:strCache>
                <c:ptCount val="1"/>
                <c:pt idx="0">
                  <c:v>PL</c:v>
                </c:pt>
              </c:strCache>
            </c:strRef>
          </c:tx>
          <c:spPr>
            <a:ln w="28575">
              <a:noFill/>
            </a:ln>
          </c:spPr>
          <c:marker>
            <c:symbol val="diamond"/>
            <c:size val="9"/>
            <c:spPr>
              <a:solidFill>
                <a:srgbClr val="9BE5EF"/>
              </a:solidFill>
              <a:ln>
                <a:noFill/>
              </a:ln>
            </c:spPr>
          </c:marker>
          <c:dLbls>
            <c:dLbl>
              <c:idx val="0"/>
              <c:layout>
                <c:manualLayout>
                  <c:x val="-2.2212357170758805E-2"/>
                  <c:y val="-2.4877580655344404E-2"/>
                </c:manualLayout>
              </c:layout>
              <c:showLegendKey val="0"/>
              <c:showVal val="0"/>
              <c:showCatName val="0"/>
              <c:showSerName val="1"/>
              <c:showPercent val="0"/>
              <c:showBubbleSize val="0"/>
            </c:dLbl>
            <c:txPr>
              <a:bodyPr/>
              <a:lstStyle/>
              <a:p>
                <a:pPr>
                  <a:defRPr sz="900">
                    <a:latin typeface="Times New Roman" pitchFamily="18" charset="0"/>
                    <a:cs typeface="Times New Roman" pitchFamily="18" charset="0"/>
                  </a:defRPr>
                </a:pPr>
                <a:endParaRPr lang="lt-LT"/>
              </a:p>
            </c:txPr>
            <c:showLegendKey val="0"/>
            <c:showVal val="0"/>
            <c:showCatName val="0"/>
            <c:showSerName val="1"/>
            <c:showPercent val="0"/>
            <c:showBubbleSize val="0"/>
            <c:showLeaderLines val="0"/>
          </c:dLbls>
          <c:xVal>
            <c:numRef>
              <c:f>difuzija!$B$22</c:f>
              <c:numCache>
                <c:formatCode>General</c:formatCode>
                <c:ptCount val="1"/>
                <c:pt idx="0">
                  <c:v>0.73</c:v>
                </c:pt>
              </c:numCache>
            </c:numRef>
          </c:xVal>
          <c:yVal>
            <c:numRef>
              <c:f>difuzija!$D$22</c:f>
              <c:numCache>
                <c:formatCode>General</c:formatCode>
                <c:ptCount val="1"/>
                <c:pt idx="0">
                  <c:v>9.84</c:v>
                </c:pt>
              </c:numCache>
            </c:numRef>
          </c:yVal>
          <c:smooth val="0"/>
        </c:ser>
        <c:ser>
          <c:idx val="21"/>
          <c:order val="21"/>
          <c:tx>
            <c:strRef>
              <c:f>difuzija!$A$23</c:f>
              <c:strCache>
                <c:ptCount val="1"/>
                <c:pt idx="0">
                  <c:v>PT</c:v>
                </c:pt>
              </c:strCache>
            </c:strRef>
          </c:tx>
          <c:spPr>
            <a:ln w="28575">
              <a:noFill/>
            </a:ln>
          </c:spPr>
          <c:marker>
            <c:symbol val="diamond"/>
            <c:size val="9"/>
            <c:spPr>
              <a:solidFill>
                <a:srgbClr val="9BE5EF"/>
              </a:solidFill>
              <a:ln>
                <a:noFill/>
              </a:ln>
            </c:spPr>
          </c:marker>
          <c:dLbls>
            <c:dLbl>
              <c:idx val="0"/>
              <c:layout>
                <c:manualLayout>
                  <c:x val="-7.2081599602257613E-3"/>
                  <c:y val="7.2205505204297419E-3"/>
                </c:manualLayout>
              </c:layout>
              <c:showLegendKey val="0"/>
              <c:showVal val="0"/>
              <c:showCatName val="0"/>
              <c:showSerName val="1"/>
              <c:showPercent val="0"/>
              <c:showBubbleSize val="0"/>
            </c:dLbl>
            <c:txPr>
              <a:bodyPr/>
              <a:lstStyle/>
              <a:p>
                <a:pPr>
                  <a:defRPr sz="900">
                    <a:latin typeface="Times New Roman" pitchFamily="18" charset="0"/>
                    <a:cs typeface="Times New Roman" pitchFamily="18" charset="0"/>
                  </a:defRPr>
                </a:pPr>
                <a:endParaRPr lang="lt-LT"/>
              </a:p>
            </c:txPr>
            <c:showLegendKey val="0"/>
            <c:showVal val="0"/>
            <c:showCatName val="0"/>
            <c:showSerName val="1"/>
            <c:showPercent val="0"/>
            <c:showBubbleSize val="0"/>
            <c:showLeaderLines val="0"/>
          </c:dLbls>
          <c:xVal>
            <c:numRef>
              <c:f>difuzija!$B$23</c:f>
              <c:numCache>
                <c:formatCode>General</c:formatCode>
                <c:ptCount val="1"/>
                <c:pt idx="0">
                  <c:v>1.42</c:v>
                </c:pt>
              </c:numCache>
            </c:numRef>
          </c:xVal>
          <c:yVal>
            <c:numRef>
              <c:f>difuzija!$D$23</c:f>
              <c:numCache>
                <c:formatCode>General</c:formatCode>
                <c:ptCount val="1"/>
                <c:pt idx="0">
                  <c:v>15.57</c:v>
                </c:pt>
              </c:numCache>
            </c:numRef>
          </c:yVal>
          <c:smooth val="0"/>
        </c:ser>
        <c:ser>
          <c:idx val="22"/>
          <c:order val="22"/>
          <c:tx>
            <c:strRef>
              <c:f>difuzija!$A$24</c:f>
              <c:strCache>
                <c:ptCount val="1"/>
                <c:pt idx="0">
                  <c:v>RO</c:v>
                </c:pt>
              </c:strCache>
            </c:strRef>
          </c:tx>
          <c:spPr>
            <a:ln w="28575">
              <a:noFill/>
            </a:ln>
          </c:spPr>
          <c:marker>
            <c:symbol val="diamond"/>
            <c:size val="9"/>
            <c:spPr>
              <a:solidFill>
                <a:schemeClr val="accent6">
                  <a:lumMod val="75000"/>
                </a:schemeClr>
              </a:solidFill>
              <a:ln>
                <a:noFill/>
              </a:ln>
            </c:spPr>
          </c:marker>
          <c:dLbls>
            <c:dLbl>
              <c:idx val="0"/>
              <c:layout>
                <c:manualLayout>
                  <c:x val="-2.3434237386993292E-2"/>
                  <c:y val="-1.4644155057540884E-2"/>
                </c:manualLayout>
              </c:layout>
              <c:showLegendKey val="0"/>
              <c:showVal val="0"/>
              <c:showCatName val="0"/>
              <c:showSerName val="1"/>
              <c:showPercent val="0"/>
              <c:showBubbleSize val="0"/>
            </c:dLbl>
            <c:txPr>
              <a:bodyPr/>
              <a:lstStyle/>
              <a:p>
                <a:pPr>
                  <a:defRPr sz="900">
                    <a:latin typeface="Times New Roman" pitchFamily="18" charset="0"/>
                    <a:cs typeface="Times New Roman" pitchFamily="18" charset="0"/>
                  </a:defRPr>
                </a:pPr>
                <a:endParaRPr lang="lt-LT"/>
              </a:p>
            </c:txPr>
            <c:showLegendKey val="0"/>
            <c:showVal val="0"/>
            <c:showCatName val="0"/>
            <c:showSerName val="1"/>
            <c:showPercent val="0"/>
            <c:showBubbleSize val="0"/>
            <c:showLeaderLines val="0"/>
          </c:dLbls>
          <c:xVal>
            <c:numRef>
              <c:f>difuzija!$B$24</c:f>
              <c:numCache>
                <c:formatCode>General</c:formatCode>
                <c:ptCount val="1"/>
                <c:pt idx="0">
                  <c:v>0.47</c:v>
                </c:pt>
              </c:numCache>
            </c:numRef>
          </c:xVal>
          <c:yVal>
            <c:numRef>
              <c:f>difuzija!$D$24</c:f>
              <c:numCache>
                <c:formatCode>General</c:formatCode>
                <c:ptCount val="1"/>
                <c:pt idx="0">
                  <c:v>14.87</c:v>
                </c:pt>
              </c:numCache>
            </c:numRef>
          </c:yVal>
          <c:smooth val="0"/>
        </c:ser>
        <c:ser>
          <c:idx val="23"/>
          <c:order val="23"/>
          <c:tx>
            <c:strRef>
              <c:f>difuzija!$A$25</c:f>
              <c:strCache>
                <c:ptCount val="1"/>
                <c:pt idx="0">
                  <c:v>SI</c:v>
                </c:pt>
              </c:strCache>
            </c:strRef>
          </c:tx>
          <c:spPr>
            <a:ln w="28575">
              <a:noFill/>
            </a:ln>
          </c:spPr>
          <c:marker>
            <c:symbol val="diamond"/>
            <c:size val="9"/>
            <c:spPr>
              <a:solidFill>
                <a:srgbClr val="C0E43C"/>
              </a:solidFill>
              <a:ln>
                <a:noFill/>
              </a:ln>
            </c:spPr>
          </c:marker>
          <c:dLbls>
            <c:dLbl>
              <c:idx val="0"/>
              <c:layout>
                <c:manualLayout>
                  <c:x val="-1.0736044239892946E-2"/>
                  <c:y val="-2.4024456897121268E-7"/>
                </c:manualLayout>
              </c:layout>
              <c:showLegendKey val="0"/>
              <c:showVal val="0"/>
              <c:showCatName val="0"/>
              <c:showSerName val="1"/>
              <c:showPercent val="0"/>
              <c:showBubbleSize val="0"/>
            </c:dLbl>
            <c:txPr>
              <a:bodyPr/>
              <a:lstStyle/>
              <a:p>
                <a:pPr>
                  <a:defRPr sz="900">
                    <a:latin typeface="Times New Roman" pitchFamily="18" charset="0"/>
                    <a:cs typeface="Times New Roman" pitchFamily="18" charset="0"/>
                  </a:defRPr>
                </a:pPr>
                <a:endParaRPr lang="lt-LT"/>
              </a:p>
            </c:txPr>
            <c:showLegendKey val="0"/>
            <c:showVal val="1"/>
            <c:showCatName val="0"/>
            <c:showSerName val="0"/>
            <c:showPercent val="0"/>
            <c:showBubbleSize val="0"/>
            <c:showLeaderLines val="0"/>
          </c:dLbls>
          <c:xVal>
            <c:numRef>
              <c:f>difuzija!$B$25</c:f>
              <c:numCache>
                <c:formatCode>General</c:formatCode>
                <c:ptCount val="1"/>
                <c:pt idx="0">
                  <c:v>2.1</c:v>
                </c:pt>
              </c:numCache>
            </c:numRef>
          </c:xVal>
          <c:yVal>
            <c:numRef>
              <c:f>difuzija!$D$25</c:f>
              <c:numCache>
                <c:formatCode>General</c:formatCode>
                <c:ptCount val="1"/>
                <c:pt idx="0">
                  <c:v>16.309999999999999</c:v>
                </c:pt>
              </c:numCache>
            </c:numRef>
          </c:yVal>
          <c:smooth val="0"/>
        </c:ser>
        <c:ser>
          <c:idx val="24"/>
          <c:order val="24"/>
          <c:tx>
            <c:strRef>
              <c:f>difuzija!$A$26</c:f>
              <c:strCache>
                <c:ptCount val="1"/>
                <c:pt idx="0">
                  <c:v>SK</c:v>
                </c:pt>
              </c:strCache>
            </c:strRef>
          </c:tx>
          <c:spPr>
            <a:ln w="28575">
              <a:noFill/>
            </a:ln>
          </c:spPr>
          <c:marker>
            <c:symbol val="diamond"/>
            <c:size val="9"/>
            <c:spPr>
              <a:solidFill>
                <a:srgbClr val="9BE5EF"/>
              </a:solidFill>
              <a:ln>
                <a:noFill/>
              </a:ln>
            </c:spPr>
          </c:marker>
          <c:dLbls>
            <c:dLbl>
              <c:idx val="0"/>
              <c:layout>
                <c:manualLayout>
                  <c:x val="-5.1433935203269573E-3"/>
                  <c:y val="-1.0329439989898411E-2"/>
                </c:manualLayout>
              </c:layout>
              <c:showLegendKey val="0"/>
              <c:showVal val="0"/>
              <c:showCatName val="0"/>
              <c:showSerName val="1"/>
              <c:showPercent val="0"/>
              <c:showBubbleSize val="0"/>
            </c:dLbl>
            <c:txPr>
              <a:bodyPr/>
              <a:lstStyle/>
              <a:p>
                <a:pPr>
                  <a:defRPr sz="900">
                    <a:latin typeface="Times New Roman" pitchFamily="18" charset="0"/>
                    <a:cs typeface="Times New Roman" pitchFamily="18" charset="0"/>
                  </a:defRPr>
                </a:pPr>
                <a:endParaRPr lang="lt-LT"/>
              </a:p>
            </c:txPr>
            <c:showLegendKey val="0"/>
            <c:showVal val="0"/>
            <c:showCatName val="0"/>
            <c:showSerName val="1"/>
            <c:showPercent val="0"/>
            <c:showBubbleSize val="0"/>
            <c:showLeaderLines val="0"/>
          </c:dLbls>
          <c:xVal>
            <c:numRef>
              <c:f>difuzija!$B$26</c:f>
              <c:numCache>
                <c:formatCode>General</c:formatCode>
                <c:ptCount val="1"/>
                <c:pt idx="0">
                  <c:v>0.63</c:v>
                </c:pt>
              </c:numCache>
            </c:numRef>
          </c:xVal>
          <c:yVal>
            <c:numRef>
              <c:f>difuzija!$D$26</c:f>
              <c:numCache>
                <c:formatCode>General</c:formatCode>
                <c:ptCount val="1"/>
                <c:pt idx="0">
                  <c:v>15.79</c:v>
                </c:pt>
              </c:numCache>
            </c:numRef>
          </c:yVal>
          <c:smooth val="0"/>
        </c:ser>
        <c:ser>
          <c:idx val="25"/>
          <c:order val="25"/>
          <c:tx>
            <c:strRef>
              <c:f>difuzija!$A$27</c:f>
              <c:strCache>
                <c:ptCount val="1"/>
                <c:pt idx="0">
                  <c:v>FI</c:v>
                </c:pt>
              </c:strCache>
            </c:strRef>
          </c:tx>
          <c:spPr>
            <a:ln w="28575">
              <a:noFill/>
            </a:ln>
          </c:spPr>
          <c:marker>
            <c:symbol val="diamond"/>
            <c:size val="9"/>
            <c:spPr>
              <a:solidFill>
                <a:schemeClr val="tx2">
                  <a:lumMod val="75000"/>
                </a:schemeClr>
              </a:solidFill>
              <a:ln>
                <a:noFill/>
              </a:ln>
            </c:spPr>
          </c:marker>
          <c:dLbls>
            <c:dLbl>
              <c:idx val="0"/>
              <c:layout>
                <c:manualLayout>
                  <c:x val="-1.1861312306329442E-2"/>
                  <c:y val="0"/>
                </c:manualLayout>
              </c:layout>
              <c:showLegendKey val="0"/>
              <c:showVal val="0"/>
              <c:showCatName val="0"/>
              <c:showSerName val="1"/>
              <c:showPercent val="0"/>
              <c:showBubbleSize val="0"/>
            </c:dLbl>
            <c:txPr>
              <a:bodyPr/>
              <a:lstStyle/>
              <a:p>
                <a:pPr>
                  <a:defRPr sz="1000">
                    <a:latin typeface="Times New Roman" pitchFamily="18" charset="0"/>
                    <a:cs typeface="Times New Roman" pitchFamily="18" charset="0"/>
                  </a:defRPr>
                </a:pPr>
                <a:endParaRPr lang="lt-LT"/>
              </a:p>
            </c:txPr>
            <c:showLegendKey val="0"/>
            <c:showVal val="0"/>
            <c:showCatName val="0"/>
            <c:showSerName val="1"/>
            <c:showPercent val="0"/>
            <c:showBubbleSize val="0"/>
            <c:showLeaderLines val="0"/>
          </c:dLbls>
          <c:xVal>
            <c:numRef>
              <c:f>difuzija!$B$27</c:f>
              <c:numCache>
                <c:formatCode>General</c:formatCode>
                <c:ptCount val="1"/>
                <c:pt idx="0">
                  <c:v>3.45</c:v>
                </c:pt>
              </c:numCache>
            </c:numRef>
          </c:xVal>
          <c:yVal>
            <c:numRef>
              <c:f>difuzija!$D$27</c:f>
              <c:numCache>
                <c:formatCode>General</c:formatCode>
                <c:ptCount val="1"/>
                <c:pt idx="0">
                  <c:v>15.6</c:v>
                </c:pt>
              </c:numCache>
            </c:numRef>
          </c:yVal>
          <c:smooth val="0"/>
        </c:ser>
        <c:ser>
          <c:idx val="26"/>
          <c:order val="26"/>
          <c:tx>
            <c:strRef>
              <c:f>difuzija!$A$28</c:f>
              <c:strCache>
                <c:ptCount val="1"/>
                <c:pt idx="0">
                  <c:v>SE</c:v>
                </c:pt>
              </c:strCache>
            </c:strRef>
          </c:tx>
          <c:spPr>
            <a:ln w="28575">
              <a:noFill/>
            </a:ln>
          </c:spPr>
          <c:marker>
            <c:symbol val="diamond"/>
            <c:size val="9"/>
            <c:spPr>
              <a:solidFill>
                <a:schemeClr val="tx2">
                  <a:lumMod val="75000"/>
                </a:schemeClr>
              </a:solidFill>
              <a:ln>
                <a:noFill/>
              </a:ln>
            </c:spPr>
          </c:marker>
          <c:dLbls>
            <c:dLbl>
              <c:idx val="0"/>
              <c:layout>
                <c:manualLayout>
                  <c:x val="-1.3888888888888888E-2"/>
                  <c:y val="0"/>
                </c:manualLayout>
              </c:layout>
              <c:showLegendKey val="0"/>
              <c:showVal val="0"/>
              <c:showCatName val="0"/>
              <c:showSerName val="1"/>
              <c:showPercent val="0"/>
              <c:showBubbleSize val="0"/>
            </c:dLbl>
            <c:txPr>
              <a:bodyPr/>
              <a:lstStyle/>
              <a:p>
                <a:pPr>
                  <a:defRPr sz="900">
                    <a:latin typeface="Times New Roman" pitchFamily="18" charset="0"/>
                    <a:cs typeface="Times New Roman" pitchFamily="18" charset="0"/>
                  </a:defRPr>
                </a:pPr>
                <a:endParaRPr lang="lt-LT"/>
              </a:p>
            </c:txPr>
            <c:showLegendKey val="0"/>
            <c:showVal val="0"/>
            <c:showCatName val="0"/>
            <c:showSerName val="1"/>
            <c:showPercent val="0"/>
            <c:showBubbleSize val="0"/>
            <c:showLeaderLines val="0"/>
          </c:dLbls>
          <c:xVal>
            <c:numRef>
              <c:f>difuzija!$B$28</c:f>
              <c:numCache>
                <c:formatCode>General</c:formatCode>
                <c:ptCount val="1"/>
                <c:pt idx="0">
                  <c:v>3.42</c:v>
                </c:pt>
              </c:numCache>
            </c:numRef>
          </c:xVal>
          <c:yVal>
            <c:numRef>
              <c:f>difuzija!$D$28</c:f>
              <c:numCache>
                <c:formatCode>General</c:formatCode>
                <c:ptCount val="1"/>
                <c:pt idx="0">
                  <c:v>9.16</c:v>
                </c:pt>
              </c:numCache>
            </c:numRef>
          </c:yVal>
          <c:smooth val="0"/>
        </c:ser>
        <c:ser>
          <c:idx val="27"/>
          <c:order val="27"/>
          <c:tx>
            <c:strRef>
              <c:f>difuzija!$A$29</c:f>
              <c:strCache>
                <c:ptCount val="1"/>
                <c:pt idx="0">
                  <c:v>UK</c:v>
                </c:pt>
              </c:strCache>
            </c:strRef>
          </c:tx>
          <c:spPr>
            <a:ln w="28575">
              <a:noFill/>
            </a:ln>
          </c:spPr>
          <c:marker>
            <c:symbol val="diamond"/>
            <c:size val="9"/>
            <c:spPr>
              <a:solidFill>
                <a:srgbClr val="C0E43C"/>
              </a:solidFill>
              <a:ln>
                <a:noFill/>
              </a:ln>
            </c:spPr>
          </c:marker>
          <c:dLbls>
            <c:dLbl>
              <c:idx val="0"/>
              <c:layout>
                <c:manualLayout>
                  <c:x val="-1.112671333315378E-2"/>
                  <c:y val="0"/>
                </c:manualLayout>
              </c:layout>
              <c:showLegendKey val="0"/>
              <c:showVal val="0"/>
              <c:showCatName val="0"/>
              <c:showSerName val="1"/>
              <c:showPercent val="0"/>
              <c:showBubbleSize val="0"/>
            </c:dLbl>
            <c:txPr>
              <a:bodyPr/>
              <a:lstStyle/>
              <a:p>
                <a:pPr>
                  <a:defRPr sz="900">
                    <a:latin typeface="Times New Roman" pitchFamily="18" charset="0"/>
                    <a:cs typeface="Times New Roman" pitchFamily="18" charset="0"/>
                  </a:defRPr>
                </a:pPr>
                <a:endParaRPr lang="lt-LT"/>
              </a:p>
            </c:txPr>
            <c:showLegendKey val="0"/>
            <c:showVal val="1"/>
            <c:showCatName val="0"/>
            <c:showSerName val="0"/>
            <c:showPercent val="0"/>
            <c:showBubbleSize val="0"/>
            <c:showLeaderLines val="0"/>
          </c:dLbls>
          <c:xVal>
            <c:numRef>
              <c:f>difuzija!$B$29</c:f>
              <c:numCache>
                <c:formatCode>General</c:formatCode>
                <c:ptCount val="1"/>
                <c:pt idx="0">
                  <c:v>1.73</c:v>
                </c:pt>
              </c:numCache>
            </c:numRef>
          </c:xVal>
          <c:yVal>
            <c:numRef>
              <c:f>difuzija!$D$29</c:f>
              <c:numCache>
                <c:formatCode>General</c:formatCode>
                <c:ptCount val="1"/>
                <c:pt idx="0">
                  <c:v>7.31</c:v>
                </c:pt>
              </c:numCache>
            </c:numRef>
          </c:yVal>
          <c:smooth val="0"/>
        </c:ser>
        <c:dLbls>
          <c:showLegendKey val="0"/>
          <c:showVal val="0"/>
          <c:showCatName val="0"/>
          <c:showSerName val="0"/>
          <c:showPercent val="0"/>
          <c:showBubbleSize val="0"/>
        </c:dLbls>
        <c:axId val="231734592"/>
        <c:axId val="232177664"/>
      </c:scatterChart>
      <c:valAx>
        <c:axId val="231734592"/>
        <c:scaling>
          <c:orientation val="minMax"/>
        </c:scaling>
        <c:delete val="0"/>
        <c:axPos val="b"/>
        <c:title>
          <c:tx>
            <c:rich>
              <a:bodyPr/>
              <a:lstStyle/>
              <a:p>
                <a:pPr>
                  <a:defRPr/>
                </a:pPr>
                <a:r>
                  <a:rPr lang="lt-LT" b="0" baseline="0">
                    <a:latin typeface="Times New Roman" pitchFamily="18" charset="0"/>
                    <a:cs typeface="Times New Roman" pitchFamily="18" charset="0"/>
                  </a:rPr>
                  <a:t>Išlaidų MTEP santyis su BVP, proc.</a:t>
                </a:r>
                <a:endParaRPr lang="lt-LT" b="0">
                  <a:latin typeface="Times New Roman" pitchFamily="18" charset="0"/>
                  <a:cs typeface="Times New Roman" pitchFamily="18" charset="0"/>
                </a:endParaRPr>
              </a:p>
            </c:rich>
          </c:tx>
          <c:layout>
            <c:manualLayout>
              <c:xMode val="edge"/>
              <c:yMode val="edge"/>
              <c:x val="0.40720025241868812"/>
              <c:y val="0.90984702427070774"/>
            </c:manualLayout>
          </c:layout>
          <c:overlay val="0"/>
        </c:title>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lt-LT"/>
          </a:p>
        </c:txPr>
        <c:crossAx val="232177664"/>
        <c:crosses val="autoZero"/>
        <c:crossBetween val="midCat"/>
      </c:valAx>
      <c:valAx>
        <c:axId val="232177664"/>
        <c:scaling>
          <c:orientation val="minMax"/>
        </c:scaling>
        <c:delete val="0"/>
        <c:axPos val="l"/>
        <c:majorGridlines/>
        <c:title>
          <c:tx>
            <c:rich>
              <a:bodyPr rot="-5400000" vert="horz"/>
              <a:lstStyle/>
              <a:p>
                <a:pPr>
                  <a:defRPr b="0">
                    <a:latin typeface="Times New Roman" pitchFamily="18" charset="0"/>
                    <a:cs typeface="Times New Roman" pitchFamily="18" charset="0"/>
                  </a:defRPr>
                </a:pPr>
                <a:r>
                  <a:rPr lang="lt-LT" b="0" baseline="0">
                    <a:latin typeface="Times New Roman" pitchFamily="18" charset="0"/>
                    <a:cs typeface="Times New Roman" pitchFamily="18" charset="0"/>
                  </a:rPr>
                  <a:t>Inovacijų pardavimas rinkai ir įmonėms procentais nuo apyvartos</a:t>
                </a:r>
                <a:endParaRPr lang="lt-LT" b="0">
                  <a:latin typeface="Times New Roman" pitchFamily="18" charset="0"/>
                  <a:cs typeface="Times New Roman" pitchFamily="18" charset="0"/>
                </a:endParaRPr>
              </a:p>
            </c:rich>
          </c:tx>
          <c:layout>
            <c:manualLayout>
              <c:xMode val="edge"/>
              <c:yMode val="edge"/>
              <c:x val="2.5717410927693161E-2"/>
              <c:y val="0.13141113653699465"/>
            </c:manualLayout>
          </c:layout>
          <c:overlay val="0"/>
        </c:title>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lt-LT"/>
          </a:p>
        </c:txPr>
        <c:crossAx val="231734592"/>
        <c:crosses val="autoZero"/>
        <c:crossBetween val="midCat"/>
      </c:valAx>
      <c:spPr>
        <a:noFill/>
      </c:spPr>
    </c:plotArea>
    <c:plotVisOnly val="1"/>
    <c:dispBlanksAs val="gap"/>
    <c:showDLblsOverMax val="0"/>
  </c:chart>
  <c:spPr>
    <a:noFill/>
    <a:ln>
      <a:noFill/>
    </a:ln>
  </c:sp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lt-LT" sz="1000" b="0">
                <a:latin typeface="Times New Roman" pitchFamily="18" charset="0"/>
                <a:cs typeface="Times New Roman" pitchFamily="18" charset="0"/>
              </a:rPr>
              <a:t>2007</a:t>
            </a:r>
          </a:p>
        </c:rich>
      </c:tx>
      <c:layout>
        <c:manualLayout>
          <c:xMode val="edge"/>
          <c:yMode val="edge"/>
          <c:x val="0.47072068195100353"/>
          <c:y val="2.768166089965398E-2"/>
        </c:manualLayout>
      </c:layout>
      <c:overlay val="1"/>
    </c:title>
    <c:autoTitleDeleted val="0"/>
    <c:plotArea>
      <c:layout>
        <c:manualLayout>
          <c:layoutTarget val="inner"/>
          <c:xMode val="edge"/>
          <c:yMode val="edge"/>
          <c:x val="9.0881976534414474E-2"/>
          <c:y val="0.11970686097282433"/>
          <c:w val="0.88434316999980056"/>
          <c:h val="0.46851384019202497"/>
        </c:manualLayout>
      </c:layout>
      <c:barChart>
        <c:barDir val="col"/>
        <c:grouping val="clustered"/>
        <c:varyColors val="0"/>
        <c:ser>
          <c:idx val="0"/>
          <c:order val="0"/>
          <c:invertIfNegative val="0"/>
          <c:dPt>
            <c:idx val="0"/>
            <c:invertIfNegative val="0"/>
            <c:bubble3D val="0"/>
            <c:spPr>
              <a:solidFill>
                <a:schemeClr val="accent6">
                  <a:lumMod val="75000"/>
                </a:schemeClr>
              </a:solidFill>
            </c:spPr>
          </c:dPt>
          <c:dPt>
            <c:idx val="1"/>
            <c:invertIfNegative val="0"/>
            <c:bubble3D val="0"/>
            <c:spPr>
              <a:solidFill>
                <a:schemeClr val="accent6">
                  <a:lumMod val="75000"/>
                </a:schemeClr>
              </a:solidFill>
            </c:spPr>
          </c:dPt>
          <c:dPt>
            <c:idx val="2"/>
            <c:invertIfNegative val="0"/>
            <c:bubble3D val="0"/>
            <c:spPr>
              <a:solidFill>
                <a:schemeClr val="accent6">
                  <a:lumMod val="75000"/>
                </a:schemeClr>
              </a:solidFill>
            </c:spPr>
          </c:dPt>
          <c:dPt>
            <c:idx val="3"/>
            <c:invertIfNegative val="0"/>
            <c:bubble3D val="0"/>
            <c:spPr>
              <a:solidFill>
                <a:schemeClr val="accent6">
                  <a:lumMod val="75000"/>
                </a:schemeClr>
              </a:solidFill>
            </c:spPr>
          </c:dPt>
          <c:dPt>
            <c:idx val="4"/>
            <c:invertIfNegative val="0"/>
            <c:bubble3D val="0"/>
            <c:spPr>
              <a:solidFill>
                <a:schemeClr val="accent6">
                  <a:lumMod val="75000"/>
                </a:schemeClr>
              </a:solidFill>
              <a:ln w="19050">
                <a:solidFill>
                  <a:schemeClr val="accent6">
                    <a:lumMod val="50000"/>
                    <a:alpha val="86000"/>
                  </a:schemeClr>
                </a:solidFill>
                <a:prstDash val="sysDash"/>
              </a:ln>
            </c:spPr>
          </c:dPt>
          <c:dPt>
            <c:idx val="5"/>
            <c:invertIfNegative val="0"/>
            <c:bubble3D val="0"/>
            <c:spPr>
              <a:solidFill>
                <a:srgbClr val="9BE5EF"/>
              </a:solidFill>
            </c:spPr>
          </c:dPt>
          <c:dPt>
            <c:idx val="6"/>
            <c:invertIfNegative val="0"/>
            <c:bubble3D val="0"/>
            <c:spPr>
              <a:solidFill>
                <a:srgbClr val="9BE5EF"/>
              </a:solidFill>
            </c:spPr>
          </c:dPt>
          <c:dPt>
            <c:idx val="7"/>
            <c:invertIfNegative val="0"/>
            <c:bubble3D val="0"/>
            <c:spPr>
              <a:solidFill>
                <a:srgbClr val="9BE5EF"/>
              </a:solidFill>
            </c:spPr>
          </c:dPt>
          <c:dPt>
            <c:idx val="8"/>
            <c:invertIfNegative val="0"/>
            <c:bubble3D val="0"/>
            <c:spPr>
              <a:solidFill>
                <a:srgbClr val="9BE5EF"/>
              </a:solidFill>
            </c:spPr>
          </c:dPt>
          <c:dPt>
            <c:idx val="9"/>
            <c:invertIfNegative val="0"/>
            <c:bubble3D val="0"/>
            <c:spPr>
              <a:solidFill>
                <a:srgbClr val="9BE5EF"/>
              </a:solidFill>
            </c:spPr>
          </c:dPt>
          <c:dPt>
            <c:idx val="10"/>
            <c:invertIfNegative val="0"/>
            <c:bubble3D val="0"/>
            <c:spPr>
              <a:solidFill>
                <a:srgbClr val="9BE5EF"/>
              </a:solidFill>
            </c:spPr>
          </c:dPt>
          <c:dPt>
            <c:idx val="11"/>
            <c:invertIfNegative val="0"/>
            <c:bubble3D val="0"/>
            <c:spPr>
              <a:solidFill>
                <a:srgbClr val="9BE5EF"/>
              </a:solidFill>
            </c:spPr>
          </c:dPt>
          <c:dPt>
            <c:idx val="12"/>
            <c:invertIfNegative val="0"/>
            <c:bubble3D val="0"/>
            <c:spPr>
              <a:solidFill>
                <a:srgbClr val="9BE5EF"/>
              </a:solidFill>
            </c:spPr>
          </c:dPt>
          <c:dPt>
            <c:idx val="13"/>
            <c:invertIfNegative val="0"/>
            <c:bubble3D val="0"/>
            <c:spPr>
              <a:solidFill>
                <a:srgbClr val="9BE5EF"/>
              </a:solidFill>
            </c:spPr>
          </c:dPt>
          <c:dPt>
            <c:idx val="14"/>
            <c:invertIfNegative val="0"/>
            <c:bubble3D val="0"/>
            <c:spPr>
              <a:solidFill>
                <a:srgbClr val="9BE5EF"/>
              </a:solidFill>
            </c:spPr>
          </c:dPt>
          <c:dPt>
            <c:idx val="15"/>
            <c:invertIfNegative val="0"/>
            <c:bubble3D val="0"/>
            <c:spPr>
              <a:solidFill>
                <a:srgbClr val="9BE5EF"/>
              </a:solidFill>
            </c:spPr>
          </c:dPt>
          <c:dPt>
            <c:idx val="16"/>
            <c:invertIfNegative val="0"/>
            <c:bubble3D val="0"/>
            <c:spPr>
              <a:solidFill>
                <a:srgbClr val="C0E43C"/>
              </a:solidFill>
            </c:spPr>
          </c:dPt>
          <c:dPt>
            <c:idx val="17"/>
            <c:invertIfNegative val="0"/>
            <c:bubble3D val="0"/>
            <c:spPr>
              <a:solidFill>
                <a:schemeClr val="accent6">
                  <a:lumMod val="50000"/>
                </a:schemeClr>
              </a:solidFill>
            </c:spPr>
          </c:dPt>
          <c:dPt>
            <c:idx val="18"/>
            <c:invertIfNegative val="0"/>
            <c:bubble3D val="0"/>
            <c:spPr>
              <a:solidFill>
                <a:srgbClr val="C0E43C"/>
              </a:solidFill>
            </c:spPr>
          </c:dPt>
          <c:dPt>
            <c:idx val="19"/>
            <c:invertIfNegative val="0"/>
            <c:bubble3D val="0"/>
            <c:spPr>
              <a:solidFill>
                <a:srgbClr val="C0E43C"/>
              </a:solidFill>
            </c:spPr>
          </c:dPt>
          <c:dPt>
            <c:idx val="20"/>
            <c:invertIfNegative val="0"/>
            <c:bubble3D val="0"/>
            <c:spPr>
              <a:solidFill>
                <a:srgbClr val="C0E43C"/>
              </a:solidFill>
            </c:spPr>
          </c:dPt>
          <c:dPt>
            <c:idx val="21"/>
            <c:invertIfNegative val="0"/>
            <c:bubble3D val="0"/>
            <c:spPr>
              <a:solidFill>
                <a:srgbClr val="C0E43C"/>
              </a:solidFill>
            </c:spPr>
          </c:dPt>
          <c:dPt>
            <c:idx val="22"/>
            <c:invertIfNegative val="0"/>
            <c:bubble3D val="0"/>
            <c:spPr>
              <a:solidFill>
                <a:srgbClr val="C0E43C"/>
              </a:solidFill>
            </c:spPr>
          </c:dPt>
          <c:dPt>
            <c:idx val="23"/>
            <c:invertIfNegative val="0"/>
            <c:bubble3D val="0"/>
            <c:spPr>
              <a:solidFill>
                <a:srgbClr val="C0E43C"/>
              </a:solidFill>
            </c:spPr>
          </c:dPt>
          <c:dPt>
            <c:idx val="24"/>
            <c:invertIfNegative val="0"/>
            <c:bubble3D val="0"/>
            <c:spPr>
              <a:solidFill>
                <a:srgbClr val="C0E43C"/>
              </a:solidFill>
            </c:spPr>
          </c:dPt>
          <c:dPt>
            <c:idx val="25"/>
            <c:invertIfNegative val="0"/>
            <c:bubble3D val="0"/>
            <c:spPr>
              <a:solidFill>
                <a:srgbClr val="C0E43C"/>
              </a:solidFill>
            </c:spPr>
          </c:dPt>
          <c:dPt>
            <c:idx val="26"/>
            <c:invertIfNegative val="0"/>
            <c:bubble3D val="0"/>
            <c:spPr>
              <a:solidFill>
                <a:schemeClr val="tx2">
                  <a:lumMod val="75000"/>
                </a:schemeClr>
              </a:solidFill>
            </c:spPr>
          </c:dPt>
          <c:dPt>
            <c:idx val="27"/>
            <c:invertIfNegative val="0"/>
            <c:bubble3D val="0"/>
            <c:spPr>
              <a:solidFill>
                <a:schemeClr val="tx2">
                  <a:lumMod val="75000"/>
                </a:schemeClr>
              </a:solidFill>
            </c:spPr>
          </c:dPt>
          <c:cat>
            <c:strRef>
              <c:f>'Suminis inovacijų indeksas ES'!$A$3:$A$30</c:f>
              <c:strCache>
                <c:ptCount val="28"/>
                <c:pt idx="0">
                  <c:v>Bulgarija</c:v>
                </c:pt>
                <c:pt idx="1">
                  <c:v>Latvija</c:v>
                </c:pt>
                <c:pt idx="2">
                  <c:v>Rumunija</c:v>
                </c:pt>
                <c:pt idx="3">
                  <c:v>Slovakija</c:v>
                </c:pt>
                <c:pt idx="4">
                  <c:v>Lietuva</c:v>
                </c:pt>
                <c:pt idx="5">
                  <c:v>Lenkija</c:v>
                </c:pt>
                <c:pt idx="6">
                  <c:v>Malta</c:v>
                </c:pt>
                <c:pt idx="7">
                  <c:v>Vengrija</c:v>
                </c:pt>
                <c:pt idx="8">
                  <c:v>Graikija</c:v>
                </c:pt>
                <c:pt idx="9">
                  <c:v>Portugalija</c:v>
                </c:pt>
                <c:pt idx="10">
                  <c:v>Estija</c:v>
                </c:pt>
                <c:pt idx="11">
                  <c:v>Čekija</c:v>
                </c:pt>
                <c:pt idx="12">
                  <c:v>Ispanija</c:v>
                </c:pt>
                <c:pt idx="13">
                  <c:v>Italija</c:v>
                </c:pt>
                <c:pt idx="14">
                  <c:v>Kipras</c:v>
                </c:pt>
                <c:pt idx="15">
                  <c:v>Slovėnija</c:v>
                </c:pt>
                <c:pt idx="16">
                  <c:v>Prancūzija</c:v>
                </c:pt>
                <c:pt idx="17">
                  <c:v>ES 27</c:v>
                </c:pt>
                <c:pt idx="18">
                  <c:v>Nyderlandai</c:v>
                </c:pt>
                <c:pt idx="19">
                  <c:v>Airija</c:v>
                </c:pt>
                <c:pt idx="20">
                  <c:v>Austrija</c:v>
                </c:pt>
                <c:pt idx="21">
                  <c:v>Belgija</c:v>
                </c:pt>
                <c:pt idx="22">
                  <c:v>Liuksemburgas</c:v>
                </c:pt>
                <c:pt idx="23">
                  <c:v>Jungtinė Karalystė</c:v>
                </c:pt>
                <c:pt idx="24">
                  <c:v>Suomija</c:v>
                </c:pt>
                <c:pt idx="25">
                  <c:v>Vokietija</c:v>
                </c:pt>
                <c:pt idx="26">
                  <c:v>Danija</c:v>
                </c:pt>
                <c:pt idx="27">
                  <c:v>Švedija</c:v>
                </c:pt>
              </c:strCache>
            </c:strRef>
          </c:cat>
          <c:val>
            <c:numRef>
              <c:f>'Suminis inovacijų indeksas ES'!$B$3:$B$30</c:f>
              <c:numCache>
                <c:formatCode>General</c:formatCode>
                <c:ptCount val="28"/>
                <c:pt idx="0">
                  <c:v>0.17299999999999999</c:v>
                </c:pt>
                <c:pt idx="1">
                  <c:v>0.191</c:v>
                </c:pt>
                <c:pt idx="2">
                  <c:v>0.22600000000000001</c:v>
                </c:pt>
                <c:pt idx="3">
                  <c:v>0.25900000000000001</c:v>
                </c:pt>
                <c:pt idx="4">
                  <c:v>0.26500000000000001</c:v>
                </c:pt>
                <c:pt idx="5">
                  <c:v>0.28399999999999997</c:v>
                </c:pt>
                <c:pt idx="6">
                  <c:v>0.29199999999999998</c:v>
                </c:pt>
                <c:pt idx="7">
                  <c:v>0.314</c:v>
                </c:pt>
                <c:pt idx="8">
                  <c:v>0.32900000000000001</c:v>
                </c:pt>
                <c:pt idx="9">
                  <c:v>0.34</c:v>
                </c:pt>
                <c:pt idx="10">
                  <c:v>0.39500000000000002</c:v>
                </c:pt>
                <c:pt idx="11">
                  <c:v>0.39700000000000002</c:v>
                </c:pt>
                <c:pt idx="12">
                  <c:v>0.39700000000000002</c:v>
                </c:pt>
                <c:pt idx="13">
                  <c:v>0.41299999999999998</c:v>
                </c:pt>
                <c:pt idx="14">
                  <c:v>0.41799999999999998</c:v>
                </c:pt>
                <c:pt idx="15">
                  <c:v>0.43099999999999999</c:v>
                </c:pt>
                <c:pt idx="16">
                  <c:v>0.505</c:v>
                </c:pt>
                <c:pt idx="17">
                  <c:v>0.51700000000000002</c:v>
                </c:pt>
                <c:pt idx="18">
                  <c:v>0.56999999999999995</c:v>
                </c:pt>
                <c:pt idx="19">
                  <c:v>0.57599999999999996</c:v>
                </c:pt>
                <c:pt idx="20">
                  <c:v>0.57599999999999996</c:v>
                </c:pt>
                <c:pt idx="21">
                  <c:v>0.60599999999999998</c:v>
                </c:pt>
                <c:pt idx="22">
                  <c:v>0.61</c:v>
                </c:pt>
                <c:pt idx="23">
                  <c:v>0.62</c:v>
                </c:pt>
                <c:pt idx="24">
                  <c:v>0.64300000000000002</c:v>
                </c:pt>
                <c:pt idx="25">
                  <c:v>0.66</c:v>
                </c:pt>
                <c:pt idx="26">
                  <c:v>0.72699999999999998</c:v>
                </c:pt>
                <c:pt idx="27">
                  <c:v>0.746</c:v>
                </c:pt>
              </c:numCache>
            </c:numRef>
          </c:val>
        </c:ser>
        <c:dLbls>
          <c:showLegendKey val="0"/>
          <c:showVal val="0"/>
          <c:showCatName val="0"/>
          <c:showSerName val="0"/>
          <c:showPercent val="0"/>
          <c:showBubbleSize val="0"/>
        </c:dLbls>
        <c:gapWidth val="150"/>
        <c:axId val="232205312"/>
        <c:axId val="232179392"/>
      </c:barChart>
      <c:catAx>
        <c:axId val="232205312"/>
        <c:scaling>
          <c:orientation val="minMax"/>
        </c:scaling>
        <c:delete val="0"/>
        <c:axPos val="b"/>
        <c:majorTickMark val="out"/>
        <c:minorTickMark val="none"/>
        <c:tickLblPos val="nextTo"/>
        <c:txPr>
          <a:bodyPr/>
          <a:lstStyle/>
          <a:p>
            <a:pPr>
              <a:defRPr sz="1000">
                <a:latin typeface="Times New Roman" pitchFamily="18" charset="0"/>
                <a:cs typeface="Times New Roman" pitchFamily="18" charset="0"/>
              </a:defRPr>
            </a:pPr>
            <a:endParaRPr lang="lt-LT"/>
          </a:p>
        </c:txPr>
        <c:crossAx val="232179392"/>
        <c:crosses val="autoZero"/>
        <c:auto val="1"/>
        <c:lblAlgn val="ctr"/>
        <c:lblOffset val="100"/>
        <c:noMultiLvlLbl val="0"/>
      </c:catAx>
      <c:valAx>
        <c:axId val="232179392"/>
        <c:scaling>
          <c:orientation val="minMax"/>
        </c:scaling>
        <c:delete val="0"/>
        <c:axPos val="l"/>
        <c:majorGridlines/>
        <c:title>
          <c:tx>
            <c:rich>
              <a:bodyPr rot="0" vert="horz"/>
              <a:lstStyle/>
              <a:p>
                <a:pPr>
                  <a:defRPr/>
                </a:pPr>
                <a:r>
                  <a:rPr lang="lt-LT" sz="1200">
                    <a:latin typeface="Times New Roman" pitchFamily="18" charset="0"/>
                    <a:cs typeface="Times New Roman" pitchFamily="18" charset="0"/>
                  </a:rPr>
                  <a:t>a)</a:t>
                </a:r>
              </a:p>
            </c:rich>
          </c:tx>
          <c:layout>
            <c:manualLayout>
              <c:xMode val="edge"/>
              <c:yMode val="edge"/>
              <c:x val="1.0496981542594409E-3"/>
              <c:y val="0.31520947424824497"/>
            </c:manualLayout>
          </c:layout>
          <c:overlay val="0"/>
        </c:title>
        <c:numFmt formatCode="General" sourceLinked="1"/>
        <c:majorTickMark val="out"/>
        <c:minorTickMark val="none"/>
        <c:tickLblPos val="nextTo"/>
        <c:spPr>
          <a:noFill/>
        </c:spPr>
        <c:txPr>
          <a:bodyPr/>
          <a:lstStyle/>
          <a:p>
            <a:pPr>
              <a:defRPr>
                <a:latin typeface="Times New Roman" pitchFamily="18" charset="0"/>
                <a:cs typeface="Times New Roman" pitchFamily="18" charset="0"/>
              </a:defRPr>
            </a:pPr>
            <a:endParaRPr lang="lt-LT"/>
          </a:p>
        </c:txPr>
        <c:crossAx val="232205312"/>
        <c:crosses val="autoZero"/>
        <c:crossBetween val="between"/>
      </c:valAx>
      <c:spPr>
        <a:noFill/>
        <a:ln>
          <a:noFill/>
        </a:ln>
      </c:spPr>
    </c:plotArea>
    <c:plotVisOnly val="1"/>
    <c:dispBlanksAs val="gap"/>
    <c:showDLblsOverMax val="0"/>
  </c:chart>
  <c:spPr>
    <a:noFill/>
    <a:ln>
      <a:noFill/>
    </a:ln>
  </c:sp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lt-LT" sz="1000" b="0">
                <a:latin typeface="Times New Roman" pitchFamily="18" charset="0"/>
                <a:cs typeface="Times New Roman" pitchFamily="18" charset="0"/>
              </a:rPr>
              <a:t>2008</a:t>
            </a:r>
          </a:p>
        </c:rich>
      </c:tx>
      <c:layout>
        <c:manualLayout>
          <c:xMode val="edge"/>
          <c:yMode val="edge"/>
          <c:x val="0.47072068195100353"/>
          <c:y val="2.768166089965398E-2"/>
        </c:manualLayout>
      </c:layout>
      <c:overlay val="1"/>
    </c:title>
    <c:autoTitleDeleted val="0"/>
    <c:plotArea>
      <c:layout>
        <c:manualLayout>
          <c:layoutTarget val="inner"/>
          <c:xMode val="edge"/>
          <c:yMode val="edge"/>
          <c:x val="9.0881976534414474E-2"/>
          <c:y val="0.11970686097282433"/>
          <c:w val="0.88434316999980056"/>
          <c:h val="0.46851384019202497"/>
        </c:manualLayout>
      </c:layout>
      <c:barChart>
        <c:barDir val="col"/>
        <c:grouping val="clustered"/>
        <c:varyColors val="0"/>
        <c:ser>
          <c:idx val="0"/>
          <c:order val="0"/>
          <c:invertIfNegative val="0"/>
          <c:dPt>
            <c:idx val="0"/>
            <c:invertIfNegative val="0"/>
            <c:bubble3D val="0"/>
            <c:spPr>
              <a:solidFill>
                <a:schemeClr val="accent6">
                  <a:lumMod val="75000"/>
                </a:schemeClr>
              </a:solidFill>
            </c:spPr>
          </c:dPt>
          <c:dPt>
            <c:idx val="1"/>
            <c:invertIfNegative val="0"/>
            <c:bubble3D val="0"/>
            <c:spPr>
              <a:solidFill>
                <a:schemeClr val="accent6">
                  <a:lumMod val="75000"/>
                </a:schemeClr>
              </a:solidFill>
            </c:spPr>
          </c:dPt>
          <c:dPt>
            <c:idx val="2"/>
            <c:invertIfNegative val="0"/>
            <c:bubble3D val="0"/>
            <c:spPr>
              <a:solidFill>
                <a:schemeClr val="accent6">
                  <a:lumMod val="75000"/>
                </a:schemeClr>
              </a:solidFill>
            </c:spPr>
          </c:dPt>
          <c:dPt>
            <c:idx val="3"/>
            <c:invertIfNegative val="0"/>
            <c:bubble3D val="0"/>
            <c:spPr>
              <a:solidFill>
                <a:schemeClr val="accent6">
                  <a:lumMod val="75000"/>
                </a:schemeClr>
              </a:solidFill>
              <a:ln w="19050">
                <a:solidFill>
                  <a:schemeClr val="accent6">
                    <a:lumMod val="50000"/>
                  </a:schemeClr>
                </a:solidFill>
                <a:prstDash val="sysDash"/>
              </a:ln>
            </c:spPr>
          </c:dPt>
          <c:dPt>
            <c:idx val="4"/>
            <c:invertIfNegative val="0"/>
            <c:bubble3D val="0"/>
            <c:spPr>
              <a:solidFill>
                <a:srgbClr val="9BE5EF"/>
              </a:solidFill>
              <a:ln w="19050">
                <a:noFill/>
                <a:prstDash val="sysDash"/>
              </a:ln>
            </c:spPr>
          </c:dPt>
          <c:dPt>
            <c:idx val="5"/>
            <c:invertIfNegative val="0"/>
            <c:bubble3D val="0"/>
            <c:spPr>
              <a:solidFill>
                <a:srgbClr val="9BE5EF"/>
              </a:solidFill>
            </c:spPr>
          </c:dPt>
          <c:dPt>
            <c:idx val="6"/>
            <c:invertIfNegative val="0"/>
            <c:bubble3D val="0"/>
            <c:spPr>
              <a:solidFill>
                <a:srgbClr val="9BE5EF"/>
              </a:solidFill>
            </c:spPr>
          </c:dPt>
          <c:dPt>
            <c:idx val="7"/>
            <c:invertIfNegative val="0"/>
            <c:bubble3D val="0"/>
            <c:spPr>
              <a:solidFill>
                <a:srgbClr val="9BE5EF"/>
              </a:solidFill>
            </c:spPr>
          </c:dPt>
          <c:dPt>
            <c:idx val="8"/>
            <c:invertIfNegative val="0"/>
            <c:bubble3D val="0"/>
            <c:spPr>
              <a:solidFill>
                <a:srgbClr val="9BE5EF"/>
              </a:solidFill>
            </c:spPr>
          </c:dPt>
          <c:dPt>
            <c:idx val="9"/>
            <c:invertIfNegative val="0"/>
            <c:bubble3D val="0"/>
            <c:spPr>
              <a:solidFill>
                <a:srgbClr val="9BE5EF"/>
              </a:solidFill>
            </c:spPr>
          </c:dPt>
          <c:dPt>
            <c:idx val="10"/>
            <c:invertIfNegative val="0"/>
            <c:bubble3D val="0"/>
            <c:spPr>
              <a:solidFill>
                <a:srgbClr val="9BE5EF"/>
              </a:solidFill>
            </c:spPr>
          </c:dPt>
          <c:dPt>
            <c:idx val="11"/>
            <c:invertIfNegative val="0"/>
            <c:bubble3D val="0"/>
            <c:spPr>
              <a:solidFill>
                <a:srgbClr val="9BE5EF"/>
              </a:solidFill>
            </c:spPr>
          </c:dPt>
          <c:dPt>
            <c:idx val="12"/>
            <c:invertIfNegative val="0"/>
            <c:bubble3D val="0"/>
            <c:spPr>
              <a:solidFill>
                <a:srgbClr val="9BE5EF"/>
              </a:solidFill>
            </c:spPr>
          </c:dPt>
          <c:dPt>
            <c:idx val="13"/>
            <c:invertIfNegative val="0"/>
            <c:bubble3D val="0"/>
            <c:spPr>
              <a:solidFill>
                <a:srgbClr val="9BE5EF"/>
              </a:solidFill>
            </c:spPr>
          </c:dPt>
          <c:dPt>
            <c:idx val="14"/>
            <c:invertIfNegative val="0"/>
            <c:bubble3D val="0"/>
            <c:spPr>
              <a:solidFill>
                <a:srgbClr val="9BE5EF"/>
              </a:solidFill>
            </c:spPr>
          </c:dPt>
          <c:dPt>
            <c:idx val="15"/>
            <c:invertIfNegative val="0"/>
            <c:bubble3D val="0"/>
            <c:spPr>
              <a:solidFill>
                <a:srgbClr val="9BE5EF"/>
              </a:solidFill>
            </c:spPr>
          </c:dPt>
          <c:dPt>
            <c:idx val="16"/>
            <c:invertIfNegative val="0"/>
            <c:bubble3D val="0"/>
            <c:spPr>
              <a:solidFill>
                <a:srgbClr val="C0E43C"/>
              </a:solidFill>
            </c:spPr>
          </c:dPt>
          <c:dPt>
            <c:idx val="17"/>
            <c:invertIfNegative val="0"/>
            <c:bubble3D val="0"/>
            <c:spPr>
              <a:solidFill>
                <a:schemeClr val="accent6">
                  <a:lumMod val="50000"/>
                </a:schemeClr>
              </a:solidFill>
            </c:spPr>
          </c:dPt>
          <c:dPt>
            <c:idx val="18"/>
            <c:invertIfNegative val="0"/>
            <c:bubble3D val="0"/>
            <c:spPr>
              <a:solidFill>
                <a:srgbClr val="C0E43C"/>
              </a:solidFill>
            </c:spPr>
          </c:dPt>
          <c:dPt>
            <c:idx val="19"/>
            <c:invertIfNegative val="0"/>
            <c:bubble3D val="0"/>
            <c:spPr>
              <a:solidFill>
                <a:srgbClr val="C0E43C"/>
              </a:solidFill>
            </c:spPr>
          </c:dPt>
          <c:dPt>
            <c:idx val="20"/>
            <c:invertIfNegative val="0"/>
            <c:bubble3D val="0"/>
            <c:spPr>
              <a:solidFill>
                <a:srgbClr val="C0E43C"/>
              </a:solidFill>
            </c:spPr>
          </c:dPt>
          <c:dPt>
            <c:idx val="21"/>
            <c:invertIfNegative val="0"/>
            <c:bubble3D val="0"/>
            <c:spPr>
              <a:solidFill>
                <a:srgbClr val="C0E43C"/>
              </a:solidFill>
            </c:spPr>
          </c:dPt>
          <c:dPt>
            <c:idx val="22"/>
            <c:invertIfNegative val="0"/>
            <c:bubble3D val="0"/>
            <c:spPr>
              <a:solidFill>
                <a:srgbClr val="C0E43C"/>
              </a:solidFill>
            </c:spPr>
          </c:dPt>
          <c:dPt>
            <c:idx val="23"/>
            <c:invertIfNegative val="0"/>
            <c:bubble3D val="0"/>
            <c:spPr>
              <a:solidFill>
                <a:srgbClr val="C0E43C"/>
              </a:solidFill>
            </c:spPr>
          </c:dPt>
          <c:dPt>
            <c:idx val="24"/>
            <c:invertIfNegative val="0"/>
            <c:bubble3D val="0"/>
            <c:spPr>
              <a:solidFill>
                <a:srgbClr val="C0E43C"/>
              </a:solidFill>
            </c:spPr>
          </c:dPt>
          <c:dPt>
            <c:idx val="25"/>
            <c:invertIfNegative val="0"/>
            <c:bubble3D val="0"/>
            <c:spPr>
              <a:solidFill>
                <a:srgbClr val="C0E43C"/>
              </a:solidFill>
            </c:spPr>
          </c:dPt>
          <c:dPt>
            <c:idx val="26"/>
            <c:invertIfNegative val="0"/>
            <c:bubble3D val="0"/>
            <c:spPr>
              <a:solidFill>
                <a:schemeClr val="tx2">
                  <a:lumMod val="75000"/>
                </a:schemeClr>
              </a:solidFill>
            </c:spPr>
          </c:dPt>
          <c:dPt>
            <c:idx val="27"/>
            <c:invertIfNegative val="0"/>
            <c:bubble3D val="0"/>
            <c:spPr>
              <a:solidFill>
                <a:schemeClr val="tx2">
                  <a:lumMod val="75000"/>
                </a:schemeClr>
              </a:solidFill>
            </c:spPr>
          </c:dPt>
          <c:cat>
            <c:strRef>
              <c:f>'Suminis inovacijų indeksas ES'!$C$3:$C$30</c:f>
              <c:strCache>
                <c:ptCount val="28"/>
                <c:pt idx="0">
                  <c:v>Bulgarija</c:v>
                </c:pt>
                <c:pt idx="1">
                  <c:v>Latvija</c:v>
                </c:pt>
                <c:pt idx="2">
                  <c:v>Rumunija</c:v>
                </c:pt>
                <c:pt idx="3">
                  <c:v>Lietuva</c:v>
                </c:pt>
                <c:pt idx="4">
                  <c:v>Lenkija</c:v>
                </c:pt>
                <c:pt idx="5">
                  <c:v>Slovakija</c:v>
                </c:pt>
                <c:pt idx="6">
                  <c:v>Malta</c:v>
                </c:pt>
                <c:pt idx="7">
                  <c:v>Vengrija</c:v>
                </c:pt>
                <c:pt idx="8">
                  <c:v>Graikija</c:v>
                </c:pt>
                <c:pt idx="9">
                  <c:v>Portugalija</c:v>
                </c:pt>
                <c:pt idx="10">
                  <c:v>Čekija</c:v>
                </c:pt>
                <c:pt idx="11">
                  <c:v>Ispanija</c:v>
                </c:pt>
                <c:pt idx="12">
                  <c:v>Estija</c:v>
                </c:pt>
                <c:pt idx="13">
                  <c:v>Italija</c:v>
                </c:pt>
                <c:pt idx="14">
                  <c:v>Slovėnija</c:v>
                </c:pt>
                <c:pt idx="15">
                  <c:v>Kipras</c:v>
                </c:pt>
                <c:pt idx="16">
                  <c:v>Prancūzija</c:v>
                </c:pt>
                <c:pt idx="17">
                  <c:v>ES 27</c:v>
                </c:pt>
                <c:pt idx="18">
                  <c:v>Nyderlandai</c:v>
                </c:pt>
                <c:pt idx="19">
                  <c:v>Austrija</c:v>
                </c:pt>
                <c:pt idx="20">
                  <c:v>Airija</c:v>
                </c:pt>
                <c:pt idx="21">
                  <c:v>Belgija</c:v>
                </c:pt>
                <c:pt idx="22">
                  <c:v>Liuksemburgas</c:v>
                </c:pt>
                <c:pt idx="23">
                  <c:v>Jungtinė Karalystė</c:v>
                </c:pt>
                <c:pt idx="24">
                  <c:v>Suomija</c:v>
                </c:pt>
                <c:pt idx="25">
                  <c:v>Vokietija</c:v>
                </c:pt>
                <c:pt idx="26">
                  <c:v>Danija</c:v>
                </c:pt>
                <c:pt idx="27">
                  <c:v>Švedija</c:v>
                </c:pt>
              </c:strCache>
            </c:strRef>
          </c:cat>
          <c:val>
            <c:numRef>
              <c:f>'Suminis inovacijų indeksas ES'!$D$3:$D$30</c:f>
              <c:numCache>
                <c:formatCode>General</c:formatCode>
                <c:ptCount val="28"/>
                <c:pt idx="0">
                  <c:v>0.192</c:v>
                </c:pt>
                <c:pt idx="1">
                  <c:v>0.20499999999999999</c:v>
                </c:pt>
                <c:pt idx="2">
                  <c:v>0.24199999999999999</c:v>
                </c:pt>
                <c:pt idx="3">
                  <c:v>0.27200000000000002</c:v>
                </c:pt>
                <c:pt idx="4">
                  <c:v>0.29299999999999998</c:v>
                </c:pt>
                <c:pt idx="5">
                  <c:v>0.309</c:v>
                </c:pt>
                <c:pt idx="6">
                  <c:v>0.312</c:v>
                </c:pt>
                <c:pt idx="7">
                  <c:v>0.316</c:v>
                </c:pt>
                <c:pt idx="8">
                  <c:v>0.35499999999999998</c:v>
                </c:pt>
                <c:pt idx="9">
                  <c:v>0.372</c:v>
                </c:pt>
                <c:pt idx="10">
                  <c:v>0.40400000000000003</c:v>
                </c:pt>
                <c:pt idx="11">
                  <c:v>0.40400000000000003</c:v>
                </c:pt>
                <c:pt idx="12">
                  <c:v>0.41</c:v>
                </c:pt>
                <c:pt idx="13">
                  <c:v>0.42299999999999999</c:v>
                </c:pt>
                <c:pt idx="14">
                  <c:v>0.45400000000000001</c:v>
                </c:pt>
                <c:pt idx="15">
                  <c:v>0.47399999999999998</c:v>
                </c:pt>
                <c:pt idx="16">
                  <c:v>0.51500000000000001</c:v>
                </c:pt>
                <c:pt idx="17">
                  <c:v>0.52600000000000002</c:v>
                </c:pt>
                <c:pt idx="18">
                  <c:v>0.57499999999999996</c:v>
                </c:pt>
                <c:pt idx="19">
                  <c:v>0.59299999999999997</c:v>
                </c:pt>
                <c:pt idx="20">
                  <c:v>0.59699999999999998</c:v>
                </c:pt>
                <c:pt idx="21">
                  <c:v>0.61699999999999999</c:v>
                </c:pt>
                <c:pt idx="22">
                  <c:v>0.622</c:v>
                </c:pt>
                <c:pt idx="23">
                  <c:v>0.625</c:v>
                </c:pt>
                <c:pt idx="24">
                  <c:v>0.64200000000000002</c:v>
                </c:pt>
                <c:pt idx="25">
                  <c:v>0.66800000000000004</c:v>
                </c:pt>
                <c:pt idx="26">
                  <c:v>0.71799999999999997</c:v>
                </c:pt>
                <c:pt idx="27">
                  <c:v>0.76700000000000002</c:v>
                </c:pt>
              </c:numCache>
            </c:numRef>
          </c:val>
        </c:ser>
        <c:dLbls>
          <c:showLegendKey val="0"/>
          <c:showVal val="0"/>
          <c:showCatName val="0"/>
          <c:showSerName val="0"/>
          <c:showPercent val="0"/>
          <c:showBubbleSize val="0"/>
        </c:dLbls>
        <c:gapWidth val="150"/>
        <c:axId val="232313344"/>
        <c:axId val="232181120"/>
      </c:barChart>
      <c:catAx>
        <c:axId val="232313344"/>
        <c:scaling>
          <c:orientation val="minMax"/>
        </c:scaling>
        <c:delete val="0"/>
        <c:axPos val="b"/>
        <c:majorTickMark val="out"/>
        <c:minorTickMark val="none"/>
        <c:tickLblPos val="nextTo"/>
        <c:txPr>
          <a:bodyPr/>
          <a:lstStyle/>
          <a:p>
            <a:pPr>
              <a:defRPr sz="1000">
                <a:latin typeface="Times New Roman" pitchFamily="18" charset="0"/>
                <a:cs typeface="Times New Roman" pitchFamily="18" charset="0"/>
              </a:defRPr>
            </a:pPr>
            <a:endParaRPr lang="lt-LT"/>
          </a:p>
        </c:txPr>
        <c:crossAx val="232181120"/>
        <c:crosses val="autoZero"/>
        <c:auto val="1"/>
        <c:lblAlgn val="ctr"/>
        <c:lblOffset val="100"/>
        <c:noMultiLvlLbl val="0"/>
      </c:catAx>
      <c:valAx>
        <c:axId val="232181120"/>
        <c:scaling>
          <c:orientation val="minMax"/>
        </c:scaling>
        <c:delete val="0"/>
        <c:axPos val="l"/>
        <c:majorGridlines/>
        <c:title>
          <c:tx>
            <c:rich>
              <a:bodyPr rot="0" vert="horz"/>
              <a:lstStyle/>
              <a:p>
                <a:pPr>
                  <a:defRPr/>
                </a:pPr>
                <a:r>
                  <a:rPr lang="lt-LT" sz="1200">
                    <a:latin typeface="Times New Roman" pitchFamily="18" charset="0"/>
                    <a:cs typeface="Times New Roman" pitchFamily="18" charset="0"/>
                  </a:rPr>
                  <a:t>b)</a:t>
                </a:r>
              </a:p>
            </c:rich>
          </c:tx>
          <c:layout>
            <c:manualLayout>
              <c:xMode val="edge"/>
              <c:yMode val="edge"/>
              <c:x val="1.0496981542594409E-3"/>
              <c:y val="0.31520947424824497"/>
            </c:manualLayout>
          </c:layout>
          <c:overlay val="0"/>
        </c:title>
        <c:numFmt formatCode="General" sourceLinked="1"/>
        <c:majorTickMark val="out"/>
        <c:minorTickMark val="none"/>
        <c:tickLblPos val="nextTo"/>
        <c:spPr>
          <a:noFill/>
        </c:spPr>
        <c:txPr>
          <a:bodyPr/>
          <a:lstStyle/>
          <a:p>
            <a:pPr>
              <a:defRPr>
                <a:latin typeface="Times New Roman" pitchFamily="18" charset="0"/>
                <a:cs typeface="Times New Roman" pitchFamily="18" charset="0"/>
              </a:defRPr>
            </a:pPr>
            <a:endParaRPr lang="lt-LT"/>
          </a:p>
        </c:txPr>
        <c:crossAx val="232313344"/>
        <c:crosses val="autoZero"/>
        <c:crossBetween val="between"/>
      </c:valAx>
      <c:spPr>
        <a:noFill/>
        <a:ln>
          <a:noFill/>
        </a:ln>
      </c:spPr>
    </c:plotArea>
    <c:plotVisOnly val="1"/>
    <c:dispBlanksAs val="gap"/>
    <c:showDLblsOverMax val="0"/>
  </c:chart>
  <c:spPr>
    <a:noFill/>
    <a:ln>
      <a:noFill/>
    </a:ln>
  </c:sp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lt-LT" sz="1000" b="0">
                <a:latin typeface="Times New Roman" pitchFamily="18" charset="0"/>
                <a:cs typeface="Times New Roman" pitchFamily="18" charset="0"/>
              </a:rPr>
              <a:t>2009</a:t>
            </a:r>
          </a:p>
        </c:rich>
      </c:tx>
      <c:layout>
        <c:manualLayout>
          <c:xMode val="edge"/>
          <c:yMode val="edge"/>
          <c:x val="0.47072068195100353"/>
          <c:y val="2.768166089965398E-2"/>
        </c:manualLayout>
      </c:layout>
      <c:overlay val="1"/>
    </c:title>
    <c:autoTitleDeleted val="0"/>
    <c:plotArea>
      <c:layout>
        <c:manualLayout>
          <c:layoutTarget val="inner"/>
          <c:xMode val="edge"/>
          <c:yMode val="edge"/>
          <c:x val="9.0881976534414474E-2"/>
          <c:y val="0.11970686097282433"/>
          <c:w val="0.88434316999980056"/>
          <c:h val="0.46851384019202497"/>
        </c:manualLayout>
      </c:layout>
      <c:barChart>
        <c:barDir val="col"/>
        <c:grouping val="clustered"/>
        <c:varyColors val="0"/>
        <c:ser>
          <c:idx val="0"/>
          <c:order val="0"/>
          <c:invertIfNegative val="0"/>
          <c:dPt>
            <c:idx val="0"/>
            <c:invertIfNegative val="0"/>
            <c:bubble3D val="0"/>
            <c:spPr>
              <a:solidFill>
                <a:schemeClr val="accent6">
                  <a:lumMod val="75000"/>
                </a:schemeClr>
              </a:solidFill>
            </c:spPr>
          </c:dPt>
          <c:dPt>
            <c:idx val="1"/>
            <c:invertIfNegative val="0"/>
            <c:bubble3D val="0"/>
            <c:spPr>
              <a:solidFill>
                <a:schemeClr val="accent6">
                  <a:lumMod val="75000"/>
                </a:schemeClr>
              </a:solidFill>
            </c:spPr>
          </c:dPt>
          <c:dPt>
            <c:idx val="2"/>
            <c:invertIfNegative val="0"/>
            <c:bubble3D val="0"/>
            <c:spPr>
              <a:solidFill>
                <a:schemeClr val="accent6">
                  <a:lumMod val="75000"/>
                </a:schemeClr>
              </a:solidFill>
              <a:ln w="19050">
                <a:solidFill>
                  <a:schemeClr val="accent6">
                    <a:lumMod val="50000"/>
                  </a:schemeClr>
                </a:solidFill>
                <a:prstDash val="sysDash"/>
              </a:ln>
            </c:spPr>
          </c:dPt>
          <c:dPt>
            <c:idx val="3"/>
            <c:invertIfNegative val="0"/>
            <c:bubble3D val="0"/>
            <c:spPr>
              <a:solidFill>
                <a:schemeClr val="accent6">
                  <a:lumMod val="75000"/>
                </a:schemeClr>
              </a:solidFill>
              <a:ln w="19050">
                <a:noFill/>
                <a:prstDash val="sysDash"/>
              </a:ln>
            </c:spPr>
          </c:dPt>
          <c:dPt>
            <c:idx val="4"/>
            <c:invertIfNegative val="0"/>
            <c:bubble3D val="0"/>
            <c:spPr>
              <a:solidFill>
                <a:srgbClr val="9BE5EF"/>
              </a:solidFill>
              <a:ln w="19050">
                <a:noFill/>
                <a:prstDash val="sysDash"/>
              </a:ln>
            </c:spPr>
          </c:dPt>
          <c:dPt>
            <c:idx val="5"/>
            <c:invertIfNegative val="0"/>
            <c:bubble3D val="0"/>
            <c:spPr>
              <a:solidFill>
                <a:srgbClr val="9BE5EF"/>
              </a:solidFill>
            </c:spPr>
          </c:dPt>
          <c:dPt>
            <c:idx val="6"/>
            <c:invertIfNegative val="0"/>
            <c:bubble3D val="0"/>
            <c:spPr>
              <a:solidFill>
                <a:srgbClr val="9BE5EF"/>
              </a:solidFill>
            </c:spPr>
          </c:dPt>
          <c:dPt>
            <c:idx val="7"/>
            <c:invertIfNegative val="0"/>
            <c:bubble3D val="0"/>
            <c:spPr>
              <a:solidFill>
                <a:srgbClr val="9BE5EF"/>
              </a:solidFill>
            </c:spPr>
          </c:dPt>
          <c:dPt>
            <c:idx val="8"/>
            <c:invertIfNegative val="0"/>
            <c:bubble3D val="0"/>
            <c:spPr>
              <a:solidFill>
                <a:srgbClr val="9BE5EF"/>
              </a:solidFill>
            </c:spPr>
          </c:dPt>
          <c:dPt>
            <c:idx val="9"/>
            <c:invertIfNegative val="0"/>
            <c:bubble3D val="0"/>
            <c:spPr>
              <a:solidFill>
                <a:srgbClr val="9BE5EF"/>
              </a:solidFill>
            </c:spPr>
          </c:dPt>
          <c:dPt>
            <c:idx val="10"/>
            <c:invertIfNegative val="0"/>
            <c:bubble3D val="0"/>
            <c:spPr>
              <a:solidFill>
                <a:srgbClr val="9BE5EF"/>
              </a:solidFill>
            </c:spPr>
          </c:dPt>
          <c:dPt>
            <c:idx val="11"/>
            <c:invertIfNegative val="0"/>
            <c:bubble3D val="0"/>
            <c:spPr>
              <a:solidFill>
                <a:srgbClr val="9BE5EF"/>
              </a:solidFill>
            </c:spPr>
          </c:dPt>
          <c:dPt>
            <c:idx val="12"/>
            <c:invertIfNegative val="0"/>
            <c:bubble3D val="0"/>
            <c:spPr>
              <a:solidFill>
                <a:srgbClr val="9BE5EF"/>
              </a:solidFill>
            </c:spPr>
          </c:dPt>
          <c:dPt>
            <c:idx val="13"/>
            <c:invertIfNegative val="0"/>
            <c:bubble3D val="0"/>
            <c:spPr>
              <a:solidFill>
                <a:srgbClr val="9BE5EF"/>
              </a:solidFill>
            </c:spPr>
          </c:dPt>
          <c:dPt>
            <c:idx val="14"/>
            <c:invertIfNegative val="0"/>
            <c:bubble3D val="0"/>
            <c:spPr>
              <a:solidFill>
                <a:srgbClr val="9BE5EF"/>
              </a:solidFill>
            </c:spPr>
          </c:dPt>
          <c:dPt>
            <c:idx val="15"/>
            <c:invertIfNegative val="0"/>
            <c:bubble3D val="0"/>
            <c:spPr>
              <a:solidFill>
                <a:srgbClr val="9BE5EF"/>
              </a:solidFill>
            </c:spPr>
          </c:dPt>
          <c:dPt>
            <c:idx val="16"/>
            <c:invertIfNegative val="0"/>
            <c:bubble3D val="0"/>
            <c:spPr>
              <a:solidFill>
                <a:schemeClr val="accent6">
                  <a:lumMod val="50000"/>
                </a:schemeClr>
              </a:solidFill>
            </c:spPr>
          </c:dPt>
          <c:dPt>
            <c:idx val="17"/>
            <c:invertIfNegative val="0"/>
            <c:bubble3D val="0"/>
            <c:spPr>
              <a:solidFill>
                <a:srgbClr val="C0E43C"/>
              </a:solidFill>
            </c:spPr>
          </c:dPt>
          <c:dPt>
            <c:idx val="18"/>
            <c:invertIfNegative val="0"/>
            <c:bubble3D val="0"/>
            <c:spPr>
              <a:solidFill>
                <a:srgbClr val="C0E43C"/>
              </a:solidFill>
            </c:spPr>
          </c:dPt>
          <c:dPt>
            <c:idx val="19"/>
            <c:invertIfNegative val="0"/>
            <c:bubble3D val="0"/>
            <c:spPr>
              <a:solidFill>
                <a:srgbClr val="C0E43C"/>
              </a:solidFill>
            </c:spPr>
          </c:dPt>
          <c:dPt>
            <c:idx val="20"/>
            <c:invertIfNegative val="0"/>
            <c:bubble3D val="0"/>
            <c:spPr>
              <a:solidFill>
                <a:srgbClr val="C0E43C"/>
              </a:solidFill>
            </c:spPr>
          </c:dPt>
          <c:dPt>
            <c:idx val="21"/>
            <c:invertIfNegative val="0"/>
            <c:bubble3D val="0"/>
            <c:spPr>
              <a:solidFill>
                <a:srgbClr val="C0E43C"/>
              </a:solidFill>
            </c:spPr>
          </c:dPt>
          <c:dPt>
            <c:idx val="22"/>
            <c:invertIfNegative val="0"/>
            <c:bubble3D val="0"/>
            <c:spPr>
              <a:solidFill>
                <a:srgbClr val="C0E43C"/>
              </a:solidFill>
            </c:spPr>
          </c:dPt>
          <c:dPt>
            <c:idx val="23"/>
            <c:invertIfNegative val="0"/>
            <c:bubble3D val="0"/>
            <c:spPr>
              <a:solidFill>
                <a:srgbClr val="C0E43C"/>
              </a:solidFill>
            </c:spPr>
          </c:dPt>
          <c:dPt>
            <c:idx val="24"/>
            <c:invertIfNegative val="0"/>
            <c:bubble3D val="0"/>
            <c:spPr>
              <a:solidFill>
                <a:srgbClr val="C0E43C"/>
              </a:solidFill>
            </c:spPr>
          </c:dPt>
          <c:dPt>
            <c:idx val="25"/>
            <c:invertIfNegative val="0"/>
            <c:bubble3D val="0"/>
            <c:spPr>
              <a:solidFill>
                <a:srgbClr val="C0E43C"/>
              </a:solidFill>
            </c:spPr>
          </c:dPt>
          <c:dPt>
            <c:idx val="26"/>
            <c:invertIfNegative val="0"/>
            <c:bubble3D val="0"/>
            <c:spPr>
              <a:solidFill>
                <a:schemeClr val="tx2">
                  <a:lumMod val="75000"/>
                </a:schemeClr>
              </a:solidFill>
            </c:spPr>
          </c:dPt>
          <c:dPt>
            <c:idx val="27"/>
            <c:invertIfNegative val="0"/>
            <c:bubble3D val="0"/>
            <c:spPr>
              <a:solidFill>
                <a:schemeClr val="tx2">
                  <a:lumMod val="75000"/>
                </a:schemeClr>
              </a:solidFill>
            </c:spPr>
          </c:dPt>
          <c:cat>
            <c:strRef>
              <c:f>'Suminis inovacijų indeksas ES'!$E$3:$E$30</c:f>
              <c:strCache>
                <c:ptCount val="28"/>
                <c:pt idx="0">
                  <c:v>Bulgarija</c:v>
                </c:pt>
                <c:pt idx="1">
                  <c:v>Latvija</c:v>
                </c:pt>
                <c:pt idx="2">
                  <c:v>Lietuva</c:v>
                </c:pt>
                <c:pt idx="3">
                  <c:v>Rumunija</c:v>
                </c:pt>
                <c:pt idx="4">
                  <c:v>Lenkija</c:v>
                </c:pt>
                <c:pt idx="5">
                  <c:v>Slovakija</c:v>
                </c:pt>
                <c:pt idx="6">
                  <c:v>Vengrija</c:v>
                </c:pt>
                <c:pt idx="7">
                  <c:v>Graikija</c:v>
                </c:pt>
                <c:pt idx="8">
                  <c:v>Malta</c:v>
                </c:pt>
                <c:pt idx="9">
                  <c:v>Čekija</c:v>
                </c:pt>
                <c:pt idx="10">
                  <c:v>Ispanija</c:v>
                </c:pt>
                <c:pt idx="11">
                  <c:v>Portugalija</c:v>
                </c:pt>
                <c:pt idx="12">
                  <c:v>Italija</c:v>
                </c:pt>
                <c:pt idx="13">
                  <c:v>Kipras</c:v>
                </c:pt>
                <c:pt idx="14">
                  <c:v>Estija</c:v>
                </c:pt>
                <c:pt idx="15">
                  <c:v>Slovėnija</c:v>
                </c:pt>
                <c:pt idx="16">
                  <c:v>ES 27</c:v>
                </c:pt>
                <c:pt idx="17">
                  <c:v>Prancūzija</c:v>
                </c:pt>
                <c:pt idx="18">
                  <c:v>Airija</c:v>
                </c:pt>
                <c:pt idx="19">
                  <c:v>Nyderlandai</c:v>
                </c:pt>
                <c:pt idx="20">
                  <c:v>Jungtinė Karalystė</c:v>
                </c:pt>
                <c:pt idx="21">
                  <c:v>Belgija</c:v>
                </c:pt>
                <c:pt idx="22">
                  <c:v>Austrija</c:v>
                </c:pt>
                <c:pt idx="23">
                  <c:v>Liuksemburgas</c:v>
                </c:pt>
                <c:pt idx="24">
                  <c:v>Suomija</c:v>
                </c:pt>
                <c:pt idx="25">
                  <c:v>Danija</c:v>
                </c:pt>
                <c:pt idx="26">
                  <c:v>Vokietija</c:v>
                </c:pt>
                <c:pt idx="27">
                  <c:v>Švedija</c:v>
                </c:pt>
              </c:strCache>
            </c:strRef>
          </c:cat>
          <c:val>
            <c:numRef>
              <c:f>'Suminis inovacijų indeksas ES'!$F$3:$F$30</c:f>
              <c:numCache>
                <c:formatCode>General</c:formatCode>
                <c:ptCount val="28"/>
                <c:pt idx="0">
                  <c:v>0.20499999999999999</c:v>
                </c:pt>
                <c:pt idx="1">
                  <c:v>0.215</c:v>
                </c:pt>
                <c:pt idx="2">
                  <c:v>0.24199999999999999</c:v>
                </c:pt>
                <c:pt idx="3">
                  <c:v>0.26500000000000001</c:v>
                </c:pt>
                <c:pt idx="4">
                  <c:v>0.29199999999999998</c:v>
                </c:pt>
                <c:pt idx="5">
                  <c:v>0.307</c:v>
                </c:pt>
                <c:pt idx="6">
                  <c:v>0.32</c:v>
                </c:pt>
                <c:pt idx="7">
                  <c:v>0.34300000000000003</c:v>
                </c:pt>
                <c:pt idx="8">
                  <c:v>0.34499999999999997</c:v>
                </c:pt>
                <c:pt idx="9">
                  <c:v>0.38600000000000001</c:v>
                </c:pt>
                <c:pt idx="10">
                  <c:v>0.40799999999999997</c:v>
                </c:pt>
                <c:pt idx="11">
                  <c:v>0.41199999999999998</c:v>
                </c:pt>
                <c:pt idx="12">
                  <c:v>0.42399999999999999</c:v>
                </c:pt>
                <c:pt idx="13">
                  <c:v>0.47399999999999998</c:v>
                </c:pt>
                <c:pt idx="14">
                  <c:v>0.47599999999999998</c:v>
                </c:pt>
                <c:pt idx="15">
                  <c:v>0.48499999999999999</c:v>
                </c:pt>
                <c:pt idx="16">
                  <c:v>0.52600000000000002</c:v>
                </c:pt>
                <c:pt idx="17">
                  <c:v>0.53100000000000003</c:v>
                </c:pt>
                <c:pt idx="18">
                  <c:v>0.57399999999999995</c:v>
                </c:pt>
                <c:pt idx="19">
                  <c:v>0.59</c:v>
                </c:pt>
                <c:pt idx="20">
                  <c:v>0.6</c:v>
                </c:pt>
                <c:pt idx="21">
                  <c:v>0.60399999999999998</c:v>
                </c:pt>
                <c:pt idx="22">
                  <c:v>0.61299999999999999</c:v>
                </c:pt>
                <c:pt idx="23">
                  <c:v>0.624</c:v>
                </c:pt>
                <c:pt idx="24">
                  <c:v>0.68700000000000006</c:v>
                </c:pt>
                <c:pt idx="25">
                  <c:v>0.68799999999999994</c:v>
                </c:pt>
                <c:pt idx="26">
                  <c:v>0.69299999999999995</c:v>
                </c:pt>
                <c:pt idx="27">
                  <c:v>0.753</c:v>
                </c:pt>
              </c:numCache>
            </c:numRef>
          </c:val>
        </c:ser>
        <c:dLbls>
          <c:showLegendKey val="0"/>
          <c:showVal val="0"/>
          <c:showCatName val="0"/>
          <c:showSerName val="0"/>
          <c:showPercent val="0"/>
          <c:showBubbleSize val="0"/>
        </c:dLbls>
        <c:gapWidth val="150"/>
        <c:axId val="232314368"/>
        <c:axId val="232182848"/>
      </c:barChart>
      <c:catAx>
        <c:axId val="232314368"/>
        <c:scaling>
          <c:orientation val="minMax"/>
        </c:scaling>
        <c:delete val="0"/>
        <c:axPos val="b"/>
        <c:majorTickMark val="out"/>
        <c:minorTickMark val="none"/>
        <c:tickLblPos val="nextTo"/>
        <c:txPr>
          <a:bodyPr/>
          <a:lstStyle/>
          <a:p>
            <a:pPr>
              <a:defRPr sz="1000">
                <a:latin typeface="Times New Roman" pitchFamily="18" charset="0"/>
                <a:cs typeface="Times New Roman" pitchFamily="18" charset="0"/>
              </a:defRPr>
            </a:pPr>
            <a:endParaRPr lang="lt-LT"/>
          </a:p>
        </c:txPr>
        <c:crossAx val="232182848"/>
        <c:crosses val="autoZero"/>
        <c:auto val="1"/>
        <c:lblAlgn val="ctr"/>
        <c:lblOffset val="100"/>
        <c:noMultiLvlLbl val="0"/>
      </c:catAx>
      <c:valAx>
        <c:axId val="232182848"/>
        <c:scaling>
          <c:orientation val="minMax"/>
        </c:scaling>
        <c:delete val="0"/>
        <c:axPos val="l"/>
        <c:majorGridlines/>
        <c:title>
          <c:tx>
            <c:rich>
              <a:bodyPr rot="0" vert="horz"/>
              <a:lstStyle/>
              <a:p>
                <a:pPr>
                  <a:defRPr/>
                </a:pPr>
                <a:r>
                  <a:rPr lang="lt-LT" sz="1200">
                    <a:latin typeface="Times New Roman" pitchFamily="18" charset="0"/>
                    <a:cs typeface="Times New Roman" pitchFamily="18" charset="0"/>
                  </a:rPr>
                  <a:t>c)</a:t>
                </a:r>
              </a:p>
            </c:rich>
          </c:tx>
          <c:layout>
            <c:manualLayout>
              <c:xMode val="edge"/>
              <c:yMode val="edge"/>
              <c:x val="1.0496981542594409E-3"/>
              <c:y val="0.31520947424824497"/>
            </c:manualLayout>
          </c:layout>
          <c:overlay val="0"/>
        </c:title>
        <c:numFmt formatCode="General" sourceLinked="1"/>
        <c:majorTickMark val="out"/>
        <c:minorTickMark val="none"/>
        <c:tickLblPos val="nextTo"/>
        <c:spPr>
          <a:noFill/>
        </c:spPr>
        <c:txPr>
          <a:bodyPr/>
          <a:lstStyle/>
          <a:p>
            <a:pPr>
              <a:defRPr>
                <a:latin typeface="Times New Roman" pitchFamily="18" charset="0"/>
                <a:cs typeface="Times New Roman" pitchFamily="18" charset="0"/>
              </a:defRPr>
            </a:pPr>
            <a:endParaRPr lang="lt-LT"/>
          </a:p>
        </c:txPr>
        <c:crossAx val="232314368"/>
        <c:crosses val="autoZero"/>
        <c:crossBetween val="between"/>
      </c:valAx>
      <c:spPr>
        <a:noFill/>
        <a:ln>
          <a:noFill/>
        </a:ln>
      </c:spPr>
    </c:plotArea>
    <c:plotVisOnly val="1"/>
    <c:dispBlanksAs val="gap"/>
    <c:showDLblsOverMax val="0"/>
  </c:chart>
  <c:spPr>
    <a:noFill/>
    <a:ln>
      <a:noFill/>
    </a:ln>
  </c:sp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lt-LT" sz="1000" b="0">
                <a:latin typeface="Times New Roman" pitchFamily="18" charset="0"/>
                <a:cs typeface="Times New Roman" pitchFamily="18" charset="0"/>
              </a:rPr>
              <a:t>2010</a:t>
            </a:r>
          </a:p>
        </c:rich>
      </c:tx>
      <c:layout>
        <c:manualLayout>
          <c:xMode val="edge"/>
          <c:yMode val="edge"/>
          <c:x val="0.47072068195100353"/>
          <c:y val="2.768166089965398E-2"/>
        </c:manualLayout>
      </c:layout>
      <c:overlay val="1"/>
    </c:title>
    <c:autoTitleDeleted val="0"/>
    <c:plotArea>
      <c:layout>
        <c:manualLayout>
          <c:layoutTarget val="inner"/>
          <c:xMode val="edge"/>
          <c:yMode val="edge"/>
          <c:x val="9.0881976534414474E-2"/>
          <c:y val="0.11970686097282433"/>
          <c:w val="0.88434316999980056"/>
          <c:h val="0.46851384019202497"/>
        </c:manualLayout>
      </c:layout>
      <c:barChart>
        <c:barDir val="col"/>
        <c:grouping val="clustered"/>
        <c:varyColors val="0"/>
        <c:ser>
          <c:idx val="0"/>
          <c:order val="0"/>
          <c:invertIfNegative val="0"/>
          <c:dPt>
            <c:idx val="0"/>
            <c:invertIfNegative val="0"/>
            <c:bubble3D val="0"/>
            <c:spPr>
              <a:solidFill>
                <a:schemeClr val="accent6">
                  <a:lumMod val="75000"/>
                </a:schemeClr>
              </a:solidFill>
            </c:spPr>
          </c:dPt>
          <c:dPt>
            <c:idx val="1"/>
            <c:invertIfNegative val="0"/>
            <c:bubble3D val="0"/>
            <c:spPr>
              <a:solidFill>
                <a:schemeClr val="accent6">
                  <a:lumMod val="75000"/>
                </a:schemeClr>
              </a:solidFill>
            </c:spPr>
          </c:dPt>
          <c:dPt>
            <c:idx val="2"/>
            <c:invertIfNegative val="0"/>
            <c:bubble3D val="0"/>
            <c:spPr>
              <a:solidFill>
                <a:schemeClr val="accent6">
                  <a:lumMod val="75000"/>
                </a:schemeClr>
              </a:solidFill>
              <a:ln w="19050">
                <a:solidFill>
                  <a:schemeClr val="accent6">
                    <a:lumMod val="50000"/>
                  </a:schemeClr>
                </a:solidFill>
                <a:prstDash val="sysDash"/>
              </a:ln>
            </c:spPr>
          </c:dPt>
          <c:dPt>
            <c:idx val="3"/>
            <c:invertIfNegative val="0"/>
            <c:bubble3D val="0"/>
            <c:spPr>
              <a:solidFill>
                <a:schemeClr val="accent6">
                  <a:lumMod val="75000"/>
                </a:schemeClr>
              </a:solidFill>
              <a:ln w="19050">
                <a:noFill/>
                <a:prstDash val="sysDash"/>
              </a:ln>
            </c:spPr>
          </c:dPt>
          <c:dPt>
            <c:idx val="4"/>
            <c:invertIfNegative val="0"/>
            <c:bubble3D val="0"/>
            <c:spPr>
              <a:solidFill>
                <a:srgbClr val="9BE5EF"/>
              </a:solidFill>
              <a:ln w="19050">
                <a:noFill/>
                <a:prstDash val="sysDash"/>
              </a:ln>
            </c:spPr>
          </c:dPt>
          <c:dPt>
            <c:idx val="5"/>
            <c:invertIfNegative val="0"/>
            <c:bubble3D val="0"/>
            <c:spPr>
              <a:solidFill>
                <a:srgbClr val="9BE5EF"/>
              </a:solidFill>
            </c:spPr>
          </c:dPt>
          <c:dPt>
            <c:idx val="6"/>
            <c:invertIfNegative val="0"/>
            <c:bubble3D val="0"/>
            <c:spPr>
              <a:solidFill>
                <a:srgbClr val="9BE5EF"/>
              </a:solidFill>
            </c:spPr>
          </c:dPt>
          <c:dPt>
            <c:idx val="7"/>
            <c:invertIfNegative val="0"/>
            <c:bubble3D val="0"/>
            <c:spPr>
              <a:solidFill>
                <a:srgbClr val="9BE5EF"/>
              </a:solidFill>
            </c:spPr>
          </c:dPt>
          <c:dPt>
            <c:idx val="8"/>
            <c:invertIfNegative val="0"/>
            <c:bubble3D val="0"/>
            <c:spPr>
              <a:solidFill>
                <a:srgbClr val="9BE5EF"/>
              </a:solidFill>
            </c:spPr>
          </c:dPt>
          <c:dPt>
            <c:idx val="9"/>
            <c:invertIfNegative val="0"/>
            <c:bubble3D val="0"/>
            <c:spPr>
              <a:solidFill>
                <a:srgbClr val="C0E43C"/>
              </a:solidFill>
            </c:spPr>
          </c:dPt>
          <c:dPt>
            <c:idx val="10"/>
            <c:invertIfNegative val="0"/>
            <c:bubble3D val="0"/>
            <c:spPr>
              <a:solidFill>
                <a:srgbClr val="C0E43C"/>
              </a:solidFill>
            </c:spPr>
          </c:dPt>
          <c:dPt>
            <c:idx val="11"/>
            <c:invertIfNegative val="0"/>
            <c:bubble3D val="0"/>
            <c:spPr>
              <a:solidFill>
                <a:srgbClr val="C0E43C"/>
              </a:solidFill>
            </c:spPr>
          </c:dPt>
          <c:dPt>
            <c:idx val="12"/>
            <c:invertIfNegative val="0"/>
            <c:bubble3D val="0"/>
            <c:spPr>
              <a:solidFill>
                <a:srgbClr val="C0E43C"/>
              </a:solidFill>
            </c:spPr>
          </c:dPt>
          <c:dPt>
            <c:idx val="13"/>
            <c:invertIfNegative val="0"/>
            <c:bubble3D val="0"/>
            <c:spPr>
              <a:solidFill>
                <a:srgbClr val="C0E43C"/>
              </a:solidFill>
            </c:spPr>
          </c:dPt>
          <c:dPt>
            <c:idx val="14"/>
            <c:invertIfNegative val="0"/>
            <c:bubble3D val="0"/>
            <c:spPr>
              <a:solidFill>
                <a:srgbClr val="C0E43C"/>
              </a:solidFill>
            </c:spPr>
          </c:dPt>
          <c:dPt>
            <c:idx val="15"/>
            <c:invertIfNegative val="0"/>
            <c:bubble3D val="0"/>
            <c:spPr>
              <a:solidFill>
                <a:srgbClr val="C0E43C"/>
              </a:solidFill>
            </c:spPr>
          </c:dPt>
          <c:dPt>
            <c:idx val="16"/>
            <c:invertIfNegative val="0"/>
            <c:bubble3D val="0"/>
            <c:spPr>
              <a:solidFill>
                <a:schemeClr val="accent6">
                  <a:lumMod val="50000"/>
                </a:schemeClr>
              </a:solidFill>
            </c:spPr>
          </c:dPt>
          <c:dPt>
            <c:idx val="17"/>
            <c:invertIfNegative val="0"/>
            <c:bubble3D val="0"/>
            <c:spPr>
              <a:solidFill>
                <a:srgbClr val="C0E43C"/>
              </a:solidFill>
            </c:spPr>
          </c:dPt>
          <c:dPt>
            <c:idx val="18"/>
            <c:invertIfNegative val="0"/>
            <c:bubble3D val="0"/>
            <c:spPr>
              <a:solidFill>
                <a:srgbClr val="C0E43C"/>
              </a:solidFill>
            </c:spPr>
          </c:dPt>
          <c:dPt>
            <c:idx val="19"/>
            <c:invertIfNegative val="0"/>
            <c:bubble3D val="0"/>
            <c:spPr>
              <a:solidFill>
                <a:srgbClr val="C0E43C"/>
              </a:solidFill>
            </c:spPr>
          </c:dPt>
          <c:dPt>
            <c:idx val="20"/>
            <c:invertIfNegative val="0"/>
            <c:bubble3D val="0"/>
            <c:spPr>
              <a:solidFill>
                <a:srgbClr val="C0E43C"/>
              </a:solidFill>
            </c:spPr>
          </c:dPt>
          <c:dPt>
            <c:idx val="21"/>
            <c:invertIfNegative val="0"/>
            <c:bubble3D val="0"/>
            <c:spPr>
              <a:solidFill>
                <a:srgbClr val="C0E43C"/>
              </a:solidFill>
            </c:spPr>
          </c:dPt>
          <c:dPt>
            <c:idx val="22"/>
            <c:invertIfNegative val="0"/>
            <c:bubble3D val="0"/>
            <c:spPr>
              <a:solidFill>
                <a:srgbClr val="C0E43C"/>
              </a:solidFill>
            </c:spPr>
          </c:dPt>
          <c:dPt>
            <c:idx val="23"/>
            <c:invertIfNegative val="0"/>
            <c:bubble3D val="0"/>
            <c:spPr>
              <a:solidFill>
                <a:srgbClr val="C0E43C"/>
              </a:solidFill>
            </c:spPr>
          </c:dPt>
          <c:dPt>
            <c:idx val="24"/>
            <c:invertIfNegative val="0"/>
            <c:bubble3D val="0"/>
            <c:spPr>
              <a:solidFill>
                <a:schemeClr val="tx2">
                  <a:lumMod val="75000"/>
                </a:schemeClr>
              </a:solidFill>
            </c:spPr>
          </c:dPt>
          <c:dPt>
            <c:idx val="25"/>
            <c:invertIfNegative val="0"/>
            <c:bubble3D val="0"/>
            <c:spPr>
              <a:solidFill>
                <a:schemeClr val="tx2">
                  <a:lumMod val="75000"/>
                </a:schemeClr>
              </a:solidFill>
            </c:spPr>
          </c:dPt>
          <c:dPt>
            <c:idx val="26"/>
            <c:invertIfNegative val="0"/>
            <c:bubble3D val="0"/>
            <c:spPr>
              <a:solidFill>
                <a:schemeClr val="tx2">
                  <a:lumMod val="75000"/>
                </a:schemeClr>
              </a:solidFill>
            </c:spPr>
          </c:dPt>
          <c:dPt>
            <c:idx val="27"/>
            <c:invertIfNegative val="0"/>
            <c:bubble3D val="0"/>
            <c:spPr>
              <a:solidFill>
                <a:schemeClr val="tx2">
                  <a:lumMod val="75000"/>
                </a:schemeClr>
              </a:solidFill>
            </c:spPr>
          </c:dPt>
          <c:cat>
            <c:strRef>
              <c:f>'Suminis inovacijų indeksas ES'!$G$3:$G$30</c:f>
              <c:strCache>
                <c:ptCount val="28"/>
                <c:pt idx="0">
                  <c:v>Latvija</c:v>
                </c:pt>
                <c:pt idx="1">
                  <c:v>Bulgarija</c:v>
                </c:pt>
                <c:pt idx="2">
                  <c:v>Lietuva</c:v>
                </c:pt>
                <c:pt idx="3">
                  <c:v>Rumunija</c:v>
                </c:pt>
                <c:pt idx="4">
                  <c:v>Lenkija</c:v>
                </c:pt>
                <c:pt idx="5">
                  <c:v>Slovakija</c:v>
                </c:pt>
                <c:pt idx="6">
                  <c:v>Vengrija</c:v>
                </c:pt>
                <c:pt idx="7">
                  <c:v>Graikija</c:v>
                </c:pt>
                <c:pt idx="8">
                  <c:v>Malta</c:v>
                </c:pt>
                <c:pt idx="9">
                  <c:v>Čekija</c:v>
                </c:pt>
                <c:pt idx="10">
                  <c:v>Ispanija</c:v>
                </c:pt>
                <c:pt idx="11">
                  <c:v>Portugalija</c:v>
                </c:pt>
                <c:pt idx="12">
                  <c:v>Italija</c:v>
                </c:pt>
                <c:pt idx="13">
                  <c:v>Kipras</c:v>
                </c:pt>
                <c:pt idx="14">
                  <c:v>Estija</c:v>
                </c:pt>
                <c:pt idx="15">
                  <c:v>Slovėnija</c:v>
                </c:pt>
                <c:pt idx="16">
                  <c:v>ES 27</c:v>
                </c:pt>
                <c:pt idx="17">
                  <c:v>Prancūzija</c:v>
                </c:pt>
                <c:pt idx="18">
                  <c:v>Airija</c:v>
                </c:pt>
                <c:pt idx="19">
                  <c:v>Nyderlandai</c:v>
                </c:pt>
                <c:pt idx="20">
                  <c:v>Jungtinė Karalystė</c:v>
                </c:pt>
                <c:pt idx="21">
                  <c:v>Belgija</c:v>
                </c:pt>
                <c:pt idx="22">
                  <c:v>Austrija</c:v>
                </c:pt>
                <c:pt idx="23">
                  <c:v>Liuksemburgas</c:v>
                </c:pt>
                <c:pt idx="24">
                  <c:v>Danija</c:v>
                </c:pt>
                <c:pt idx="25">
                  <c:v>Suomija</c:v>
                </c:pt>
                <c:pt idx="26">
                  <c:v>Vokietija</c:v>
                </c:pt>
                <c:pt idx="27">
                  <c:v>Švedija</c:v>
                </c:pt>
              </c:strCache>
            </c:strRef>
          </c:cat>
          <c:val>
            <c:numRef>
              <c:f>'Suminis inovacijų indeksas ES'!$H$3:$H$30</c:f>
              <c:numCache>
                <c:formatCode>General</c:formatCode>
                <c:ptCount val="28"/>
                <c:pt idx="0">
                  <c:v>0.21299999999999999</c:v>
                </c:pt>
                <c:pt idx="1">
                  <c:v>0.216</c:v>
                </c:pt>
                <c:pt idx="2">
                  <c:v>0.25800000000000001</c:v>
                </c:pt>
                <c:pt idx="3">
                  <c:v>0.25900000000000001</c:v>
                </c:pt>
                <c:pt idx="4">
                  <c:v>0.30399999999999999</c:v>
                </c:pt>
                <c:pt idx="5">
                  <c:v>0.32200000000000001</c:v>
                </c:pt>
                <c:pt idx="6">
                  <c:v>0.33300000000000002</c:v>
                </c:pt>
                <c:pt idx="7">
                  <c:v>0.33900000000000002</c:v>
                </c:pt>
                <c:pt idx="8">
                  <c:v>0.38300000000000001</c:v>
                </c:pt>
                <c:pt idx="9">
                  <c:v>0.4</c:v>
                </c:pt>
                <c:pt idx="10">
                  <c:v>0.41</c:v>
                </c:pt>
                <c:pt idx="11">
                  <c:v>0.42599999999999999</c:v>
                </c:pt>
                <c:pt idx="12">
                  <c:v>0.42899999999999999</c:v>
                </c:pt>
                <c:pt idx="13">
                  <c:v>0.48299999999999998</c:v>
                </c:pt>
                <c:pt idx="14">
                  <c:v>0.49199999999999999</c:v>
                </c:pt>
                <c:pt idx="15">
                  <c:v>0.499</c:v>
                </c:pt>
                <c:pt idx="16">
                  <c:v>0.53300000000000003</c:v>
                </c:pt>
                <c:pt idx="17">
                  <c:v>0.54</c:v>
                </c:pt>
                <c:pt idx="18">
                  <c:v>0.57099999999999995</c:v>
                </c:pt>
                <c:pt idx="19">
                  <c:v>0.59499999999999997</c:v>
                </c:pt>
                <c:pt idx="20">
                  <c:v>0.59899999999999998</c:v>
                </c:pt>
                <c:pt idx="21">
                  <c:v>0.625</c:v>
                </c:pt>
                <c:pt idx="22">
                  <c:v>0.626</c:v>
                </c:pt>
                <c:pt idx="23">
                  <c:v>0.65100000000000002</c:v>
                </c:pt>
                <c:pt idx="24">
                  <c:v>0.70399999999999996</c:v>
                </c:pt>
                <c:pt idx="25">
                  <c:v>0.70799999999999996</c:v>
                </c:pt>
                <c:pt idx="26">
                  <c:v>0.71099999999999997</c:v>
                </c:pt>
                <c:pt idx="27">
                  <c:v>0.76600000000000001</c:v>
                </c:pt>
              </c:numCache>
            </c:numRef>
          </c:val>
        </c:ser>
        <c:dLbls>
          <c:showLegendKey val="0"/>
          <c:showVal val="0"/>
          <c:showCatName val="0"/>
          <c:showSerName val="0"/>
          <c:showPercent val="0"/>
          <c:showBubbleSize val="0"/>
        </c:dLbls>
        <c:gapWidth val="150"/>
        <c:axId val="232316416"/>
        <c:axId val="232184576"/>
      </c:barChart>
      <c:catAx>
        <c:axId val="232316416"/>
        <c:scaling>
          <c:orientation val="minMax"/>
        </c:scaling>
        <c:delete val="0"/>
        <c:axPos val="b"/>
        <c:majorTickMark val="out"/>
        <c:minorTickMark val="none"/>
        <c:tickLblPos val="nextTo"/>
        <c:txPr>
          <a:bodyPr/>
          <a:lstStyle/>
          <a:p>
            <a:pPr>
              <a:defRPr sz="1000">
                <a:latin typeface="Times New Roman" pitchFamily="18" charset="0"/>
                <a:cs typeface="Times New Roman" pitchFamily="18" charset="0"/>
              </a:defRPr>
            </a:pPr>
            <a:endParaRPr lang="lt-LT"/>
          </a:p>
        </c:txPr>
        <c:crossAx val="232184576"/>
        <c:crosses val="autoZero"/>
        <c:auto val="1"/>
        <c:lblAlgn val="ctr"/>
        <c:lblOffset val="100"/>
        <c:noMultiLvlLbl val="0"/>
      </c:catAx>
      <c:valAx>
        <c:axId val="232184576"/>
        <c:scaling>
          <c:orientation val="minMax"/>
        </c:scaling>
        <c:delete val="0"/>
        <c:axPos val="l"/>
        <c:majorGridlines/>
        <c:title>
          <c:tx>
            <c:rich>
              <a:bodyPr rot="0" vert="horz"/>
              <a:lstStyle/>
              <a:p>
                <a:pPr>
                  <a:defRPr/>
                </a:pPr>
                <a:r>
                  <a:rPr lang="lt-LT" sz="1200">
                    <a:latin typeface="Times New Roman" pitchFamily="18" charset="0"/>
                    <a:cs typeface="Times New Roman" pitchFamily="18" charset="0"/>
                  </a:rPr>
                  <a:t>d)</a:t>
                </a:r>
              </a:p>
            </c:rich>
          </c:tx>
          <c:layout>
            <c:manualLayout>
              <c:xMode val="edge"/>
              <c:yMode val="edge"/>
              <c:x val="1.0496981542594409E-3"/>
              <c:y val="0.31520947424824497"/>
            </c:manualLayout>
          </c:layout>
          <c:overlay val="0"/>
        </c:title>
        <c:numFmt formatCode="General" sourceLinked="1"/>
        <c:majorTickMark val="out"/>
        <c:minorTickMark val="none"/>
        <c:tickLblPos val="nextTo"/>
        <c:spPr>
          <a:noFill/>
        </c:spPr>
        <c:txPr>
          <a:bodyPr/>
          <a:lstStyle/>
          <a:p>
            <a:pPr>
              <a:defRPr>
                <a:latin typeface="Times New Roman" pitchFamily="18" charset="0"/>
                <a:cs typeface="Times New Roman" pitchFamily="18" charset="0"/>
              </a:defRPr>
            </a:pPr>
            <a:endParaRPr lang="lt-LT"/>
          </a:p>
        </c:txPr>
        <c:crossAx val="232316416"/>
        <c:crosses val="autoZero"/>
        <c:crossBetween val="between"/>
      </c:valAx>
      <c:spPr>
        <a:noFill/>
        <a:ln>
          <a:noFill/>
        </a:ln>
      </c:spPr>
    </c:plotArea>
    <c:plotVisOnly val="1"/>
    <c:dispBlanksAs val="gap"/>
    <c:showDLblsOverMax val="0"/>
  </c:chart>
  <c:spPr>
    <a:noFill/>
    <a:ln>
      <a:noFill/>
    </a:ln>
  </c:sp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lt-LT" sz="1000" b="0">
                <a:latin typeface="Times New Roman" pitchFamily="18" charset="0"/>
                <a:cs typeface="Times New Roman" pitchFamily="18" charset="0"/>
              </a:rPr>
              <a:t>Atviros, itin geros ir patrauklios mokslinių tyrimų sistemos</a:t>
            </a:r>
          </a:p>
        </c:rich>
      </c:tx>
      <c:overlay val="1"/>
    </c:title>
    <c:autoTitleDeleted val="0"/>
    <c:plotArea>
      <c:layout>
        <c:manualLayout>
          <c:layoutTarget val="inner"/>
          <c:xMode val="edge"/>
          <c:yMode val="edge"/>
          <c:x val="9.0881976534414474E-2"/>
          <c:y val="0.11970686097282433"/>
          <c:w val="0.88434316999980056"/>
          <c:h val="0.46851384019202497"/>
        </c:manualLayout>
      </c:layout>
      <c:barChart>
        <c:barDir val="col"/>
        <c:grouping val="clustered"/>
        <c:varyColors val="0"/>
        <c:ser>
          <c:idx val="0"/>
          <c:order val="0"/>
          <c:invertIfNegative val="0"/>
          <c:dPt>
            <c:idx val="0"/>
            <c:invertIfNegative val="0"/>
            <c:bubble3D val="0"/>
            <c:spPr>
              <a:solidFill>
                <a:schemeClr val="accent6">
                  <a:lumMod val="75000"/>
                </a:schemeClr>
              </a:solidFill>
            </c:spPr>
          </c:dPt>
          <c:dPt>
            <c:idx val="1"/>
            <c:invertIfNegative val="0"/>
            <c:bubble3D val="0"/>
            <c:spPr>
              <a:solidFill>
                <a:srgbClr val="9BE5EF"/>
              </a:solidFill>
            </c:spPr>
          </c:dPt>
          <c:dPt>
            <c:idx val="2"/>
            <c:invertIfNegative val="0"/>
            <c:bubble3D val="0"/>
            <c:spPr>
              <a:solidFill>
                <a:schemeClr val="accent6">
                  <a:lumMod val="75000"/>
                </a:schemeClr>
              </a:solidFill>
              <a:ln w="19050">
                <a:noFill/>
                <a:prstDash val="sysDash"/>
              </a:ln>
            </c:spPr>
          </c:dPt>
          <c:dPt>
            <c:idx val="3"/>
            <c:invertIfNegative val="0"/>
            <c:bubble3D val="0"/>
            <c:spPr>
              <a:solidFill>
                <a:schemeClr val="accent6">
                  <a:lumMod val="75000"/>
                </a:schemeClr>
              </a:solidFill>
              <a:ln w="19050">
                <a:noFill/>
                <a:prstDash val="sysDash"/>
              </a:ln>
            </c:spPr>
          </c:dPt>
          <c:dPt>
            <c:idx val="4"/>
            <c:invertIfNegative val="0"/>
            <c:bubble3D val="0"/>
            <c:spPr>
              <a:solidFill>
                <a:srgbClr val="9BE5EF"/>
              </a:solidFill>
              <a:ln w="19050">
                <a:noFill/>
                <a:prstDash val="sysDash"/>
              </a:ln>
            </c:spPr>
          </c:dPt>
          <c:dPt>
            <c:idx val="5"/>
            <c:invertIfNegative val="0"/>
            <c:bubble3D val="0"/>
            <c:spPr>
              <a:solidFill>
                <a:schemeClr val="accent6">
                  <a:lumMod val="75000"/>
                </a:schemeClr>
              </a:solidFill>
            </c:spPr>
          </c:dPt>
          <c:dPt>
            <c:idx val="6"/>
            <c:invertIfNegative val="0"/>
            <c:bubble3D val="0"/>
            <c:spPr>
              <a:solidFill>
                <a:srgbClr val="9BE5EF"/>
              </a:solidFill>
            </c:spPr>
          </c:dPt>
          <c:dPt>
            <c:idx val="7"/>
            <c:invertIfNegative val="0"/>
            <c:bubble3D val="0"/>
            <c:spPr>
              <a:solidFill>
                <a:srgbClr val="9BE5EF"/>
              </a:solidFill>
            </c:spPr>
          </c:dPt>
          <c:dPt>
            <c:idx val="8"/>
            <c:invertIfNegative val="0"/>
            <c:bubble3D val="0"/>
            <c:spPr>
              <a:solidFill>
                <a:srgbClr val="9BE5EF"/>
              </a:solidFill>
            </c:spPr>
          </c:dPt>
          <c:dPt>
            <c:idx val="9"/>
            <c:invertIfNegative val="0"/>
            <c:bubble3D val="0"/>
            <c:spPr>
              <a:solidFill>
                <a:srgbClr val="9BE5EF"/>
              </a:solidFill>
            </c:spPr>
          </c:dPt>
          <c:dPt>
            <c:idx val="10"/>
            <c:invertIfNegative val="0"/>
            <c:bubble3D val="0"/>
            <c:spPr>
              <a:solidFill>
                <a:srgbClr val="C0E43C"/>
              </a:solidFill>
            </c:spPr>
          </c:dPt>
          <c:dPt>
            <c:idx val="11"/>
            <c:invertIfNegative val="0"/>
            <c:bubble3D val="0"/>
            <c:spPr>
              <a:solidFill>
                <a:srgbClr val="9BE5EF"/>
              </a:solidFill>
            </c:spPr>
          </c:dPt>
          <c:dPt>
            <c:idx val="12"/>
            <c:invertIfNegative val="0"/>
            <c:bubble3D val="0"/>
            <c:spPr>
              <a:solidFill>
                <a:srgbClr val="C0E43C"/>
              </a:solidFill>
            </c:spPr>
          </c:dPt>
          <c:dPt>
            <c:idx val="13"/>
            <c:invertIfNegative val="0"/>
            <c:bubble3D val="0"/>
            <c:spPr>
              <a:solidFill>
                <a:srgbClr val="C0E43C"/>
              </a:solidFill>
            </c:spPr>
          </c:dPt>
          <c:dPt>
            <c:idx val="14"/>
            <c:invertIfNegative val="0"/>
            <c:bubble3D val="0"/>
            <c:spPr>
              <a:solidFill>
                <a:srgbClr val="9BE5EF"/>
              </a:solidFill>
            </c:spPr>
          </c:dPt>
          <c:dPt>
            <c:idx val="15"/>
            <c:invertIfNegative val="0"/>
            <c:bubble3D val="0"/>
            <c:spPr>
              <a:solidFill>
                <a:schemeClr val="accent6">
                  <a:lumMod val="50000"/>
                </a:schemeClr>
              </a:solidFill>
            </c:spPr>
          </c:dPt>
          <c:dPt>
            <c:idx val="16"/>
            <c:invertIfNegative val="0"/>
            <c:bubble3D val="0"/>
            <c:spPr>
              <a:solidFill>
                <a:srgbClr val="9BE5EF"/>
              </a:solidFill>
            </c:spPr>
          </c:dPt>
          <c:dPt>
            <c:idx val="17"/>
            <c:invertIfNegative val="0"/>
            <c:bubble3D val="0"/>
            <c:spPr>
              <a:solidFill>
                <a:schemeClr val="tx2">
                  <a:lumMod val="75000"/>
                </a:schemeClr>
              </a:solidFill>
            </c:spPr>
          </c:dPt>
          <c:dPt>
            <c:idx val="18"/>
            <c:invertIfNegative val="0"/>
            <c:bubble3D val="0"/>
            <c:spPr>
              <a:solidFill>
                <a:schemeClr val="tx2">
                  <a:lumMod val="75000"/>
                </a:schemeClr>
              </a:solidFill>
            </c:spPr>
          </c:dPt>
          <c:dPt>
            <c:idx val="19"/>
            <c:invertIfNegative val="0"/>
            <c:bubble3D val="0"/>
            <c:spPr>
              <a:solidFill>
                <a:srgbClr val="C0E43C"/>
              </a:solidFill>
            </c:spPr>
          </c:dPt>
          <c:dPt>
            <c:idx val="20"/>
            <c:invertIfNegative val="0"/>
            <c:bubble3D val="0"/>
            <c:spPr>
              <a:solidFill>
                <a:srgbClr val="C0E43C"/>
              </a:solidFill>
            </c:spPr>
          </c:dPt>
          <c:dPt>
            <c:idx val="21"/>
            <c:invertIfNegative val="0"/>
            <c:bubble3D val="0"/>
            <c:spPr>
              <a:solidFill>
                <a:srgbClr val="C0E43C"/>
              </a:solidFill>
            </c:spPr>
          </c:dPt>
          <c:dPt>
            <c:idx val="22"/>
            <c:invertIfNegative val="0"/>
            <c:bubble3D val="0"/>
            <c:spPr>
              <a:solidFill>
                <a:srgbClr val="C0E43C"/>
              </a:solidFill>
            </c:spPr>
          </c:dPt>
          <c:dPt>
            <c:idx val="23"/>
            <c:invertIfNegative val="0"/>
            <c:bubble3D val="0"/>
            <c:spPr>
              <a:solidFill>
                <a:srgbClr val="C0E43C"/>
              </a:solidFill>
            </c:spPr>
          </c:dPt>
          <c:dPt>
            <c:idx val="24"/>
            <c:invertIfNegative val="0"/>
            <c:bubble3D val="0"/>
            <c:spPr>
              <a:solidFill>
                <a:srgbClr val="C0E43C"/>
              </a:solidFill>
            </c:spPr>
          </c:dPt>
          <c:dPt>
            <c:idx val="25"/>
            <c:invertIfNegative val="0"/>
            <c:bubble3D val="0"/>
            <c:spPr>
              <a:solidFill>
                <a:schemeClr val="tx2">
                  <a:lumMod val="75000"/>
                </a:schemeClr>
              </a:solidFill>
            </c:spPr>
          </c:dPt>
          <c:dPt>
            <c:idx val="26"/>
            <c:invertIfNegative val="0"/>
            <c:bubble3D val="0"/>
            <c:spPr>
              <a:solidFill>
                <a:schemeClr val="tx2">
                  <a:lumMod val="75000"/>
                </a:schemeClr>
              </a:solidFill>
            </c:spPr>
          </c:dPt>
          <c:dPt>
            <c:idx val="27"/>
            <c:invertIfNegative val="0"/>
            <c:bubble3D val="0"/>
            <c:spPr>
              <a:solidFill>
                <a:srgbClr val="C0E43C"/>
              </a:solidFill>
            </c:spPr>
          </c:dPt>
          <c:cat>
            <c:strRef>
              <c:f>Sheet5!$A$2:$A$29</c:f>
              <c:strCache>
                <c:ptCount val="28"/>
                <c:pt idx="0">
                  <c:v>Latvija</c:v>
                </c:pt>
                <c:pt idx="1">
                  <c:v>Lenkija</c:v>
                </c:pt>
                <c:pt idx="2">
                  <c:v>Rumunija</c:v>
                </c:pt>
                <c:pt idx="3">
                  <c:v>Lietuva</c:v>
                </c:pt>
                <c:pt idx="4">
                  <c:v>Slovakija</c:v>
                </c:pt>
                <c:pt idx="5">
                  <c:v>Bulgarija</c:v>
                </c:pt>
                <c:pt idx="6">
                  <c:v>Malta</c:v>
                </c:pt>
                <c:pt idx="7">
                  <c:v>Vengrija</c:v>
                </c:pt>
                <c:pt idx="8">
                  <c:v>Čekija</c:v>
                </c:pt>
                <c:pt idx="9">
                  <c:v>Graikija</c:v>
                </c:pt>
                <c:pt idx="10">
                  <c:v>Estija</c:v>
                </c:pt>
                <c:pt idx="11">
                  <c:v>Italija</c:v>
                </c:pt>
                <c:pt idx="12">
                  <c:v>Kipras</c:v>
                </c:pt>
                <c:pt idx="13">
                  <c:v>Slovėnija</c:v>
                </c:pt>
                <c:pt idx="14">
                  <c:v>Portugalija</c:v>
                </c:pt>
                <c:pt idx="15">
                  <c:v>ES 27</c:v>
                </c:pt>
                <c:pt idx="16">
                  <c:v>Ispanija</c:v>
                </c:pt>
                <c:pt idx="17">
                  <c:v>Vokietija</c:v>
                </c:pt>
                <c:pt idx="18">
                  <c:v>Suomija</c:v>
                </c:pt>
                <c:pt idx="19">
                  <c:v>Austrija</c:v>
                </c:pt>
                <c:pt idx="20">
                  <c:v>Liuksemburgas</c:v>
                </c:pt>
                <c:pt idx="21">
                  <c:v>Prancūzija</c:v>
                </c:pt>
                <c:pt idx="22">
                  <c:v>Airija</c:v>
                </c:pt>
                <c:pt idx="23">
                  <c:v>Belgija</c:v>
                </c:pt>
                <c:pt idx="24">
                  <c:v>Jungtinė Karalystė</c:v>
                </c:pt>
                <c:pt idx="25">
                  <c:v>Švedija</c:v>
                </c:pt>
                <c:pt idx="26">
                  <c:v>Danija</c:v>
                </c:pt>
                <c:pt idx="27">
                  <c:v>Nyderlandai</c:v>
                </c:pt>
              </c:strCache>
            </c:strRef>
          </c:cat>
          <c:val>
            <c:numRef>
              <c:f>Sheet5!$B$2:$B$29</c:f>
              <c:numCache>
                <c:formatCode>General</c:formatCode>
                <c:ptCount val="28"/>
                <c:pt idx="0">
                  <c:v>5.2999999999999999E-2</c:v>
                </c:pt>
                <c:pt idx="1">
                  <c:v>0.151</c:v>
                </c:pt>
                <c:pt idx="2">
                  <c:v>0.153</c:v>
                </c:pt>
                <c:pt idx="3">
                  <c:v>0.16800000000000001</c:v>
                </c:pt>
                <c:pt idx="4">
                  <c:v>0.17299999999999999</c:v>
                </c:pt>
                <c:pt idx="5">
                  <c:v>0.187</c:v>
                </c:pt>
                <c:pt idx="6">
                  <c:v>0.22800000000000001</c:v>
                </c:pt>
                <c:pt idx="7">
                  <c:v>0.24199999999999999</c:v>
                </c:pt>
                <c:pt idx="8">
                  <c:v>0.27900000000000003</c:v>
                </c:pt>
                <c:pt idx="9">
                  <c:v>0.32800000000000001</c:v>
                </c:pt>
                <c:pt idx="10">
                  <c:v>0.37</c:v>
                </c:pt>
                <c:pt idx="11">
                  <c:v>0.42699999999999999</c:v>
                </c:pt>
                <c:pt idx="12">
                  <c:v>0.44</c:v>
                </c:pt>
                <c:pt idx="13">
                  <c:v>0.45800000000000002</c:v>
                </c:pt>
                <c:pt idx="14">
                  <c:v>0.48099999999999998</c:v>
                </c:pt>
                <c:pt idx="15">
                  <c:v>0.53</c:v>
                </c:pt>
                <c:pt idx="16">
                  <c:v>0.53700000000000003</c:v>
                </c:pt>
                <c:pt idx="17">
                  <c:v>0.55000000000000004</c:v>
                </c:pt>
                <c:pt idx="18">
                  <c:v>0.63</c:v>
                </c:pt>
                <c:pt idx="19">
                  <c:v>0.64700000000000002</c:v>
                </c:pt>
                <c:pt idx="20">
                  <c:v>0.65500000000000003</c:v>
                </c:pt>
                <c:pt idx="21">
                  <c:v>0.66300000000000003</c:v>
                </c:pt>
                <c:pt idx="22">
                  <c:v>0.67700000000000005</c:v>
                </c:pt>
                <c:pt idx="23">
                  <c:v>0.78800000000000003</c:v>
                </c:pt>
                <c:pt idx="24">
                  <c:v>0.79200000000000004</c:v>
                </c:pt>
                <c:pt idx="25">
                  <c:v>0.82</c:v>
                </c:pt>
                <c:pt idx="26">
                  <c:v>0.82899999999999996</c:v>
                </c:pt>
                <c:pt idx="27">
                  <c:v>0.86899999999999999</c:v>
                </c:pt>
              </c:numCache>
            </c:numRef>
          </c:val>
        </c:ser>
        <c:dLbls>
          <c:showLegendKey val="0"/>
          <c:showVal val="0"/>
          <c:showCatName val="0"/>
          <c:showSerName val="0"/>
          <c:showPercent val="0"/>
          <c:showBubbleSize val="0"/>
        </c:dLbls>
        <c:gapWidth val="150"/>
        <c:axId val="234105344"/>
        <c:axId val="233972288"/>
      </c:barChart>
      <c:catAx>
        <c:axId val="234105344"/>
        <c:scaling>
          <c:orientation val="minMax"/>
        </c:scaling>
        <c:delete val="0"/>
        <c:axPos val="b"/>
        <c:numFmt formatCode="General" sourceLinked="1"/>
        <c:majorTickMark val="out"/>
        <c:minorTickMark val="none"/>
        <c:tickLblPos val="nextTo"/>
        <c:txPr>
          <a:bodyPr/>
          <a:lstStyle/>
          <a:p>
            <a:pPr>
              <a:defRPr sz="1000">
                <a:latin typeface="Times New Roman" pitchFamily="18" charset="0"/>
                <a:cs typeface="Times New Roman" pitchFamily="18" charset="0"/>
              </a:defRPr>
            </a:pPr>
            <a:endParaRPr lang="lt-LT"/>
          </a:p>
        </c:txPr>
        <c:crossAx val="233972288"/>
        <c:crosses val="autoZero"/>
        <c:auto val="1"/>
        <c:lblAlgn val="ctr"/>
        <c:lblOffset val="100"/>
        <c:noMultiLvlLbl val="0"/>
      </c:catAx>
      <c:valAx>
        <c:axId val="233972288"/>
        <c:scaling>
          <c:orientation val="minMax"/>
        </c:scaling>
        <c:delete val="0"/>
        <c:axPos val="l"/>
        <c:majorGridlines/>
        <c:title>
          <c:tx>
            <c:rich>
              <a:bodyPr rot="0" vert="horz"/>
              <a:lstStyle/>
              <a:p>
                <a:pPr>
                  <a:defRPr b="1">
                    <a:latin typeface="Times New Roman" pitchFamily="18" charset="0"/>
                    <a:cs typeface="Times New Roman" pitchFamily="18" charset="0"/>
                  </a:defRPr>
                </a:pPr>
                <a:r>
                  <a:rPr lang="lt-LT" b="1">
                    <a:latin typeface="Times New Roman" pitchFamily="18" charset="0"/>
                    <a:cs typeface="Times New Roman" pitchFamily="18" charset="0"/>
                  </a:rPr>
                  <a:t> b)</a:t>
                </a:r>
              </a:p>
            </c:rich>
          </c:tx>
          <c:overlay val="0"/>
        </c:title>
        <c:numFmt formatCode="General" sourceLinked="1"/>
        <c:majorTickMark val="out"/>
        <c:minorTickMark val="none"/>
        <c:tickLblPos val="nextTo"/>
        <c:spPr>
          <a:noFill/>
        </c:spPr>
        <c:txPr>
          <a:bodyPr/>
          <a:lstStyle/>
          <a:p>
            <a:pPr>
              <a:defRPr>
                <a:latin typeface="Times New Roman" pitchFamily="18" charset="0"/>
                <a:cs typeface="Times New Roman" pitchFamily="18" charset="0"/>
              </a:defRPr>
            </a:pPr>
            <a:endParaRPr lang="lt-LT"/>
          </a:p>
        </c:txPr>
        <c:crossAx val="234105344"/>
        <c:crosses val="autoZero"/>
        <c:crossBetween val="between"/>
      </c:valAx>
      <c:spPr>
        <a:noFill/>
        <a:ln>
          <a:noFill/>
        </a:ln>
      </c:spPr>
    </c:plotArea>
    <c:plotVisOnly val="1"/>
    <c:dispBlanksAs val="gap"/>
    <c:showDLblsOverMax val="0"/>
  </c:chart>
  <c:spPr>
    <a:noFill/>
    <a:ln>
      <a:noFill/>
    </a:ln>
  </c:sp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lt-LT" sz="1000" b="0">
                <a:latin typeface="Times New Roman" pitchFamily="18" charset="0"/>
                <a:cs typeface="Times New Roman" pitchFamily="18" charset="0"/>
              </a:rPr>
              <a:t>Žmogiškieji</a:t>
            </a:r>
            <a:r>
              <a:rPr lang="lt-LT" sz="1000" b="0" baseline="0">
                <a:latin typeface="Times New Roman" pitchFamily="18" charset="0"/>
                <a:cs typeface="Times New Roman" pitchFamily="18" charset="0"/>
              </a:rPr>
              <a:t> ištekliai</a:t>
            </a:r>
            <a:endParaRPr lang="lt-LT" sz="1000" b="0">
              <a:latin typeface="Times New Roman" pitchFamily="18" charset="0"/>
              <a:cs typeface="Times New Roman" pitchFamily="18" charset="0"/>
            </a:endParaRPr>
          </a:p>
        </c:rich>
      </c:tx>
      <c:overlay val="1"/>
    </c:title>
    <c:autoTitleDeleted val="0"/>
    <c:plotArea>
      <c:layout>
        <c:manualLayout>
          <c:layoutTarget val="inner"/>
          <c:xMode val="edge"/>
          <c:yMode val="edge"/>
          <c:x val="9.0881976534414474E-2"/>
          <c:y val="0.11970686097282433"/>
          <c:w val="0.88434316999980056"/>
          <c:h val="0.46851384019202497"/>
        </c:manualLayout>
      </c:layout>
      <c:barChart>
        <c:barDir val="col"/>
        <c:grouping val="clustered"/>
        <c:varyColors val="0"/>
        <c:ser>
          <c:idx val="0"/>
          <c:order val="0"/>
          <c:invertIfNegative val="0"/>
          <c:dPt>
            <c:idx val="0"/>
            <c:invertIfNegative val="0"/>
            <c:bubble3D val="0"/>
            <c:spPr>
              <a:solidFill>
                <a:srgbClr val="9BE5EF"/>
              </a:solidFill>
            </c:spPr>
          </c:dPt>
          <c:dPt>
            <c:idx val="1"/>
            <c:invertIfNegative val="0"/>
            <c:bubble3D val="0"/>
            <c:spPr>
              <a:solidFill>
                <a:schemeClr val="accent6">
                  <a:lumMod val="75000"/>
                </a:schemeClr>
              </a:solidFill>
            </c:spPr>
          </c:dPt>
          <c:dPt>
            <c:idx val="2"/>
            <c:invertIfNegative val="0"/>
            <c:bubble3D val="0"/>
            <c:spPr>
              <a:solidFill>
                <a:srgbClr val="9BE5EF"/>
              </a:solidFill>
              <a:ln w="19050">
                <a:noFill/>
                <a:prstDash val="sysDash"/>
              </a:ln>
            </c:spPr>
          </c:dPt>
          <c:dPt>
            <c:idx val="3"/>
            <c:invertIfNegative val="0"/>
            <c:bubble3D val="0"/>
            <c:spPr>
              <a:solidFill>
                <a:srgbClr val="9BE5EF"/>
              </a:solidFill>
              <a:ln w="19050">
                <a:noFill/>
                <a:prstDash val="sysDash"/>
              </a:ln>
            </c:spPr>
          </c:dPt>
          <c:dPt>
            <c:idx val="4"/>
            <c:invertIfNegative val="0"/>
            <c:bubble3D val="0"/>
            <c:spPr>
              <a:solidFill>
                <a:schemeClr val="accent6">
                  <a:lumMod val="75000"/>
                </a:schemeClr>
              </a:solidFill>
              <a:ln w="19050">
                <a:noFill/>
                <a:prstDash val="sysDash"/>
              </a:ln>
            </c:spPr>
          </c:dPt>
          <c:dPt>
            <c:idx val="5"/>
            <c:invertIfNegative val="0"/>
            <c:bubble3D val="0"/>
            <c:spPr>
              <a:solidFill>
                <a:srgbClr val="9BE5EF"/>
              </a:solidFill>
            </c:spPr>
          </c:dPt>
          <c:dPt>
            <c:idx val="6"/>
            <c:invertIfNegative val="0"/>
            <c:bubble3D val="0"/>
            <c:spPr>
              <a:solidFill>
                <a:schemeClr val="accent6">
                  <a:lumMod val="75000"/>
                </a:schemeClr>
              </a:solidFill>
            </c:spPr>
          </c:dPt>
          <c:dPt>
            <c:idx val="7"/>
            <c:invertIfNegative val="0"/>
            <c:bubble3D val="0"/>
            <c:spPr>
              <a:solidFill>
                <a:srgbClr val="9BE5EF"/>
              </a:solidFill>
            </c:spPr>
          </c:dPt>
          <c:dPt>
            <c:idx val="8"/>
            <c:invertIfNegative val="0"/>
            <c:bubble3D val="0"/>
            <c:spPr>
              <a:solidFill>
                <a:srgbClr val="9BE5EF"/>
              </a:solidFill>
            </c:spPr>
          </c:dPt>
          <c:dPt>
            <c:idx val="9"/>
            <c:invertIfNegative val="0"/>
            <c:bubble3D val="0"/>
            <c:spPr>
              <a:solidFill>
                <a:srgbClr val="9BE5EF"/>
              </a:solidFill>
            </c:spPr>
          </c:dPt>
          <c:dPt>
            <c:idx val="10"/>
            <c:invertIfNegative val="0"/>
            <c:bubble3D val="0"/>
            <c:spPr>
              <a:solidFill>
                <a:schemeClr val="accent6">
                  <a:lumMod val="50000"/>
                </a:schemeClr>
              </a:solidFill>
            </c:spPr>
          </c:dPt>
          <c:dPt>
            <c:idx val="11"/>
            <c:invertIfNegative val="0"/>
            <c:bubble3D val="0"/>
            <c:spPr>
              <a:solidFill>
                <a:srgbClr val="C0E43C"/>
              </a:solidFill>
            </c:spPr>
          </c:dPt>
          <c:dPt>
            <c:idx val="12"/>
            <c:invertIfNegative val="0"/>
            <c:bubble3D val="0"/>
            <c:spPr>
              <a:solidFill>
                <a:srgbClr val="C0E43C"/>
              </a:solidFill>
            </c:spPr>
          </c:dPt>
          <c:dPt>
            <c:idx val="13"/>
            <c:invertIfNegative val="0"/>
            <c:bubble3D val="0"/>
            <c:spPr>
              <a:solidFill>
                <a:srgbClr val="C0E43C"/>
              </a:solidFill>
            </c:spPr>
          </c:dPt>
          <c:dPt>
            <c:idx val="14"/>
            <c:invertIfNegative val="0"/>
            <c:bubble3D val="0"/>
            <c:spPr>
              <a:solidFill>
                <a:srgbClr val="9BE5EF"/>
              </a:solidFill>
            </c:spPr>
          </c:dPt>
          <c:dPt>
            <c:idx val="15"/>
            <c:invertIfNegative val="0"/>
            <c:bubble3D val="0"/>
            <c:spPr>
              <a:solidFill>
                <a:schemeClr val="tx2">
                  <a:lumMod val="75000"/>
                </a:schemeClr>
              </a:solidFill>
            </c:spPr>
          </c:dPt>
          <c:dPt>
            <c:idx val="16"/>
            <c:invertIfNegative val="0"/>
            <c:bubble3D val="0"/>
            <c:spPr>
              <a:solidFill>
                <a:schemeClr val="tx2">
                  <a:lumMod val="75000"/>
                </a:schemeClr>
              </a:solidFill>
            </c:spPr>
          </c:dPt>
          <c:dPt>
            <c:idx val="17"/>
            <c:invertIfNegative val="0"/>
            <c:bubble3D val="0"/>
            <c:spPr>
              <a:solidFill>
                <a:srgbClr val="9BE5EF"/>
              </a:solidFill>
            </c:spPr>
          </c:dPt>
          <c:dPt>
            <c:idx val="18"/>
            <c:invertIfNegative val="0"/>
            <c:bubble3D val="0"/>
            <c:spPr>
              <a:solidFill>
                <a:srgbClr val="C0E43C"/>
              </a:solidFill>
            </c:spPr>
          </c:dPt>
          <c:dPt>
            <c:idx val="19"/>
            <c:invertIfNegative val="0"/>
            <c:bubble3D val="0"/>
            <c:spPr>
              <a:solidFill>
                <a:schemeClr val="accent6">
                  <a:lumMod val="75000"/>
                </a:schemeClr>
              </a:solidFill>
            </c:spPr>
          </c:dPt>
          <c:dPt>
            <c:idx val="20"/>
            <c:invertIfNegative val="0"/>
            <c:bubble3D val="0"/>
            <c:spPr>
              <a:solidFill>
                <a:srgbClr val="C0E43C"/>
              </a:solidFill>
            </c:spPr>
          </c:dPt>
          <c:dPt>
            <c:idx val="21"/>
            <c:invertIfNegative val="0"/>
            <c:bubble3D val="0"/>
            <c:spPr>
              <a:solidFill>
                <a:srgbClr val="C0E43C"/>
              </a:solidFill>
            </c:spPr>
          </c:dPt>
          <c:dPt>
            <c:idx val="22"/>
            <c:invertIfNegative val="0"/>
            <c:bubble3D val="0"/>
            <c:spPr>
              <a:solidFill>
                <a:srgbClr val="C0E43C"/>
              </a:solidFill>
            </c:spPr>
          </c:dPt>
          <c:dPt>
            <c:idx val="23"/>
            <c:invertIfNegative val="0"/>
            <c:bubble3D val="0"/>
            <c:spPr>
              <a:solidFill>
                <a:srgbClr val="C0E43C"/>
              </a:solidFill>
            </c:spPr>
          </c:dPt>
          <c:dPt>
            <c:idx val="24"/>
            <c:invertIfNegative val="0"/>
            <c:bubble3D val="0"/>
            <c:spPr>
              <a:solidFill>
                <a:srgbClr val="C0E43C"/>
              </a:solidFill>
            </c:spPr>
          </c:dPt>
          <c:dPt>
            <c:idx val="25"/>
            <c:invertIfNegative val="0"/>
            <c:bubble3D val="0"/>
            <c:spPr>
              <a:solidFill>
                <a:srgbClr val="C0E43C"/>
              </a:solidFill>
            </c:spPr>
          </c:dPt>
          <c:dPt>
            <c:idx val="26"/>
            <c:invertIfNegative val="0"/>
            <c:bubble3D val="0"/>
            <c:spPr>
              <a:solidFill>
                <a:schemeClr val="tx2">
                  <a:lumMod val="75000"/>
                </a:schemeClr>
              </a:solidFill>
            </c:spPr>
          </c:dPt>
          <c:dPt>
            <c:idx val="27"/>
            <c:invertIfNegative val="0"/>
            <c:bubble3D val="0"/>
            <c:spPr>
              <a:solidFill>
                <a:schemeClr val="tx2">
                  <a:lumMod val="75000"/>
                </a:schemeClr>
              </a:solidFill>
            </c:spPr>
          </c:dPt>
          <c:cat>
            <c:strRef>
              <c:f>Sheet5!$A$2:$A$29</c:f>
              <c:strCache>
                <c:ptCount val="28"/>
                <c:pt idx="0">
                  <c:v>Malta</c:v>
                </c:pt>
                <c:pt idx="1">
                  <c:v>Rumunija</c:v>
                </c:pt>
                <c:pt idx="2">
                  <c:v>Italija</c:v>
                </c:pt>
                <c:pt idx="3">
                  <c:v>Ispanija</c:v>
                </c:pt>
                <c:pt idx="4">
                  <c:v>Latvija</c:v>
                </c:pt>
                <c:pt idx="5">
                  <c:v>Portugalija</c:v>
                </c:pt>
                <c:pt idx="6">
                  <c:v>Bulgarija</c:v>
                </c:pt>
                <c:pt idx="7">
                  <c:v>Vengrija</c:v>
                </c:pt>
                <c:pt idx="8">
                  <c:v>Graikija</c:v>
                </c:pt>
                <c:pt idx="9">
                  <c:v>Čekija</c:v>
                </c:pt>
                <c:pt idx="10">
                  <c:v>ES 27</c:v>
                </c:pt>
                <c:pt idx="11">
                  <c:v>Estija</c:v>
                </c:pt>
                <c:pt idx="12">
                  <c:v>Kipras</c:v>
                </c:pt>
                <c:pt idx="13">
                  <c:v>Austrija</c:v>
                </c:pt>
                <c:pt idx="14">
                  <c:v>Lenkija</c:v>
                </c:pt>
                <c:pt idx="15">
                  <c:v>Vokietija</c:v>
                </c:pt>
                <c:pt idx="16">
                  <c:v>Danija</c:v>
                </c:pt>
                <c:pt idx="17">
                  <c:v>Slovakija</c:v>
                </c:pt>
                <c:pt idx="18">
                  <c:v>Nyderlandai</c:v>
                </c:pt>
                <c:pt idx="19">
                  <c:v>Lietuva</c:v>
                </c:pt>
                <c:pt idx="20">
                  <c:v>Slovėnija</c:v>
                </c:pt>
                <c:pt idx="21">
                  <c:v>Belgija</c:v>
                </c:pt>
                <c:pt idx="22">
                  <c:v>Prancūzija</c:v>
                </c:pt>
                <c:pt idx="23">
                  <c:v>Liuksemburgas</c:v>
                </c:pt>
                <c:pt idx="24">
                  <c:v>Jungtinė Karalystė</c:v>
                </c:pt>
                <c:pt idx="25">
                  <c:v>Airija</c:v>
                </c:pt>
                <c:pt idx="26">
                  <c:v>Suomija</c:v>
                </c:pt>
                <c:pt idx="27">
                  <c:v>Švedija</c:v>
                </c:pt>
              </c:strCache>
            </c:strRef>
          </c:cat>
          <c:val>
            <c:numRef>
              <c:f>Sheet5!$B$2:$B$29</c:f>
              <c:numCache>
                <c:formatCode>General</c:formatCode>
                <c:ptCount val="28"/>
                <c:pt idx="0">
                  <c:v>0.11</c:v>
                </c:pt>
                <c:pt idx="1">
                  <c:v>0.4</c:v>
                </c:pt>
                <c:pt idx="2">
                  <c:v>0.433</c:v>
                </c:pt>
                <c:pt idx="3">
                  <c:v>0.436</c:v>
                </c:pt>
                <c:pt idx="4">
                  <c:v>0.45100000000000001</c:v>
                </c:pt>
                <c:pt idx="5">
                  <c:v>0.45100000000000001</c:v>
                </c:pt>
                <c:pt idx="6">
                  <c:v>0.45500000000000002</c:v>
                </c:pt>
                <c:pt idx="7">
                  <c:v>0.46700000000000003</c:v>
                </c:pt>
                <c:pt idx="8">
                  <c:v>0.47499999999999998</c:v>
                </c:pt>
                <c:pt idx="9">
                  <c:v>0.53400000000000003</c:v>
                </c:pt>
                <c:pt idx="10">
                  <c:v>0.56299999999999994</c:v>
                </c:pt>
                <c:pt idx="11">
                  <c:v>0.57499999999999996</c:v>
                </c:pt>
                <c:pt idx="12">
                  <c:v>0.57799999999999996</c:v>
                </c:pt>
                <c:pt idx="13">
                  <c:v>0.58899999999999997</c:v>
                </c:pt>
                <c:pt idx="14">
                  <c:v>0.59299999999999997</c:v>
                </c:pt>
                <c:pt idx="15">
                  <c:v>0.61299999999999999</c:v>
                </c:pt>
                <c:pt idx="16">
                  <c:v>0.62</c:v>
                </c:pt>
                <c:pt idx="17">
                  <c:v>0.63400000000000001</c:v>
                </c:pt>
                <c:pt idx="18">
                  <c:v>0.64200000000000002</c:v>
                </c:pt>
                <c:pt idx="19">
                  <c:v>0.64600000000000002</c:v>
                </c:pt>
                <c:pt idx="20">
                  <c:v>0.64900000000000002</c:v>
                </c:pt>
                <c:pt idx="21">
                  <c:v>0.67200000000000004</c:v>
                </c:pt>
                <c:pt idx="22">
                  <c:v>0.67700000000000005</c:v>
                </c:pt>
                <c:pt idx="23">
                  <c:v>0.70199999999999996</c:v>
                </c:pt>
                <c:pt idx="24">
                  <c:v>0.73</c:v>
                </c:pt>
                <c:pt idx="25">
                  <c:v>0.77200000000000002</c:v>
                </c:pt>
                <c:pt idx="26">
                  <c:v>0.85799999999999998</c:v>
                </c:pt>
                <c:pt idx="27">
                  <c:v>0.89300000000000002</c:v>
                </c:pt>
              </c:numCache>
            </c:numRef>
          </c:val>
        </c:ser>
        <c:dLbls>
          <c:showLegendKey val="0"/>
          <c:showVal val="0"/>
          <c:showCatName val="0"/>
          <c:showSerName val="0"/>
          <c:showPercent val="0"/>
          <c:showBubbleSize val="0"/>
        </c:dLbls>
        <c:gapWidth val="150"/>
        <c:axId val="234105856"/>
        <c:axId val="233974016"/>
      </c:barChart>
      <c:catAx>
        <c:axId val="234105856"/>
        <c:scaling>
          <c:orientation val="minMax"/>
        </c:scaling>
        <c:delete val="0"/>
        <c:axPos val="b"/>
        <c:majorTickMark val="out"/>
        <c:minorTickMark val="none"/>
        <c:tickLblPos val="nextTo"/>
        <c:txPr>
          <a:bodyPr/>
          <a:lstStyle/>
          <a:p>
            <a:pPr>
              <a:defRPr sz="1000">
                <a:latin typeface="Times New Roman" pitchFamily="18" charset="0"/>
                <a:cs typeface="Times New Roman" pitchFamily="18" charset="0"/>
              </a:defRPr>
            </a:pPr>
            <a:endParaRPr lang="lt-LT"/>
          </a:p>
        </c:txPr>
        <c:crossAx val="233974016"/>
        <c:crosses val="autoZero"/>
        <c:auto val="1"/>
        <c:lblAlgn val="ctr"/>
        <c:lblOffset val="100"/>
        <c:noMultiLvlLbl val="0"/>
      </c:catAx>
      <c:valAx>
        <c:axId val="233974016"/>
        <c:scaling>
          <c:orientation val="minMax"/>
        </c:scaling>
        <c:delete val="0"/>
        <c:axPos val="l"/>
        <c:majorGridlines/>
        <c:title>
          <c:tx>
            <c:rich>
              <a:bodyPr rot="0" vert="horz"/>
              <a:lstStyle/>
              <a:p>
                <a:pPr>
                  <a:defRPr b="1">
                    <a:latin typeface="Times New Roman" pitchFamily="18" charset="0"/>
                    <a:cs typeface="Times New Roman" pitchFamily="18" charset="0"/>
                  </a:defRPr>
                </a:pPr>
                <a:r>
                  <a:rPr lang="lt-LT" b="1">
                    <a:latin typeface="Times New Roman" pitchFamily="18" charset="0"/>
                    <a:cs typeface="Times New Roman" pitchFamily="18" charset="0"/>
                  </a:rPr>
                  <a:t> a)</a:t>
                </a:r>
              </a:p>
            </c:rich>
          </c:tx>
          <c:overlay val="0"/>
        </c:title>
        <c:numFmt formatCode="General" sourceLinked="1"/>
        <c:majorTickMark val="out"/>
        <c:minorTickMark val="none"/>
        <c:tickLblPos val="nextTo"/>
        <c:spPr>
          <a:noFill/>
        </c:spPr>
        <c:txPr>
          <a:bodyPr/>
          <a:lstStyle/>
          <a:p>
            <a:pPr>
              <a:defRPr>
                <a:latin typeface="Times New Roman" pitchFamily="18" charset="0"/>
                <a:cs typeface="Times New Roman" pitchFamily="18" charset="0"/>
              </a:defRPr>
            </a:pPr>
            <a:endParaRPr lang="lt-LT"/>
          </a:p>
        </c:txPr>
        <c:crossAx val="234105856"/>
        <c:crosses val="autoZero"/>
        <c:crossBetween val="between"/>
      </c:valAx>
      <c:spPr>
        <a:noFill/>
        <a:ln>
          <a:noFill/>
        </a:ln>
      </c:spPr>
    </c:plotArea>
    <c:plotVisOnly val="1"/>
    <c:dispBlanksAs val="gap"/>
    <c:showDLblsOverMax val="0"/>
  </c:chart>
  <c:spPr>
    <a:noFill/>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5.4214056576261299E-2"/>
          <c:y val="3.9373585143898195E-2"/>
          <c:w val="0.75329194292480506"/>
          <c:h val="0.77484888016704212"/>
        </c:manualLayout>
      </c:layout>
      <c:barChart>
        <c:barDir val="col"/>
        <c:grouping val="clustered"/>
        <c:varyColors val="0"/>
        <c:ser>
          <c:idx val="0"/>
          <c:order val="0"/>
          <c:tx>
            <c:strRef>
              <c:f>'balt invest'!$B$7</c:f>
              <c:strCache>
                <c:ptCount val="1"/>
                <c:pt idx="0">
                  <c:v>Latvija</c:v>
                </c:pt>
              </c:strCache>
            </c:strRef>
          </c:tx>
          <c:spPr>
            <a:solidFill>
              <a:srgbClr val="9BE5EF"/>
            </a:solidFill>
          </c:spPr>
          <c:invertIfNegative val="0"/>
          <c:cat>
            <c:numRef>
              <c:f>'balt invest'!$A$8:$A$14</c:f>
              <c:numCache>
                <c:formatCode>General</c:formatCode>
                <c:ptCount val="7"/>
                <c:pt idx="0">
                  <c:v>2004</c:v>
                </c:pt>
                <c:pt idx="1">
                  <c:v>2005</c:v>
                </c:pt>
                <c:pt idx="2">
                  <c:v>2006</c:v>
                </c:pt>
                <c:pt idx="3">
                  <c:v>2007</c:v>
                </c:pt>
                <c:pt idx="4">
                  <c:v>2008</c:v>
                </c:pt>
                <c:pt idx="5">
                  <c:v>2009</c:v>
                </c:pt>
                <c:pt idx="6">
                  <c:v>2010</c:v>
                </c:pt>
              </c:numCache>
            </c:numRef>
          </c:cat>
          <c:val>
            <c:numRef>
              <c:f>'balt invest'!$B$8:$B$14</c:f>
              <c:numCache>
                <c:formatCode>General</c:formatCode>
                <c:ptCount val="7"/>
                <c:pt idx="0">
                  <c:v>13.3</c:v>
                </c:pt>
                <c:pt idx="1">
                  <c:v>8.6999999999999993</c:v>
                </c:pt>
                <c:pt idx="2">
                  <c:v>0</c:v>
                </c:pt>
                <c:pt idx="3">
                  <c:v>24</c:v>
                </c:pt>
                <c:pt idx="4">
                  <c:v>63</c:v>
                </c:pt>
                <c:pt idx="5">
                  <c:v>1</c:v>
                </c:pt>
                <c:pt idx="6">
                  <c:v>5</c:v>
                </c:pt>
              </c:numCache>
            </c:numRef>
          </c:val>
        </c:ser>
        <c:ser>
          <c:idx val="1"/>
          <c:order val="1"/>
          <c:tx>
            <c:strRef>
              <c:f>'balt invest'!$C$7</c:f>
              <c:strCache>
                <c:ptCount val="1"/>
                <c:pt idx="0">
                  <c:v>Lietuva</c:v>
                </c:pt>
              </c:strCache>
            </c:strRef>
          </c:tx>
          <c:spPr>
            <a:solidFill>
              <a:srgbClr val="002060"/>
            </a:solidFill>
          </c:spPr>
          <c:invertIfNegative val="0"/>
          <c:cat>
            <c:numRef>
              <c:f>'balt invest'!$A$8:$A$14</c:f>
              <c:numCache>
                <c:formatCode>General</c:formatCode>
                <c:ptCount val="7"/>
                <c:pt idx="0">
                  <c:v>2004</c:v>
                </c:pt>
                <c:pt idx="1">
                  <c:v>2005</c:v>
                </c:pt>
                <c:pt idx="2">
                  <c:v>2006</c:v>
                </c:pt>
                <c:pt idx="3">
                  <c:v>2007</c:v>
                </c:pt>
                <c:pt idx="4">
                  <c:v>2008</c:v>
                </c:pt>
                <c:pt idx="5">
                  <c:v>2009</c:v>
                </c:pt>
                <c:pt idx="6">
                  <c:v>2010</c:v>
                </c:pt>
              </c:numCache>
            </c:numRef>
          </c:cat>
          <c:val>
            <c:numRef>
              <c:f>'balt invest'!$C$8:$C$14</c:f>
              <c:numCache>
                <c:formatCode>General</c:formatCode>
                <c:ptCount val="7"/>
                <c:pt idx="0">
                  <c:v>12</c:v>
                </c:pt>
                <c:pt idx="1">
                  <c:v>14.4</c:v>
                </c:pt>
                <c:pt idx="2">
                  <c:v>18</c:v>
                </c:pt>
                <c:pt idx="3">
                  <c:v>152</c:v>
                </c:pt>
                <c:pt idx="4">
                  <c:v>0</c:v>
                </c:pt>
                <c:pt idx="5">
                  <c:v>1</c:v>
                </c:pt>
                <c:pt idx="6">
                  <c:v>2</c:v>
                </c:pt>
              </c:numCache>
            </c:numRef>
          </c:val>
        </c:ser>
        <c:ser>
          <c:idx val="2"/>
          <c:order val="2"/>
          <c:tx>
            <c:strRef>
              <c:f>'balt invest'!$D$7</c:f>
              <c:strCache>
                <c:ptCount val="1"/>
                <c:pt idx="0">
                  <c:v>Estija</c:v>
                </c:pt>
              </c:strCache>
            </c:strRef>
          </c:tx>
          <c:spPr>
            <a:solidFill>
              <a:srgbClr val="C0E43C"/>
            </a:solidFill>
          </c:spPr>
          <c:invertIfNegative val="0"/>
          <c:cat>
            <c:numRef>
              <c:f>'balt invest'!$A$8:$A$14</c:f>
              <c:numCache>
                <c:formatCode>General</c:formatCode>
                <c:ptCount val="7"/>
                <c:pt idx="0">
                  <c:v>2004</c:v>
                </c:pt>
                <c:pt idx="1">
                  <c:v>2005</c:v>
                </c:pt>
                <c:pt idx="2">
                  <c:v>2006</c:v>
                </c:pt>
                <c:pt idx="3">
                  <c:v>2007</c:v>
                </c:pt>
                <c:pt idx="4">
                  <c:v>2008</c:v>
                </c:pt>
                <c:pt idx="5">
                  <c:v>2009</c:v>
                </c:pt>
                <c:pt idx="6">
                  <c:v>2010</c:v>
                </c:pt>
              </c:numCache>
            </c:numRef>
          </c:cat>
          <c:val>
            <c:numRef>
              <c:f>'balt invest'!$D$8:$D$14</c:f>
              <c:numCache>
                <c:formatCode>General</c:formatCode>
                <c:ptCount val="7"/>
                <c:pt idx="0">
                  <c:v>0.4</c:v>
                </c:pt>
                <c:pt idx="1">
                  <c:v>12.7</c:v>
                </c:pt>
                <c:pt idx="2">
                  <c:v>4</c:v>
                </c:pt>
                <c:pt idx="3">
                  <c:v>36</c:v>
                </c:pt>
                <c:pt idx="4">
                  <c:v>15</c:v>
                </c:pt>
                <c:pt idx="5">
                  <c:v>5</c:v>
                </c:pt>
                <c:pt idx="6">
                  <c:v>25</c:v>
                </c:pt>
              </c:numCache>
            </c:numRef>
          </c:val>
        </c:ser>
        <c:dLbls>
          <c:showLegendKey val="0"/>
          <c:showVal val="0"/>
          <c:showCatName val="0"/>
          <c:showSerName val="0"/>
          <c:showPercent val="0"/>
          <c:showBubbleSize val="0"/>
        </c:dLbls>
        <c:gapWidth val="150"/>
        <c:axId val="230192640"/>
        <c:axId val="229528064"/>
      </c:barChart>
      <c:lineChart>
        <c:grouping val="standard"/>
        <c:varyColors val="0"/>
        <c:ser>
          <c:idx val="3"/>
          <c:order val="3"/>
          <c:tx>
            <c:strRef>
              <c:f>'balt invest'!$E$7</c:f>
              <c:strCache>
                <c:ptCount val="1"/>
                <c:pt idx="0">
                  <c:v>ES</c:v>
                </c:pt>
              </c:strCache>
            </c:strRef>
          </c:tx>
          <c:spPr>
            <a:ln>
              <a:solidFill>
                <a:schemeClr val="accent6">
                  <a:lumMod val="75000"/>
                </a:schemeClr>
              </a:solidFill>
            </a:ln>
          </c:spPr>
          <c:marker>
            <c:symbol val="none"/>
          </c:marker>
          <c:cat>
            <c:numRef>
              <c:f>'balt invest'!$A$8:$A$14</c:f>
              <c:numCache>
                <c:formatCode>General</c:formatCode>
                <c:ptCount val="7"/>
                <c:pt idx="0">
                  <c:v>2004</c:v>
                </c:pt>
                <c:pt idx="1">
                  <c:v>2005</c:v>
                </c:pt>
                <c:pt idx="2">
                  <c:v>2006</c:v>
                </c:pt>
                <c:pt idx="3">
                  <c:v>2007</c:v>
                </c:pt>
                <c:pt idx="4">
                  <c:v>2008</c:v>
                </c:pt>
                <c:pt idx="5">
                  <c:v>2009</c:v>
                </c:pt>
                <c:pt idx="6">
                  <c:v>2010</c:v>
                </c:pt>
              </c:numCache>
            </c:numRef>
          </c:cat>
          <c:val>
            <c:numRef>
              <c:f>'balt invest'!$E$8:$E$14</c:f>
              <c:numCache>
                <c:formatCode>General</c:formatCode>
                <c:ptCount val="7"/>
                <c:pt idx="0">
                  <c:v>36900</c:v>
                </c:pt>
                <c:pt idx="1">
                  <c:v>47100</c:v>
                </c:pt>
                <c:pt idx="2">
                  <c:v>71200</c:v>
                </c:pt>
                <c:pt idx="3">
                  <c:v>72300</c:v>
                </c:pt>
                <c:pt idx="4">
                  <c:v>54300</c:v>
                </c:pt>
                <c:pt idx="5">
                  <c:v>24000</c:v>
                </c:pt>
                <c:pt idx="6">
                  <c:v>42600</c:v>
                </c:pt>
              </c:numCache>
            </c:numRef>
          </c:val>
          <c:smooth val="0"/>
        </c:ser>
        <c:dLbls>
          <c:showLegendKey val="0"/>
          <c:showVal val="0"/>
          <c:showCatName val="0"/>
          <c:showSerName val="0"/>
          <c:showPercent val="0"/>
          <c:showBubbleSize val="0"/>
        </c:dLbls>
        <c:marker val="1"/>
        <c:smooth val="0"/>
        <c:axId val="230194176"/>
        <c:axId val="229528640"/>
      </c:lineChart>
      <c:catAx>
        <c:axId val="230192640"/>
        <c:scaling>
          <c:orientation val="minMax"/>
        </c:scaling>
        <c:delete val="0"/>
        <c:axPos val="b"/>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lt-LT"/>
          </a:p>
        </c:txPr>
        <c:crossAx val="229528064"/>
        <c:crosses val="autoZero"/>
        <c:auto val="1"/>
        <c:lblAlgn val="ctr"/>
        <c:lblOffset val="100"/>
        <c:noMultiLvlLbl val="0"/>
      </c:catAx>
      <c:valAx>
        <c:axId val="229528064"/>
        <c:scaling>
          <c:orientation val="minMax"/>
        </c:scaling>
        <c:delete val="0"/>
        <c:axPos val="l"/>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lt-LT"/>
          </a:p>
        </c:txPr>
        <c:crossAx val="230192640"/>
        <c:crosses val="autoZero"/>
        <c:crossBetween val="between"/>
      </c:valAx>
      <c:valAx>
        <c:axId val="229528640"/>
        <c:scaling>
          <c:orientation val="minMax"/>
        </c:scaling>
        <c:delete val="0"/>
        <c:axPos val="r"/>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lt-LT"/>
          </a:p>
        </c:txPr>
        <c:crossAx val="230194176"/>
        <c:crosses val="max"/>
        <c:crossBetween val="between"/>
      </c:valAx>
      <c:catAx>
        <c:axId val="230194176"/>
        <c:scaling>
          <c:orientation val="minMax"/>
        </c:scaling>
        <c:delete val="1"/>
        <c:axPos val="b"/>
        <c:numFmt formatCode="General" sourceLinked="1"/>
        <c:majorTickMark val="out"/>
        <c:minorTickMark val="none"/>
        <c:tickLblPos val="nextTo"/>
        <c:crossAx val="229528640"/>
        <c:crosses val="autoZero"/>
        <c:auto val="1"/>
        <c:lblAlgn val="ctr"/>
        <c:lblOffset val="100"/>
        <c:noMultiLvlLbl val="0"/>
      </c:catAx>
      <c:spPr>
        <a:noFill/>
      </c:spPr>
    </c:plotArea>
    <c:legend>
      <c:legendPos val="r"/>
      <c:layout>
        <c:manualLayout>
          <c:xMode val="edge"/>
          <c:yMode val="edge"/>
          <c:x val="1.8477251624883916E-2"/>
          <c:y val="0.90948951188529237"/>
          <c:w val="0.51341491112116899"/>
          <c:h val="7.2551109928315358E-2"/>
        </c:manualLayout>
      </c:layout>
      <c:overlay val="0"/>
      <c:txPr>
        <a:bodyPr/>
        <a:lstStyle/>
        <a:p>
          <a:pPr>
            <a:defRPr>
              <a:latin typeface="Times New Roman" pitchFamily="18" charset="0"/>
              <a:cs typeface="Times New Roman" pitchFamily="18" charset="0"/>
            </a:defRPr>
          </a:pPr>
          <a:endParaRPr lang="lt-LT"/>
        </a:p>
      </c:txPr>
    </c:legend>
    <c:plotVisOnly val="1"/>
    <c:dispBlanksAs val="gap"/>
    <c:showDLblsOverMax val="0"/>
  </c:chart>
  <c:spPr>
    <a:noFill/>
    <a:ln>
      <a:noFill/>
    </a:ln>
  </c:sp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lt-LT" sz="1000" b="0">
                <a:latin typeface="Times New Roman" pitchFamily="18" charset="0"/>
                <a:cs typeface="Times New Roman" pitchFamily="18" charset="0"/>
              </a:rPr>
              <a:t>Finansavimas ir rėmimas</a:t>
            </a:r>
          </a:p>
        </c:rich>
      </c:tx>
      <c:overlay val="1"/>
    </c:title>
    <c:autoTitleDeleted val="0"/>
    <c:plotArea>
      <c:layout>
        <c:manualLayout>
          <c:layoutTarget val="inner"/>
          <c:xMode val="edge"/>
          <c:yMode val="edge"/>
          <c:x val="9.0881976534414474E-2"/>
          <c:y val="0.11970686097282433"/>
          <c:w val="0.88434316999980056"/>
          <c:h val="0.46851384019202497"/>
        </c:manualLayout>
      </c:layout>
      <c:barChart>
        <c:barDir val="col"/>
        <c:grouping val="clustered"/>
        <c:varyColors val="0"/>
        <c:ser>
          <c:idx val="0"/>
          <c:order val="0"/>
          <c:invertIfNegative val="0"/>
          <c:dPt>
            <c:idx val="0"/>
            <c:invertIfNegative val="0"/>
            <c:bubble3D val="0"/>
            <c:spPr>
              <a:solidFill>
                <a:srgbClr val="9BE5EF"/>
              </a:solidFill>
            </c:spPr>
          </c:dPt>
          <c:dPt>
            <c:idx val="1"/>
            <c:invertIfNegative val="0"/>
            <c:bubble3D val="0"/>
            <c:spPr>
              <a:solidFill>
                <a:schemeClr val="accent6">
                  <a:lumMod val="75000"/>
                </a:schemeClr>
              </a:solidFill>
            </c:spPr>
          </c:dPt>
          <c:dPt>
            <c:idx val="2"/>
            <c:invertIfNegative val="0"/>
            <c:bubble3D val="0"/>
            <c:spPr>
              <a:solidFill>
                <a:srgbClr val="9BE5EF"/>
              </a:solidFill>
              <a:ln w="19050">
                <a:noFill/>
                <a:prstDash val="sysDash"/>
              </a:ln>
            </c:spPr>
          </c:dPt>
          <c:dPt>
            <c:idx val="3"/>
            <c:invertIfNegative val="0"/>
            <c:bubble3D val="0"/>
            <c:spPr>
              <a:solidFill>
                <a:srgbClr val="C0E43C"/>
              </a:solidFill>
              <a:ln w="19050">
                <a:noFill/>
                <a:prstDash val="sysDash"/>
              </a:ln>
            </c:spPr>
          </c:dPt>
          <c:dPt>
            <c:idx val="4"/>
            <c:invertIfNegative val="0"/>
            <c:bubble3D val="0"/>
            <c:spPr>
              <a:solidFill>
                <a:srgbClr val="9BE5EF"/>
              </a:solidFill>
              <a:ln w="19050">
                <a:noFill/>
                <a:prstDash val="sysDash"/>
              </a:ln>
            </c:spPr>
          </c:dPt>
          <c:dPt>
            <c:idx val="5"/>
            <c:invertIfNegative val="0"/>
            <c:bubble3D val="0"/>
            <c:spPr>
              <a:solidFill>
                <a:schemeClr val="accent6">
                  <a:lumMod val="75000"/>
                </a:schemeClr>
              </a:solidFill>
            </c:spPr>
          </c:dPt>
          <c:dPt>
            <c:idx val="6"/>
            <c:invertIfNegative val="0"/>
            <c:bubble3D val="0"/>
            <c:spPr>
              <a:solidFill>
                <a:schemeClr val="accent6">
                  <a:lumMod val="75000"/>
                </a:schemeClr>
              </a:solidFill>
            </c:spPr>
          </c:dPt>
          <c:dPt>
            <c:idx val="7"/>
            <c:invertIfNegative val="0"/>
            <c:bubble3D val="0"/>
            <c:spPr>
              <a:solidFill>
                <a:srgbClr val="9BE5EF"/>
              </a:solidFill>
            </c:spPr>
          </c:dPt>
          <c:dPt>
            <c:idx val="8"/>
            <c:invertIfNegative val="0"/>
            <c:bubble3D val="0"/>
            <c:spPr>
              <a:solidFill>
                <a:srgbClr val="9BE5EF"/>
              </a:solidFill>
            </c:spPr>
          </c:dPt>
          <c:dPt>
            <c:idx val="9"/>
            <c:invertIfNegative val="0"/>
            <c:bubble3D val="0"/>
            <c:spPr>
              <a:solidFill>
                <a:srgbClr val="9BE5EF"/>
              </a:solidFill>
            </c:spPr>
          </c:dPt>
          <c:dPt>
            <c:idx val="10"/>
            <c:invertIfNegative val="0"/>
            <c:bubble3D val="0"/>
            <c:spPr>
              <a:solidFill>
                <a:srgbClr val="C0E43C"/>
              </a:solidFill>
            </c:spPr>
          </c:dPt>
          <c:dPt>
            <c:idx val="11"/>
            <c:invertIfNegative val="0"/>
            <c:bubble3D val="0"/>
            <c:spPr>
              <a:solidFill>
                <a:srgbClr val="9BE5EF"/>
              </a:solidFill>
            </c:spPr>
          </c:dPt>
          <c:dPt>
            <c:idx val="12"/>
            <c:invertIfNegative val="0"/>
            <c:bubble3D val="0"/>
            <c:spPr>
              <a:solidFill>
                <a:schemeClr val="accent6">
                  <a:lumMod val="75000"/>
                </a:schemeClr>
              </a:solidFill>
            </c:spPr>
          </c:dPt>
          <c:dPt>
            <c:idx val="13"/>
            <c:invertIfNegative val="0"/>
            <c:bubble3D val="0"/>
            <c:spPr>
              <a:solidFill>
                <a:srgbClr val="9BE5EF"/>
              </a:solidFill>
            </c:spPr>
          </c:dPt>
          <c:dPt>
            <c:idx val="14"/>
            <c:invertIfNegative val="0"/>
            <c:bubble3D val="0"/>
            <c:spPr>
              <a:solidFill>
                <a:srgbClr val="C0E43C"/>
              </a:solidFill>
            </c:spPr>
          </c:dPt>
          <c:dPt>
            <c:idx val="15"/>
            <c:invertIfNegative val="0"/>
            <c:bubble3D val="0"/>
            <c:spPr>
              <a:solidFill>
                <a:srgbClr val="9BE5EF"/>
              </a:solidFill>
            </c:spPr>
          </c:dPt>
          <c:dPt>
            <c:idx val="16"/>
            <c:invertIfNegative val="0"/>
            <c:bubble3D val="0"/>
            <c:spPr>
              <a:solidFill>
                <a:srgbClr val="C0E43C"/>
              </a:solidFill>
            </c:spPr>
          </c:dPt>
          <c:dPt>
            <c:idx val="17"/>
            <c:invertIfNegative val="0"/>
            <c:bubble3D val="0"/>
            <c:spPr>
              <a:solidFill>
                <a:srgbClr val="C0E43C"/>
              </a:solidFill>
            </c:spPr>
          </c:dPt>
          <c:dPt>
            <c:idx val="18"/>
            <c:invertIfNegative val="0"/>
            <c:bubble3D val="0"/>
            <c:spPr>
              <a:solidFill>
                <a:srgbClr val="C0E43C"/>
              </a:solidFill>
            </c:spPr>
          </c:dPt>
          <c:dPt>
            <c:idx val="19"/>
            <c:invertIfNegative val="0"/>
            <c:bubble3D val="0"/>
            <c:spPr>
              <a:solidFill>
                <a:schemeClr val="accent6">
                  <a:lumMod val="50000"/>
                </a:schemeClr>
              </a:solidFill>
            </c:spPr>
          </c:dPt>
          <c:dPt>
            <c:idx val="20"/>
            <c:invertIfNegative val="0"/>
            <c:bubble3D val="0"/>
            <c:spPr>
              <a:solidFill>
                <a:schemeClr val="tx2">
                  <a:lumMod val="75000"/>
                </a:schemeClr>
              </a:solidFill>
            </c:spPr>
          </c:dPt>
          <c:dPt>
            <c:idx val="21"/>
            <c:invertIfNegative val="0"/>
            <c:bubble3D val="0"/>
            <c:spPr>
              <a:solidFill>
                <a:srgbClr val="C0E43C"/>
              </a:solidFill>
            </c:spPr>
          </c:dPt>
          <c:dPt>
            <c:idx val="22"/>
            <c:invertIfNegative val="0"/>
            <c:bubble3D val="0"/>
            <c:spPr>
              <a:solidFill>
                <a:srgbClr val="C0E43C"/>
              </a:solidFill>
            </c:spPr>
          </c:dPt>
          <c:dPt>
            <c:idx val="23"/>
            <c:invertIfNegative val="0"/>
            <c:bubble3D val="0"/>
            <c:spPr>
              <a:solidFill>
                <a:srgbClr val="C0E43C"/>
              </a:solidFill>
            </c:spPr>
          </c:dPt>
          <c:dPt>
            <c:idx val="24"/>
            <c:invertIfNegative val="0"/>
            <c:bubble3D val="0"/>
            <c:spPr>
              <a:solidFill>
                <a:srgbClr val="C0E43C"/>
              </a:solidFill>
            </c:spPr>
          </c:dPt>
          <c:dPt>
            <c:idx val="25"/>
            <c:invertIfNegative val="0"/>
            <c:bubble3D val="0"/>
            <c:spPr>
              <a:solidFill>
                <a:schemeClr val="tx2">
                  <a:lumMod val="75000"/>
                </a:schemeClr>
              </a:solidFill>
            </c:spPr>
          </c:dPt>
          <c:dPt>
            <c:idx val="26"/>
            <c:invertIfNegative val="0"/>
            <c:bubble3D val="0"/>
            <c:spPr>
              <a:solidFill>
                <a:schemeClr val="tx2">
                  <a:lumMod val="75000"/>
                </a:schemeClr>
              </a:solidFill>
            </c:spPr>
          </c:dPt>
          <c:dPt>
            <c:idx val="27"/>
            <c:invertIfNegative val="0"/>
            <c:bubble3D val="0"/>
            <c:spPr>
              <a:solidFill>
                <a:schemeClr val="tx2">
                  <a:lumMod val="75000"/>
                </a:schemeClr>
              </a:solidFill>
            </c:spPr>
          </c:dPt>
          <c:cat>
            <c:strRef>
              <c:f>Sheet5!$A$2:$A$29</c:f>
              <c:strCache>
                <c:ptCount val="28"/>
                <c:pt idx="0">
                  <c:v>Malta</c:v>
                </c:pt>
                <c:pt idx="1">
                  <c:v>Bulgarija</c:v>
                </c:pt>
                <c:pt idx="2">
                  <c:v>Graikija</c:v>
                </c:pt>
                <c:pt idx="3">
                  <c:v>Kipras</c:v>
                </c:pt>
                <c:pt idx="4">
                  <c:v>Slovakija</c:v>
                </c:pt>
                <c:pt idx="5">
                  <c:v>Rumunija</c:v>
                </c:pt>
                <c:pt idx="6">
                  <c:v>Latvija</c:v>
                </c:pt>
                <c:pt idx="7">
                  <c:v>Vengrija</c:v>
                </c:pt>
                <c:pt idx="8">
                  <c:v>Čekija</c:v>
                </c:pt>
                <c:pt idx="9">
                  <c:v>Lenkija</c:v>
                </c:pt>
                <c:pt idx="10">
                  <c:v>Airija</c:v>
                </c:pt>
                <c:pt idx="11">
                  <c:v>Italija</c:v>
                </c:pt>
                <c:pt idx="12">
                  <c:v>Lietuva</c:v>
                </c:pt>
                <c:pt idx="13">
                  <c:v>Ispanija</c:v>
                </c:pt>
                <c:pt idx="14">
                  <c:v>Austrija</c:v>
                </c:pt>
                <c:pt idx="15">
                  <c:v>Portugalija</c:v>
                </c:pt>
                <c:pt idx="16">
                  <c:v>Liuksemburgas</c:v>
                </c:pt>
                <c:pt idx="17">
                  <c:v>Slovėnija</c:v>
                </c:pt>
                <c:pt idx="18">
                  <c:v>Belgija</c:v>
                </c:pt>
                <c:pt idx="19">
                  <c:v>ES 27</c:v>
                </c:pt>
                <c:pt idx="20">
                  <c:v>Vokietija</c:v>
                </c:pt>
                <c:pt idx="21">
                  <c:v>Prancūzija</c:v>
                </c:pt>
                <c:pt idx="22">
                  <c:v>Estija</c:v>
                </c:pt>
                <c:pt idx="23">
                  <c:v>Nyderlandai</c:v>
                </c:pt>
                <c:pt idx="24">
                  <c:v>Jungtinė Karalystė</c:v>
                </c:pt>
                <c:pt idx="25">
                  <c:v>Danija</c:v>
                </c:pt>
                <c:pt idx="26">
                  <c:v>Suomija</c:v>
                </c:pt>
                <c:pt idx="27">
                  <c:v>Švedija</c:v>
                </c:pt>
              </c:strCache>
            </c:strRef>
          </c:cat>
          <c:val>
            <c:numRef>
              <c:f>Sheet5!$B$2:$B$29</c:f>
              <c:numCache>
                <c:formatCode>General</c:formatCode>
                <c:ptCount val="28"/>
                <c:pt idx="0">
                  <c:v>0.115</c:v>
                </c:pt>
                <c:pt idx="1">
                  <c:v>0.156</c:v>
                </c:pt>
                <c:pt idx="2">
                  <c:v>0.188</c:v>
                </c:pt>
                <c:pt idx="3">
                  <c:v>0.219</c:v>
                </c:pt>
                <c:pt idx="4">
                  <c:v>0.22900000000000001</c:v>
                </c:pt>
                <c:pt idx="5">
                  <c:v>0.23499999999999999</c:v>
                </c:pt>
                <c:pt idx="6">
                  <c:v>0.25</c:v>
                </c:pt>
                <c:pt idx="7">
                  <c:v>0.251</c:v>
                </c:pt>
                <c:pt idx="8">
                  <c:v>0.28999999999999998</c:v>
                </c:pt>
                <c:pt idx="9">
                  <c:v>0.34100000000000003</c:v>
                </c:pt>
                <c:pt idx="10">
                  <c:v>0.34300000000000003</c:v>
                </c:pt>
                <c:pt idx="11">
                  <c:v>0.34899999999999998</c:v>
                </c:pt>
                <c:pt idx="12">
                  <c:v>0.438</c:v>
                </c:pt>
                <c:pt idx="13">
                  <c:v>0.46600000000000003</c:v>
                </c:pt>
                <c:pt idx="14">
                  <c:v>0.50600000000000001</c:v>
                </c:pt>
                <c:pt idx="15">
                  <c:v>0.52200000000000002</c:v>
                </c:pt>
                <c:pt idx="16">
                  <c:v>0.52800000000000002</c:v>
                </c:pt>
                <c:pt idx="17">
                  <c:v>0.55200000000000005</c:v>
                </c:pt>
                <c:pt idx="18">
                  <c:v>0.57799999999999996</c:v>
                </c:pt>
                <c:pt idx="19">
                  <c:v>0.58399999999999996</c:v>
                </c:pt>
                <c:pt idx="20">
                  <c:v>0.58399999999999996</c:v>
                </c:pt>
                <c:pt idx="21">
                  <c:v>0.64300000000000002</c:v>
                </c:pt>
                <c:pt idx="22">
                  <c:v>0.67700000000000005</c:v>
                </c:pt>
                <c:pt idx="23">
                  <c:v>0.69599999999999995</c:v>
                </c:pt>
                <c:pt idx="24">
                  <c:v>0.69699999999999995</c:v>
                </c:pt>
                <c:pt idx="25">
                  <c:v>0.71899999999999997</c:v>
                </c:pt>
                <c:pt idx="26">
                  <c:v>0.83299999999999996</c:v>
                </c:pt>
                <c:pt idx="27">
                  <c:v>0.89500000000000002</c:v>
                </c:pt>
              </c:numCache>
            </c:numRef>
          </c:val>
        </c:ser>
        <c:dLbls>
          <c:showLegendKey val="0"/>
          <c:showVal val="0"/>
          <c:showCatName val="0"/>
          <c:showSerName val="0"/>
          <c:showPercent val="0"/>
          <c:showBubbleSize val="0"/>
        </c:dLbls>
        <c:gapWidth val="150"/>
        <c:axId val="234455552"/>
        <c:axId val="233975744"/>
      </c:barChart>
      <c:catAx>
        <c:axId val="234455552"/>
        <c:scaling>
          <c:orientation val="minMax"/>
        </c:scaling>
        <c:delete val="0"/>
        <c:axPos val="b"/>
        <c:numFmt formatCode="General" sourceLinked="1"/>
        <c:majorTickMark val="out"/>
        <c:minorTickMark val="none"/>
        <c:tickLblPos val="nextTo"/>
        <c:txPr>
          <a:bodyPr/>
          <a:lstStyle/>
          <a:p>
            <a:pPr>
              <a:defRPr sz="1000">
                <a:latin typeface="Times New Roman" pitchFamily="18" charset="0"/>
                <a:cs typeface="Times New Roman" pitchFamily="18" charset="0"/>
              </a:defRPr>
            </a:pPr>
            <a:endParaRPr lang="lt-LT"/>
          </a:p>
        </c:txPr>
        <c:crossAx val="233975744"/>
        <c:crosses val="autoZero"/>
        <c:auto val="1"/>
        <c:lblAlgn val="ctr"/>
        <c:lblOffset val="100"/>
        <c:noMultiLvlLbl val="0"/>
      </c:catAx>
      <c:valAx>
        <c:axId val="233975744"/>
        <c:scaling>
          <c:orientation val="minMax"/>
        </c:scaling>
        <c:delete val="0"/>
        <c:axPos val="l"/>
        <c:majorGridlines/>
        <c:title>
          <c:tx>
            <c:rich>
              <a:bodyPr rot="0" vert="horz"/>
              <a:lstStyle/>
              <a:p>
                <a:pPr>
                  <a:defRPr b="1">
                    <a:latin typeface="Times New Roman" pitchFamily="18" charset="0"/>
                    <a:cs typeface="Times New Roman" pitchFamily="18" charset="0"/>
                  </a:defRPr>
                </a:pPr>
                <a:r>
                  <a:rPr lang="lt-LT" b="1">
                    <a:latin typeface="Times New Roman" pitchFamily="18" charset="0"/>
                    <a:cs typeface="Times New Roman" pitchFamily="18" charset="0"/>
                  </a:rPr>
                  <a:t> c)</a:t>
                </a:r>
              </a:p>
            </c:rich>
          </c:tx>
          <c:overlay val="0"/>
        </c:title>
        <c:numFmt formatCode="General" sourceLinked="1"/>
        <c:majorTickMark val="out"/>
        <c:minorTickMark val="none"/>
        <c:tickLblPos val="nextTo"/>
        <c:spPr>
          <a:noFill/>
        </c:spPr>
        <c:txPr>
          <a:bodyPr/>
          <a:lstStyle/>
          <a:p>
            <a:pPr>
              <a:defRPr>
                <a:latin typeface="Times New Roman" pitchFamily="18" charset="0"/>
                <a:cs typeface="Times New Roman" pitchFamily="18" charset="0"/>
              </a:defRPr>
            </a:pPr>
            <a:endParaRPr lang="lt-LT"/>
          </a:p>
        </c:txPr>
        <c:crossAx val="234455552"/>
        <c:crosses val="autoZero"/>
        <c:crossBetween val="between"/>
      </c:valAx>
      <c:spPr>
        <a:noFill/>
        <a:ln>
          <a:noFill/>
        </a:ln>
      </c:spPr>
    </c:plotArea>
    <c:plotVisOnly val="1"/>
    <c:dispBlanksAs val="gap"/>
    <c:showDLblsOverMax val="0"/>
  </c:chart>
  <c:spPr>
    <a:noFill/>
    <a:ln>
      <a:noFill/>
    </a:ln>
  </c:sp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lt-LT" sz="1000" b="0">
                <a:latin typeface="Times New Roman" pitchFamily="18" charset="0"/>
                <a:cs typeface="Times New Roman" pitchFamily="18" charset="0"/>
              </a:rPr>
              <a:t>Nuolatinės investicijos</a:t>
            </a:r>
          </a:p>
        </c:rich>
      </c:tx>
      <c:overlay val="1"/>
    </c:title>
    <c:autoTitleDeleted val="0"/>
    <c:plotArea>
      <c:layout>
        <c:manualLayout>
          <c:layoutTarget val="inner"/>
          <c:xMode val="edge"/>
          <c:yMode val="edge"/>
          <c:x val="9.0881976534414474E-2"/>
          <c:y val="0.11970686097282433"/>
          <c:w val="0.88434316999980056"/>
          <c:h val="0.46851384019202497"/>
        </c:manualLayout>
      </c:layout>
      <c:barChart>
        <c:barDir val="col"/>
        <c:grouping val="clustered"/>
        <c:varyColors val="0"/>
        <c:ser>
          <c:idx val="0"/>
          <c:order val="0"/>
          <c:invertIfNegative val="0"/>
          <c:dPt>
            <c:idx val="0"/>
            <c:invertIfNegative val="0"/>
            <c:bubble3D val="0"/>
            <c:spPr>
              <a:solidFill>
                <a:srgbClr val="9BE5EF"/>
              </a:solidFill>
            </c:spPr>
          </c:dPt>
          <c:dPt>
            <c:idx val="1"/>
            <c:invertIfNegative val="0"/>
            <c:bubble3D val="0"/>
            <c:spPr>
              <a:solidFill>
                <a:srgbClr val="9BE5EF"/>
              </a:solidFill>
            </c:spPr>
          </c:dPt>
          <c:dPt>
            <c:idx val="2"/>
            <c:invertIfNegative val="0"/>
            <c:bubble3D val="0"/>
            <c:spPr>
              <a:solidFill>
                <a:schemeClr val="accent6">
                  <a:lumMod val="75000"/>
                </a:schemeClr>
              </a:solidFill>
              <a:ln w="19050">
                <a:noFill/>
                <a:prstDash val="sysDash"/>
              </a:ln>
            </c:spPr>
          </c:dPt>
          <c:dPt>
            <c:idx val="3"/>
            <c:invertIfNegative val="0"/>
            <c:bubble3D val="0"/>
            <c:spPr>
              <a:solidFill>
                <a:srgbClr val="9BE5EF"/>
              </a:solidFill>
              <a:ln w="19050">
                <a:noFill/>
                <a:prstDash val="sysDash"/>
              </a:ln>
            </c:spPr>
          </c:dPt>
          <c:dPt>
            <c:idx val="4"/>
            <c:invertIfNegative val="0"/>
            <c:bubble3D val="0"/>
            <c:spPr>
              <a:solidFill>
                <a:srgbClr val="C0E43C"/>
              </a:solidFill>
              <a:ln w="19050">
                <a:noFill/>
                <a:prstDash val="sysDash"/>
              </a:ln>
            </c:spPr>
          </c:dPt>
          <c:dPt>
            <c:idx val="5"/>
            <c:invertIfNegative val="0"/>
            <c:bubble3D val="0"/>
            <c:spPr>
              <a:solidFill>
                <a:srgbClr val="9BE5EF"/>
              </a:solidFill>
            </c:spPr>
          </c:dPt>
          <c:dPt>
            <c:idx val="6"/>
            <c:invertIfNegative val="0"/>
            <c:bubble3D val="0"/>
            <c:spPr>
              <a:solidFill>
                <a:srgbClr val="C0E43C"/>
              </a:solidFill>
            </c:spPr>
          </c:dPt>
          <c:dPt>
            <c:idx val="7"/>
            <c:invertIfNegative val="0"/>
            <c:bubble3D val="0"/>
            <c:spPr>
              <a:solidFill>
                <a:schemeClr val="accent6">
                  <a:lumMod val="75000"/>
                </a:schemeClr>
              </a:solidFill>
            </c:spPr>
          </c:dPt>
          <c:dPt>
            <c:idx val="8"/>
            <c:invertIfNegative val="0"/>
            <c:bubble3D val="0"/>
            <c:spPr>
              <a:solidFill>
                <a:srgbClr val="9BE5EF"/>
              </a:solidFill>
            </c:spPr>
          </c:dPt>
          <c:dPt>
            <c:idx val="9"/>
            <c:invertIfNegative val="0"/>
            <c:bubble3D val="0"/>
            <c:spPr>
              <a:solidFill>
                <a:srgbClr val="9BE5EF"/>
              </a:solidFill>
            </c:spPr>
          </c:dPt>
          <c:dPt>
            <c:idx val="10"/>
            <c:invertIfNegative val="0"/>
            <c:bubble3D val="0"/>
            <c:spPr>
              <a:solidFill>
                <a:srgbClr val="9BE5EF"/>
              </a:solidFill>
            </c:spPr>
          </c:dPt>
          <c:dPt>
            <c:idx val="11"/>
            <c:invertIfNegative val="0"/>
            <c:bubble3D val="0"/>
            <c:spPr>
              <a:solidFill>
                <a:schemeClr val="accent6">
                  <a:lumMod val="75000"/>
                </a:schemeClr>
              </a:solidFill>
            </c:spPr>
          </c:dPt>
          <c:dPt>
            <c:idx val="12"/>
            <c:invertIfNegative val="0"/>
            <c:bubble3D val="0"/>
            <c:spPr>
              <a:solidFill>
                <a:srgbClr val="9BE5EF"/>
              </a:solidFill>
            </c:spPr>
          </c:dPt>
          <c:dPt>
            <c:idx val="13"/>
            <c:invertIfNegative val="0"/>
            <c:bubble3D val="0"/>
            <c:spPr>
              <a:solidFill>
                <a:srgbClr val="C0E43C"/>
              </a:solidFill>
            </c:spPr>
          </c:dPt>
          <c:dPt>
            <c:idx val="14"/>
            <c:invertIfNegative val="0"/>
            <c:bubble3D val="0"/>
            <c:spPr>
              <a:solidFill>
                <a:schemeClr val="accent6">
                  <a:lumMod val="75000"/>
                </a:schemeClr>
              </a:solidFill>
            </c:spPr>
          </c:dPt>
          <c:dPt>
            <c:idx val="15"/>
            <c:invertIfNegative val="0"/>
            <c:bubble3D val="0"/>
            <c:spPr>
              <a:solidFill>
                <a:srgbClr val="C0E43C"/>
              </a:solidFill>
            </c:spPr>
          </c:dPt>
          <c:dPt>
            <c:idx val="16"/>
            <c:invertIfNegative val="0"/>
            <c:bubble3D val="0"/>
            <c:spPr>
              <a:solidFill>
                <a:schemeClr val="accent6">
                  <a:lumMod val="50000"/>
                </a:schemeClr>
              </a:solidFill>
            </c:spPr>
          </c:dPt>
          <c:dPt>
            <c:idx val="17"/>
            <c:invertIfNegative val="0"/>
            <c:bubble3D val="0"/>
            <c:spPr>
              <a:solidFill>
                <a:srgbClr val="C0E43C"/>
              </a:solidFill>
            </c:spPr>
          </c:dPt>
          <c:dPt>
            <c:idx val="18"/>
            <c:invertIfNegative val="0"/>
            <c:bubble3D val="0"/>
            <c:spPr>
              <a:solidFill>
                <a:srgbClr val="9BE5EF"/>
              </a:solidFill>
            </c:spPr>
          </c:dPt>
          <c:dPt>
            <c:idx val="19"/>
            <c:invertIfNegative val="0"/>
            <c:bubble3D val="0"/>
            <c:spPr>
              <a:solidFill>
                <a:srgbClr val="C0E43C"/>
              </a:solidFill>
            </c:spPr>
          </c:dPt>
          <c:dPt>
            <c:idx val="20"/>
            <c:invertIfNegative val="0"/>
            <c:bubble3D val="0"/>
            <c:spPr>
              <a:solidFill>
                <a:srgbClr val="C0E43C"/>
              </a:solidFill>
            </c:spPr>
          </c:dPt>
          <c:dPt>
            <c:idx val="21"/>
            <c:invertIfNegative val="0"/>
            <c:bubble3D val="0"/>
            <c:spPr>
              <a:solidFill>
                <a:srgbClr val="C0E43C"/>
              </a:solidFill>
            </c:spPr>
          </c:dPt>
          <c:dPt>
            <c:idx val="22"/>
            <c:invertIfNegative val="0"/>
            <c:bubble3D val="0"/>
            <c:spPr>
              <a:solidFill>
                <a:srgbClr val="C0E43C"/>
              </a:solidFill>
            </c:spPr>
          </c:dPt>
          <c:dPt>
            <c:idx val="23"/>
            <c:invertIfNegative val="0"/>
            <c:bubble3D val="0"/>
            <c:spPr>
              <a:solidFill>
                <a:schemeClr val="tx2">
                  <a:lumMod val="75000"/>
                </a:schemeClr>
              </a:solidFill>
            </c:spPr>
          </c:dPt>
          <c:dPt>
            <c:idx val="24"/>
            <c:invertIfNegative val="0"/>
            <c:bubble3D val="0"/>
            <c:spPr>
              <a:solidFill>
                <a:schemeClr val="tx2">
                  <a:lumMod val="75000"/>
                </a:schemeClr>
              </a:solidFill>
            </c:spPr>
          </c:dPt>
          <c:dPt>
            <c:idx val="25"/>
            <c:invertIfNegative val="0"/>
            <c:bubble3D val="0"/>
            <c:spPr>
              <a:solidFill>
                <a:schemeClr val="tx2">
                  <a:lumMod val="75000"/>
                </a:schemeClr>
              </a:solidFill>
            </c:spPr>
          </c:dPt>
          <c:dPt>
            <c:idx val="26"/>
            <c:invertIfNegative val="0"/>
            <c:bubble3D val="0"/>
            <c:spPr>
              <a:solidFill>
                <a:srgbClr val="C0E43C"/>
              </a:solidFill>
            </c:spPr>
          </c:dPt>
          <c:dPt>
            <c:idx val="27"/>
            <c:invertIfNegative val="0"/>
            <c:bubble3D val="0"/>
            <c:spPr>
              <a:solidFill>
                <a:schemeClr val="tx2">
                  <a:lumMod val="75000"/>
                </a:schemeClr>
              </a:solidFill>
            </c:spPr>
          </c:dPt>
          <c:cat>
            <c:strRef>
              <c:f>Sheet5!$A$2:$A$29</c:f>
              <c:strCache>
                <c:ptCount val="28"/>
                <c:pt idx="0">
                  <c:v>Graikija</c:v>
                </c:pt>
                <c:pt idx="1">
                  <c:v>Slovakija</c:v>
                </c:pt>
                <c:pt idx="2">
                  <c:v>Lietuva</c:v>
                </c:pt>
                <c:pt idx="3">
                  <c:v>Ispanija</c:v>
                </c:pt>
                <c:pt idx="4">
                  <c:v>Liuksemburgas</c:v>
                </c:pt>
                <c:pt idx="5">
                  <c:v>Italija</c:v>
                </c:pt>
                <c:pt idx="6">
                  <c:v>Nyderlandai</c:v>
                </c:pt>
                <c:pt idx="7">
                  <c:v>Bulgarija</c:v>
                </c:pt>
                <c:pt idx="8">
                  <c:v>Portugalija</c:v>
                </c:pt>
                <c:pt idx="9">
                  <c:v>Vengrija</c:v>
                </c:pt>
                <c:pt idx="10">
                  <c:v>Malta</c:v>
                </c:pt>
                <c:pt idx="11">
                  <c:v>Latvija</c:v>
                </c:pt>
                <c:pt idx="12">
                  <c:v>Lenkija</c:v>
                </c:pt>
                <c:pt idx="13">
                  <c:v>Prancūzija</c:v>
                </c:pt>
                <c:pt idx="14">
                  <c:v>Rumunija</c:v>
                </c:pt>
                <c:pt idx="15">
                  <c:v>Belgija</c:v>
                </c:pt>
                <c:pt idx="16">
                  <c:v>ES 27</c:v>
                </c:pt>
                <c:pt idx="17">
                  <c:v>Jungtinė Karalystė</c:v>
                </c:pt>
                <c:pt idx="18">
                  <c:v>Čekija</c:v>
                </c:pt>
                <c:pt idx="19">
                  <c:v>Kipras</c:v>
                </c:pt>
                <c:pt idx="20">
                  <c:v>Austrija</c:v>
                </c:pt>
                <c:pt idx="21">
                  <c:v>Slovėnija</c:v>
                </c:pt>
                <c:pt idx="22">
                  <c:v>Airija</c:v>
                </c:pt>
                <c:pt idx="23">
                  <c:v>Danija</c:v>
                </c:pt>
                <c:pt idx="24">
                  <c:v>Vokietija</c:v>
                </c:pt>
                <c:pt idx="25">
                  <c:v>Suomija</c:v>
                </c:pt>
                <c:pt idx="26">
                  <c:v>Estija</c:v>
                </c:pt>
                <c:pt idx="27">
                  <c:v>Švedija</c:v>
                </c:pt>
              </c:strCache>
            </c:strRef>
          </c:cat>
          <c:val>
            <c:numRef>
              <c:f>Sheet5!$B$2:$B$29</c:f>
              <c:numCache>
                <c:formatCode>General</c:formatCode>
                <c:ptCount val="28"/>
                <c:pt idx="0">
                  <c:v>0.22</c:v>
                </c:pt>
                <c:pt idx="1">
                  <c:v>0.23599999999999999</c:v>
                </c:pt>
                <c:pt idx="2">
                  <c:v>0.24</c:v>
                </c:pt>
                <c:pt idx="3">
                  <c:v>0.255</c:v>
                </c:pt>
                <c:pt idx="4">
                  <c:v>0.28799999999999998</c:v>
                </c:pt>
                <c:pt idx="5">
                  <c:v>0.28999999999999998</c:v>
                </c:pt>
                <c:pt idx="6">
                  <c:v>0.30499999999999999</c:v>
                </c:pt>
                <c:pt idx="7">
                  <c:v>0.312</c:v>
                </c:pt>
                <c:pt idx="8">
                  <c:v>0.32100000000000001</c:v>
                </c:pt>
                <c:pt idx="9">
                  <c:v>0.33300000000000002</c:v>
                </c:pt>
                <c:pt idx="10">
                  <c:v>0.35899999999999999</c:v>
                </c:pt>
                <c:pt idx="11">
                  <c:v>0.36899999999999999</c:v>
                </c:pt>
                <c:pt idx="12">
                  <c:v>0.38</c:v>
                </c:pt>
                <c:pt idx="13">
                  <c:v>0.40200000000000002</c:v>
                </c:pt>
                <c:pt idx="14">
                  <c:v>0.40899999999999997</c:v>
                </c:pt>
                <c:pt idx="15">
                  <c:v>0.41699999999999998</c:v>
                </c:pt>
                <c:pt idx="16">
                  <c:v>0.44</c:v>
                </c:pt>
                <c:pt idx="17">
                  <c:v>0.45300000000000001</c:v>
                </c:pt>
                <c:pt idx="18">
                  <c:v>0.48199999999999998</c:v>
                </c:pt>
                <c:pt idx="19">
                  <c:v>0.501</c:v>
                </c:pt>
                <c:pt idx="20">
                  <c:v>0.50800000000000001</c:v>
                </c:pt>
                <c:pt idx="21">
                  <c:v>0.50800000000000001</c:v>
                </c:pt>
                <c:pt idx="22">
                  <c:v>0.52800000000000002</c:v>
                </c:pt>
                <c:pt idx="23">
                  <c:v>0.56399999999999995</c:v>
                </c:pt>
                <c:pt idx="24">
                  <c:v>0.63500000000000001</c:v>
                </c:pt>
                <c:pt idx="25">
                  <c:v>0.63900000000000001</c:v>
                </c:pt>
                <c:pt idx="26">
                  <c:v>0.66800000000000004</c:v>
                </c:pt>
                <c:pt idx="27">
                  <c:v>0.69099999999999995</c:v>
                </c:pt>
              </c:numCache>
            </c:numRef>
          </c:val>
        </c:ser>
        <c:dLbls>
          <c:showLegendKey val="0"/>
          <c:showVal val="0"/>
          <c:showCatName val="0"/>
          <c:showSerName val="0"/>
          <c:showPercent val="0"/>
          <c:showBubbleSize val="0"/>
        </c:dLbls>
        <c:gapWidth val="150"/>
        <c:axId val="234458624"/>
        <c:axId val="233977472"/>
      </c:barChart>
      <c:catAx>
        <c:axId val="234458624"/>
        <c:scaling>
          <c:orientation val="minMax"/>
        </c:scaling>
        <c:delete val="0"/>
        <c:axPos val="b"/>
        <c:numFmt formatCode="General" sourceLinked="1"/>
        <c:majorTickMark val="out"/>
        <c:minorTickMark val="none"/>
        <c:tickLblPos val="nextTo"/>
        <c:txPr>
          <a:bodyPr/>
          <a:lstStyle/>
          <a:p>
            <a:pPr>
              <a:defRPr sz="1000">
                <a:latin typeface="Times New Roman" pitchFamily="18" charset="0"/>
                <a:cs typeface="Times New Roman" pitchFamily="18" charset="0"/>
              </a:defRPr>
            </a:pPr>
            <a:endParaRPr lang="lt-LT"/>
          </a:p>
        </c:txPr>
        <c:crossAx val="233977472"/>
        <c:crosses val="autoZero"/>
        <c:auto val="1"/>
        <c:lblAlgn val="ctr"/>
        <c:lblOffset val="100"/>
        <c:noMultiLvlLbl val="0"/>
      </c:catAx>
      <c:valAx>
        <c:axId val="233977472"/>
        <c:scaling>
          <c:orientation val="minMax"/>
        </c:scaling>
        <c:delete val="0"/>
        <c:axPos val="l"/>
        <c:majorGridlines/>
        <c:title>
          <c:tx>
            <c:rich>
              <a:bodyPr rot="0" vert="horz"/>
              <a:lstStyle/>
              <a:p>
                <a:pPr>
                  <a:defRPr b="1">
                    <a:latin typeface="Times New Roman" pitchFamily="18" charset="0"/>
                    <a:cs typeface="Times New Roman" pitchFamily="18" charset="0"/>
                  </a:defRPr>
                </a:pPr>
                <a:r>
                  <a:rPr lang="lt-LT" b="1">
                    <a:latin typeface="Times New Roman" pitchFamily="18" charset="0"/>
                    <a:cs typeface="Times New Roman" pitchFamily="18" charset="0"/>
                  </a:rPr>
                  <a:t> d)</a:t>
                </a:r>
              </a:p>
            </c:rich>
          </c:tx>
          <c:overlay val="0"/>
        </c:title>
        <c:numFmt formatCode="General" sourceLinked="1"/>
        <c:majorTickMark val="out"/>
        <c:minorTickMark val="none"/>
        <c:tickLblPos val="nextTo"/>
        <c:spPr>
          <a:noFill/>
        </c:spPr>
        <c:txPr>
          <a:bodyPr/>
          <a:lstStyle/>
          <a:p>
            <a:pPr>
              <a:defRPr>
                <a:latin typeface="Times New Roman" pitchFamily="18" charset="0"/>
                <a:cs typeface="Times New Roman" pitchFamily="18" charset="0"/>
              </a:defRPr>
            </a:pPr>
            <a:endParaRPr lang="lt-LT"/>
          </a:p>
        </c:txPr>
        <c:crossAx val="234458624"/>
        <c:crosses val="autoZero"/>
        <c:crossBetween val="between"/>
      </c:valAx>
      <c:spPr>
        <a:noFill/>
        <a:ln>
          <a:noFill/>
        </a:ln>
      </c:spPr>
    </c:plotArea>
    <c:plotVisOnly val="1"/>
    <c:dispBlanksAs val="gap"/>
    <c:showDLblsOverMax val="0"/>
  </c:chart>
  <c:spPr>
    <a:noFill/>
    <a:ln>
      <a:noFill/>
    </a:ln>
  </c:sp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lt-LT" sz="1000" b="0">
                <a:latin typeface="Times New Roman" pitchFamily="18" charset="0"/>
                <a:cs typeface="Times New Roman" pitchFamily="18" charset="0"/>
              </a:rPr>
              <a:t>Nuolatinės investicijos</a:t>
            </a:r>
          </a:p>
        </c:rich>
      </c:tx>
      <c:overlay val="1"/>
    </c:title>
    <c:autoTitleDeleted val="0"/>
    <c:plotArea>
      <c:layout>
        <c:manualLayout>
          <c:layoutTarget val="inner"/>
          <c:xMode val="edge"/>
          <c:yMode val="edge"/>
          <c:x val="9.0881976534414474E-2"/>
          <c:y val="0.11970686097282433"/>
          <c:w val="0.88434316999980056"/>
          <c:h val="0.46851384019202497"/>
        </c:manualLayout>
      </c:layout>
      <c:barChart>
        <c:barDir val="col"/>
        <c:grouping val="clustered"/>
        <c:varyColors val="0"/>
        <c:dLbls>
          <c:showLegendKey val="0"/>
          <c:showVal val="0"/>
          <c:showCatName val="0"/>
          <c:showSerName val="0"/>
          <c:showPercent val="0"/>
          <c:showBubbleSize val="0"/>
        </c:dLbls>
        <c:gapWidth val="150"/>
        <c:axId val="234455040"/>
        <c:axId val="233979200"/>
      </c:barChart>
      <c:catAx>
        <c:axId val="234455040"/>
        <c:scaling>
          <c:orientation val="minMax"/>
        </c:scaling>
        <c:delete val="0"/>
        <c:axPos val="b"/>
        <c:numFmt formatCode="General" sourceLinked="1"/>
        <c:majorTickMark val="out"/>
        <c:minorTickMark val="none"/>
        <c:tickLblPos val="nextTo"/>
        <c:txPr>
          <a:bodyPr/>
          <a:lstStyle/>
          <a:p>
            <a:pPr>
              <a:defRPr sz="1000">
                <a:latin typeface="Times New Roman" pitchFamily="18" charset="0"/>
                <a:cs typeface="Times New Roman" pitchFamily="18" charset="0"/>
              </a:defRPr>
            </a:pPr>
            <a:endParaRPr lang="lt-LT"/>
          </a:p>
        </c:txPr>
        <c:crossAx val="233979200"/>
        <c:crosses val="autoZero"/>
        <c:auto val="1"/>
        <c:lblAlgn val="ctr"/>
        <c:lblOffset val="100"/>
        <c:noMultiLvlLbl val="0"/>
      </c:catAx>
      <c:valAx>
        <c:axId val="233979200"/>
        <c:scaling>
          <c:orientation val="minMax"/>
        </c:scaling>
        <c:delete val="0"/>
        <c:axPos val="l"/>
        <c:majorGridlines/>
        <c:title>
          <c:tx>
            <c:rich>
              <a:bodyPr rot="0" vert="horz"/>
              <a:lstStyle/>
              <a:p>
                <a:pPr>
                  <a:defRPr b="1">
                    <a:latin typeface="Times New Roman" pitchFamily="18" charset="0"/>
                    <a:cs typeface="Times New Roman" pitchFamily="18" charset="0"/>
                  </a:defRPr>
                </a:pPr>
                <a:r>
                  <a:rPr lang="lt-LT" b="1">
                    <a:latin typeface="Times New Roman" pitchFamily="18" charset="0"/>
                    <a:cs typeface="Times New Roman" pitchFamily="18" charset="0"/>
                  </a:rPr>
                  <a:t> d)</a:t>
                </a:r>
              </a:p>
            </c:rich>
          </c:tx>
          <c:overlay val="0"/>
        </c:title>
        <c:numFmt formatCode="General" sourceLinked="1"/>
        <c:majorTickMark val="out"/>
        <c:minorTickMark val="none"/>
        <c:tickLblPos val="nextTo"/>
        <c:spPr>
          <a:noFill/>
        </c:spPr>
        <c:txPr>
          <a:bodyPr/>
          <a:lstStyle/>
          <a:p>
            <a:pPr>
              <a:defRPr>
                <a:latin typeface="Times New Roman" pitchFamily="18" charset="0"/>
                <a:cs typeface="Times New Roman" pitchFamily="18" charset="0"/>
              </a:defRPr>
            </a:pPr>
            <a:endParaRPr lang="lt-LT"/>
          </a:p>
        </c:txPr>
        <c:crossAx val="234455040"/>
        <c:crosses val="autoZero"/>
        <c:crossBetween val="between"/>
      </c:valAx>
      <c:spPr>
        <a:noFill/>
        <a:ln>
          <a:noFill/>
        </a:ln>
      </c:spPr>
    </c:plotArea>
    <c:plotVisOnly val="1"/>
    <c:dispBlanksAs val="gap"/>
    <c:showDLblsOverMax val="0"/>
  </c:chart>
  <c:spPr>
    <a:noFill/>
    <a:ln>
      <a:noFill/>
    </a:ln>
  </c:sp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lt-LT" sz="1000" b="0">
                <a:latin typeface="Times New Roman" pitchFamily="18" charset="0"/>
                <a:cs typeface="Times New Roman" pitchFamily="18" charset="0"/>
              </a:rPr>
              <a:t>Bendradarbiavimas ir verslininkystė</a:t>
            </a:r>
          </a:p>
        </c:rich>
      </c:tx>
      <c:overlay val="1"/>
    </c:title>
    <c:autoTitleDeleted val="0"/>
    <c:plotArea>
      <c:layout>
        <c:manualLayout>
          <c:layoutTarget val="inner"/>
          <c:xMode val="edge"/>
          <c:yMode val="edge"/>
          <c:x val="9.0881976534414474E-2"/>
          <c:y val="0.11970686097282433"/>
          <c:w val="0.88434316999980056"/>
          <c:h val="0.46851384019202497"/>
        </c:manualLayout>
      </c:layout>
      <c:barChart>
        <c:barDir val="col"/>
        <c:grouping val="clustered"/>
        <c:varyColors val="0"/>
        <c:ser>
          <c:idx val="0"/>
          <c:order val="0"/>
          <c:invertIfNegative val="0"/>
          <c:dPt>
            <c:idx val="0"/>
            <c:invertIfNegative val="0"/>
            <c:bubble3D val="0"/>
            <c:spPr>
              <a:solidFill>
                <a:schemeClr val="accent6">
                  <a:lumMod val="75000"/>
                </a:schemeClr>
              </a:solidFill>
            </c:spPr>
          </c:dPt>
          <c:dPt>
            <c:idx val="1"/>
            <c:invertIfNegative val="0"/>
            <c:bubble3D val="0"/>
            <c:spPr>
              <a:solidFill>
                <a:schemeClr val="accent6">
                  <a:lumMod val="75000"/>
                </a:schemeClr>
              </a:solidFill>
            </c:spPr>
          </c:dPt>
          <c:dPt>
            <c:idx val="2"/>
            <c:invertIfNegative val="0"/>
            <c:bubble3D val="0"/>
            <c:spPr>
              <a:solidFill>
                <a:schemeClr val="accent6">
                  <a:lumMod val="75000"/>
                </a:schemeClr>
              </a:solidFill>
              <a:ln w="19050">
                <a:noFill/>
                <a:prstDash val="sysDash"/>
              </a:ln>
            </c:spPr>
          </c:dPt>
          <c:dPt>
            <c:idx val="3"/>
            <c:invertIfNegative val="0"/>
            <c:bubble3D val="0"/>
            <c:spPr>
              <a:solidFill>
                <a:srgbClr val="9BE5EF"/>
              </a:solidFill>
              <a:ln w="19050">
                <a:noFill/>
                <a:prstDash val="sysDash"/>
              </a:ln>
            </c:spPr>
          </c:dPt>
          <c:dPt>
            <c:idx val="4"/>
            <c:invertIfNegative val="0"/>
            <c:bubble3D val="0"/>
            <c:spPr>
              <a:solidFill>
                <a:srgbClr val="9BE5EF"/>
              </a:solidFill>
              <a:ln w="19050">
                <a:noFill/>
                <a:prstDash val="sysDash"/>
              </a:ln>
            </c:spPr>
          </c:dPt>
          <c:dPt>
            <c:idx val="5"/>
            <c:invertIfNegative val="0"/>
            <c:bubble3D val="0"/>
            <c:spPr>
              <a:solidFill>
                <a:srgbClr val="9BE5EF"/>
              </a:solidFill>
            </c:spPr>
          </c:dPt>
          <c:dPt>
            <c:idx val="6"/>
            <c:invertIfNegative val="0"/>
            <c:bubble3D val="0"/>
            <c:spPr>
              <a:solidFill>
                <a:schemeClr val="accent6">
                  <a:lumMod val="75000"/>
                </a:schemeClr>
              </a:solidFill>
            </c:spPr>
          </c:dPt>
          <c:dPt>
            <c:idx val="7"/>
            <c:invertIfNegative val="0"/>
            <c:bubble3D val="0"/>
            <c:spPr>
              <a:solidFill>
                <a:srgbClr val="9BE5EF"/>
              </a:solidFill>
            </c:spPr>
          </c:dPt>
          <c:dPt>
            <c:idx val="8"/>
            <c:invertIfNegative val="0"/>
            <c:bubble3D val="0"/>
            <c:spPr>
              <a:solidFill>
                <a:srgbClr val="9BE5EF"/>
              </a:solidFill>
            </c:spPr>
          </c:dPt>
          <c:dPt>
            <c:idx val="9"/>
            <c:invertIfNegative val="0"/>
            <c:bubble3D val="0"/>
            <c:spPr>
              <a:solidFill>
                <a:srgbClr val="9BE5EF"/>
              </a:solidFill>
            </c:spPr>
          </c:dPt>
          <c:dPt>
            <c:idx val="10"/>
            <c:invertIfNegative val="0"/>
            <c:bubble3D val="0"/>
            <c:spPr>
              <a:solidFill>
                <a:srgbClr val="9BE5EF"/>
              </a:solidFill>
            </c:spPr>
          </c:dPt>
          <c:dPt>
            <c:idx val="11"/>
            <c:invertIfNegative val="0"/>
            <c:bubble3D val="0"/>
            <c:spPr>
              <a:solidFill>
                <a:srgbClr val="9BE5EF"/>
              </a:solidFill>
            </c:spPr>
          </c:dPt>
          <c:dPt>
            <c:idx val="12"/>
            <c:invertIfNegative val="0"/>
            <c:bubble3D val="0"/>
            <c:spPr>
              <a:solidFill>
                <a:srgbClr val="9BE5EF"/>
              </a:solidFill>
            </c:spPr>
          </c:dPt>
          <c:dPt>
            <c:idx val="13"/>
            <c:invertIfNegative val="0"/>
            <c:bubble3D val="0"/>
            <c:spPr>
              <a:solidFill>
                <a:schemeClr val="accent6">
                  <a:lumMod val="50000"/>
                </a:schemeClr>
              </a:solidFill>
            </c:spPr>
          </c:dPt>
          <c:dPt>
            <c:idx val="14"/>
            <c:invertIfNegative val="0"/>
            <c:bubble3D val="0"/>
            <c:spPr>
              <a:solidFill>
                <a:srgbClr val="C0E43C"/>
              </a:solidFill>
            </c:spPr>
          </c:dPt>
          <c:dPt>
            <c:idx val="15"/>
            <c:invertIfNegative val="0"/>
            <c:bubble3D val="0"/>
            <c:spPr>
              <a:solidFill>
                <a:srgbClr val="C0E43C"/>
              </a:solidFill>
            </c:spPr>
          </c:dPt>
          <c:dPt>
            <c:idx val="16"/>
            <c:invertIfNegative val="0"/>
            <c:bubble3D val="0"/>
            <c:spPr>
              <a:solidFill>
                <a:srgbClr val="C0E43C"/>
              </a:solidFill>
            </c:spPr>
          </c:dPt>
          <c:dPt>
            <c:idx val="17"/>
            <c:invertIfNegative val="0"/>
            <c:bubble3D val="0"/>
            <c:spPr>
              <a:solidFill>
                <a:srgbClr val="C0E43C"/>
              </a:solidFill>
            </c:spPr>
          </c:dPt>
          <c:dPt>
            <c:idx val="18"/>
            <c:invertIfNegative val="0"/>
            <c:bubble3D val="0"/>
            <c:spPr>
              <a:solidFill>
                <a:srgbClr val="C0E43C"/>
              </a:solidFill>
            </c:spPr>
          </c:dPt>
          <c:dPt>
            <c:idx val="19"/>
            <c:invertIfNegative val="0"/>
            <c:bubble3D val="0"/>
            <c:spPr>
              <a:solidFill>
                <a:schemeClr val="tx2">
                  <a:lumMod val="75000"/>
                </a:schemeClr>
              </a:solidFill>
            </c:spPr>
          </c:dPt>
          <c:dPt>
            <c:idx val="20"/>
            <c:invertIfNegative val="0"/>
            <c:bubble3D val="0"/>
            <c:spPr>
              <a:solidFill>
                <a:srgbClr val="C0E43C"/>
              </a:solidFill>
            </c:spPr>
          </c:dPt>
          <c:dPt>
            <c:idx val="21"/>
            <c:invertIfNegative val="0"/>
            <c:bubble3D val="0"/>
            <c:spPr>
              <a:solidFill>
                <a:srgbClr val="C0E43C"/>
              </a:solidFill>
            </c:spPr>
          </c:dPt>
          <c:dPt>
            <c:idx val="22"/>
            <c:invertIfNegative val="0"/>
            <c:bubble3D val="0"/>
            <c:spPr>
              <a:solidFill>
                <a:srgbClr val="C0E43C"/>
              </a:solidFill>
            </c:spPr>
          </c:dPt>
          <c:dPt>
            <c:idx val="23"/>
            <c:invertIfNegative val="0"/>
            <c:bubble3D val="0"/>
            <c:spPr>
              <a:solidFill>
                <a:schemeClr val="tx2">
                  <a:lumMod val="75000"/>
                </a:schemeClr>
              </a:solidFill>
            </c:spPr>
          </c:dPt>
          <c:dPt>
            <c:idx val="24"/>
            <c:invertIfNegative val="0"/>
            <c:bubble3D val="0"/>
            <c:spPr>
              <a:solidFill>
                <a:schemeClr val="tx2">
                  <a:lumMod val="75000"/>
                </a:schemeClr>
              </a:solidFill>
            </c:spPr>
          </c:dPt>
          <c:dPt>
            <c:idx val="25"/>
            <c:invertIfNegative val="0"/>
            <c:bubble3D val="0"/>
            <c:spPr>
              <a:solidFill>
                <a:srgbClr val="C0E43C"/>
              </a:solidFill>
            </c:spPr>
          </c:dPt>
          <c:dPt>
            <c:idx val="26"/>
            <c:invertIfNegative val="0"/>
            <c:bubble3D val="0"/>
            <c:spPr>
              <a:solidFill>
                <a:srgbClr val="C0E43C"/>
              </a:solidFill>
            </c:spPr>
          </c:dPt>
          <c:dPt>
            <c:idx val="27"/>
            <c:invertIfNegative val="0"/>
            <c:bubble3D val="0"/>
            <c:spPr>
              <a:solidFill>
                <a:schemeClr val="tx2">
                  <a:lumMod val="75000"/>
                </a:schemeClr>
              </a:solidFill>
            </c:spPr>
          </c:dPt>
          <c:cat>
            <c:strRef>
              <c:f>Sheet5!$C$2:$C$29</c:f>
              <c:strCache>
                <c:ptCount val="28"/>
                <c:pt idx="0">
                  <c:v>Latvija</c:v>
                </c:pt>
                <c:pt idx="1">
                  <c:v>Bulgarija</c:v>
                </c:pt>
                <c:pt idx="2">
                  <c:v>Rumunija</c:v>
                </c:pt>
                <c:pt idx="3">
                  <c:v>Lenkija</c:v>
                </c:pt>
                <c:pt idx="4">
                  <c:v>Malta</c:v>
                </c:pt>
                <c:pt idx="5">
                  <c:v>Slovakija</c:v>
                </c:pt>
                <c:pt idx="6">
                  <c:v>Lietuva</c:v>
                </c:pt>
                <c:pt idx="7">
                  <c:v>Vengrija</c:v>
                </c:pt>
                <c:pt idx="8">
                  <c:v>Ispanija</c:v>
                </c:pt>
                <c:pt idx="9">
                  <c:v>Italija</c:v>
                </c:pt>
                <c:pt idx="10">
                  <c:v>Čekija</c:v>
                </c:pt>
                <c:pt idx="11">
                  <c:v>Portugalija</c:v>
                </c:pt>
                <c:pt idx="12">
                  <c:v>Graikija</c:v>
                </c:pt>
                <c:pt idx="13">
                  <c:v>ES 27</c:v>
                </c:pt>
                <c:pt idx="14">
                  <c:v>Airija</c:v>
                </c:pt>
                <c:pt idx="15">
                  <c:v>Prancūzija</c:v>
                </c:pt>
                <c:pt idx="16">
                  <c:v>Liuksemburgas</c:v>
                </c:pt>
                <c:pt idx="17">
                  <c:v>Nyderlandai</c:v>
                </c:pt>
                <c:pt idx="18">
                  <c:v>Slovėnija</c:v>
                </c:pt>
                <c:pt idx="19">
                  <c:v>Vokietija</c:v>
                </c:pt>
                <c:pt idx="20">
                  <c:v>Austrija</c:v>
                </c:pt>
                <c:pt idx="21">
                  <c:v>Estija</c:v>
                </c:pt>
                <c:pt idx="22">
                  <c:v>Kipras</c:v>
                </c:pt>
                <c:pt idx="23">
                  <c:v>Suomija</c:v>
                </c:pt>
                <c:pt idx="24">
                  <c:v>Švedija</c:v>
                </c:pt>
                <c:pt idx="25">
                  <c:v>Belgija</c:v>
                </c:pt>
                <c:pt idx="26">
                  <c:v>Jungtinė Karalystė</c:v>
                </c:pt>
                <c:pt idx="27">
                  <c:v>Danija</c:v>
                </c:pt>
              </c:strCache>
            </c:strRef>
          </c:cat>
          <c:val>
            <c:numRef>
              <c:f>Sheet5!$D$2:$D$29</c:f>
              <c:numCache>
                <c:formatCode>General</c:formatCode>
                <c:ptCount val="28"/>
                <c:pt idx="0">
                  <c:v>6.0999999999999999E-2</c:v>
                </c:pt>
                <c:pt idx="1">
                  <c:v>9.1999999999999998E-2</c:v>
                </c:pt>
                <c:pt idx="2">
                  <c:v>0.1</c:v>
                </c:pt>
                <c:pt idx="3">
                  <c:v>0.112</c:v>
                </c:pt>
                <c:pt idx="4">
                  <c:v>0.14799999999999999</c:v>
                </c:pt>
                <c:pt idx="5">
                  <c:v>0.16500000000000001</c:v>
                </c:pt>
                <c:pt idx="6">
                  <c:v>0.19500000000000001</c:v>
                </c:pt>
                <c:pt idx="7">
                  <c:v>0.20599999999999999</c:v>
                </c:pt>
                <c:pt idx="8">
                  <c:v>0.248</c:v>
                </c:pt>
                <c:pt idx="9">
                  <c:v>0.38700000000000001</c:v>
                </c:pt>
                <c:pt idx="10">
                  <c:v>0.44800000000000001</c:v>
                </c:pt>
                <c:pt idx="11">
                  <c:v>0.45800000000000002</c:v>
                </c:pt>
                <c:pt idx="12">
                  <c:v>0.46400000000000002</c:v>
                </c:pt>
                <c:pt idx="13">
                  <c:v>0.48699999999999999</c:v>
                </c:pt>
                <c:pt idx="14">
                  <c:v>0.51100000000000001</c:v>
                </c:pt>
                <c:pt idx="15">
                  <c:v>0.51100000000000001</c:v>
                </c:pt>
                <c:pt idx="16">
                  <c:v>0.53800000000000003</c:v>
                </c:pt>
                <c:pt idx="17">
                  <c:v>0.59199999999999997</c:v>
                </c:pt>
                <c:pt idx="18">
                  <c:v>0.60099999999999998</c:v>
                </c:pt>
                <c:pt idx="19">
                  <c:v>0.627</c:v>
                </c:pt>
                <c:pt idx="20">
                  <c:v>0.63100000000000001</c:v>
                </c:pt>
                <c:pt idx="21">
                  <c:v>0.65100000000000002</c:v>
                </c:pt>
                <c:pt idx="22">
                  <c:v>0.65700000000000003</c:v>
                </c:pt>
                <c:pt idx="23">
                  <c:v>0.76800000000000002</c:v>
                </c:pt>
                <c:pt idx="24">
                  <c:v>0.79300000000000004</c:v>
                </c:pt>
                <c:pt idx="25">
                  <c:v>0.82199999999999995</c:v>
                </c:pt>
                <c:pt idx="26">
                  <c:v>0.83599999999999997</c:v>
                </c:pt>
                <c:pt idx="27">
                  <c:v>0.93200000000000005</c:v>
                </c:pt>
              </c:numCache>
            </c:numRef>
          </c:val>
        </c:ser>
        <c:dLbls>
          <c:showLegendKey val="0"/>
          <c:showVal val="0"/>
          <c:showCatName val="0"/>
          <c:showSerName val="0"/>
          <c:showPercent val="0"/>
          <c:showBubbleSize val="0"/>
        </c:dLbls>
        <c:gapWidth val="150"/>
        <c:axId val="234742272"/>
        <c:axId val="234022016"/>
      </c:barChart>
      <c:catAx>
        <c:axId val="234742272"/>
        <c:scaling>
          <c:orientation val="minMax"/>
        </c:scaling>
        <c:delete val="0"/>
        <c:axPos val="b"/>
        <c:numFmt formatCode="General" sourceLinked="1"/>
        <c:majorTickMark val="out"/>
        <c:minorTickMark val="none"/>
        <c:tickLblPos val="nextTo"/>
        <c:txPr>
          <a:bodyPr/>
          <a:lstStyle/>
          <a:p>
            <a:pPr>
              <a:defRPr sz="1000">
                <a:latin typeface="Times New Roman" pitchFamily="18" charset="0"/>
                <a:cs typeface="Times New Roman" pitchFamily="18" charset="0"/>
              </a:defRPr>
            </a:pPr>
            <a:endParaRPr lang="lt-LT"/>
          </a:p>
        </c:txPr>
        <c:crossAx val="234022016"/>
        <c:crosses val="autoZero"/>
        <c:auto val="1"/>
        <c:lblAlgn val="ctr"/>
        <c:lblOffset val="100"/>
        <c:noMultiLvlLbl val="0"/>
      </c:catAx>
      <c:valAx>
        <c:axId val="234022016"/>
        <c:scaling>
          <c:orientation val="minMax"/>
        </c:scaling>
        <c:delete val="0"/>
        <c:axPos val="l"/>
        <c:majorGridlines/>
        <c:title>
          <c:tx>
            <c:rich>
              <a:bodyPr rot="0" vert="horz"/>
              <a:lstStyle/>
              <a:p>
                <a:pPr>
                  <a:defRPr b="1">
                    <a:latin typeface="Times New Roman" pitchFamily="18" charset="0"/>
                    <a:cs typeface="Times New Roman" pitchFamily="18" charset="0"/>
                  </a:defRPr>
                </a:pPr>
                <a:r>
                  <a:rPr lang="lt-LT" b="1">
                    <a:latin typeface="Times New Roman" pitchFamily="18" charset="0"/>
                    <a:cs typeface="Times New Roman" pitchFamily="18" charset="0"/>
                  </a:rPr>
                  <a:t> e)</a:t>
                </a:r>
              </a:p>
            </c:rich>
          </c:tx>
          <c:overlay val="0"/>
        </c:title>
        <c:numFmt formatCode="General" sourceLinked="1"/>
        <c:majorTickMark val="out"/>
        <c:minorTickMark val="none"/>
        <c:tickLblPos val="nextTo"/>
        <c:spPr>
          <a:noFill/>
        </c:spPr>
        <c:txPr>
          <a:bodyPr/>
          <a:lstStyle/>
          <a:p>
            <a:pPr>
              <a:defRPr>
                <a:latin typeface="Times New Roman" pitchFamily="18" charset="0"/>
                <a:cs typeface="Times New Roman" pitchFamily="18" charset="0"/>
              </a:defRPr>
            </a:pPr>
            <a:endParaRPr lang="lt-LT"/>
          </a:p>
        </c:txPr>
        <c:crossAx val="234742272"/>
        <c:crosses val="autoZero"/>
        <c:crossBetween val="between"/>
      </c:valAx>
      <c:spPr>
        <a:noFill/>
        <a:ln>
          <a:noFill/>
        </a:ln>
      </c:spPr>
    </c:plotArea>
    <c:plotVisOnly val="1"/>
    <c:dispBlanksAs val="gap"/>
    <c:showDLblsOverMax val="0"/>
  </c:chart>
  <c:spPr>
    <a:noFill/>
    <a:ln>
      <a:noFill/>
    </a:ln>
  </c:spPr>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lt-LT" sz="1000" b="0">
                <a:latin typeface="Times New Roman" pitchFamily="18" charset="0"/>
                <a:cs typeface="Times New Roman" pitchFamily="18" charset="0"/>
              </a:rPr>
              <a:t>Intelektinė nuosavybė</a:t>
            </a:r>
          </a:p>
        </c:rich>
      </c:tx>
      <c:overlay val="1"/>
    </c:title>
    <c:autoTitleDeleted val="0"/>
    <c:plotArea>
      <c:layout>
        <c:manualLayout>
          <c:layoutTarget val="inner"/>
          <c:xMode val="edge"/>
          <c:yMode val="edge"/>
          <c:x val="9.0881976534414474E-2"/>
          <c:y val="0.11970686097282433"/>
          <c:w val="0.88434316999980056"/>
          <c:h val="0.46851384019202497"/>
        </c:manualLayout>
      </c:layout>
      <c:barChart>
        <c:barDir val="col"/>
        <c:grouping val="clustered"/>
        <c:varyColors val="0"/>
        <c:ser>
          <c:idx val="0"/>
          <c:order val="0"/>
          <c:invertIfNegative val="0"/>
          <c:dPt>
            <c:idx val="0"/>
            <c:invertIfNegative val="0"/>
            <c:bubble3D val="0"/>
            <c:spPr>
              <a:solidFill>
                <a:schemeClr val="accent6">
                  <a:lumMod val="75000"/>
                </a:schemeClr>
              </a:solidFill>
            </c:spPr>
          </c:dPt>
          <c:dPt>
            <c:idx val="1"/>
            <c:invertIfNegative val="0"/>
            <c:bubble3D val="0"/>
            <c:spPr>
              <a:solidFill>
                <a:schemeClr val="accent6">
                  <a:lumMod val="75000"/>
                </a:schemeClr>
              </a:solidFill>
            </c:spPr>
          </c:dPt>
          <c:dPt>
            <c:idx val="2"/>
            <c:invertIfNegative val="0"/>
            <c:bubble3D val="0"/>
            <c:spPr>
              <a:solidFill>
                <a:srgbClr val="9BE5EF"/>
              </a:solidFill>
              <a:ln w="19050">
                <a:noFill/>
                <a:prstDash val="sysDash"/>
              </a:ln>
            </c:spPr>
          </c:dPt>
          <c:dPt>
            <c:idx val="3"/>
            <c:invertIfNegative val="0"/>
            <c:bubble3D val="0"/>
            <c:spPr>
              <a:solidFill>
                <a:srgbClr val="9BE5EF"/>
              </a:solidFill>
              <a:ln w="19050">
                <a:noFill/>
                <a:prstDash val="sysDash"/>
              </a:ln>
            </c:spPr>
          </c:dPt>
          <c:dPt>
            <c:idx val="4"/>
            <c:invertIfNegative val="0"/>
            <c:bubble3D val="0"/>
            <c:spPr>
              <a:solidFill>
                <a:schemeClr val="accent6">
                  <a:lumMod val="75000"/>
                </a:schemeClr>
              </a:solidFill>
              <a:ln w="19050">
                <a:noFill/>
                <a:prstDash val="sysDash"/>
              </a:ln>
            </c:spPr>
          </c:dPt>
          <c:dPt>
            <c:idx val="5"/>
            <c:invertIfNegative val="0"/>
            <c:bubble3D val="0"/>
            <c:spPr>
              <a:solidFill>
                <a:srgbClr val="9BE5EF"/>
              </a:solidFill>
            </c:spPr>
          </c:dPt>
          <c:dPt>
            <c:idx val="6"/>
            <c:invertIfNegative val="0"/>
            <c:bubble3D val="0"/>
            <c:spPr>
              <a:solidFill>
                <a:srgbClr val="9BE5EF"/>
              </a:solidFill>
            </c:spPr>
          </c:dPt>
          <c:dPt>
            <c:idx val="7"/>
            <c:invertIfNegative val="0"/>
            <c:bubble3D val="0"/>
            <c:spPr>
              <a:solidFill>
                <a:srgbClr val="9BE5EF"/>
              </a:solidFill>
            </c:spPr>
          </c:dPt>
          <c:dPt>
            <c:idx val="8"/>
            <c:invertIfNegative val="0"/>
            <c:bubble3D val="0"/>
            <c:spPr>
              <a:solidFill>
                <a:schemeClr val="accent6">
                  <a:lumMod val="75000"/>
                </a:schemeClr>
              </a:solidFill>
            </c:spPr>
          </c:dPt>
          <c:dPt>
            <c:idx val="9"/>
            <c:invertIfNegative val="0"/>
            <c:bubble3D val="0"/>
            <c:spPr>
              <a:solidFill>
                <a:srgbClr val="9BE5EF"/>
              </a:solidFill>
            </c:spPr>
          </c:dPt>
          <c:dPt>
            <c:idx val="10"/>
            <c:invertIfNegative val="0"/>
            <c:bubble3D val="0"/>
            <c:spPr>
              <a:solidFill>
                <a:srgbClr val="C0E43C"/>
              </a:solidFill>
            </c:spPr>
          </c:dPt>
          <c:dPt>
            <c:idx val="11"/>
            <c:invertIfNegative val="0"/>
            <c:bubble3D val="0"/>
            <c:spPr>
              <a:solidFill>
                <a:srgbClr val="C0E43C"/>
              </a:solidFill>
            </c:spPr>
          </c:dPt>
          <c:dPt>
            <c:idx val="12"/>
            <c:invertIfNegative val="0"/>
            <c:bubble3D val="0"/>
            <c:spPr>
              <a:solidFill>
                <a:srgbClr val="9BE5EF"/>
              </a:solidFill>
            </c:spPr>
          </c:dPt>
          <c:dPt>
            <c:idx val="13"/>
            <c:invertIfNegative val="0"/>
            <c:bubble3D val="0"/>
            <c:spPr>
              <a:solidFill>
                <a:srgbClr val="9BE5EF"/>
              </a:solidFill>
            </c:spPr>
          </c:dPt>
          <c:dPt>
            <c:idx val="14"/>
            <c:invertIfNegative val="0"/>
            <c:bubble3D val="0"/>
            <c:spPr>
              <a:solidFill>
                <a:srgbClr val="C0E43C"/>
              </a:solidFill>
            </c:spPr>
          </c:dPt>
          <c:dPt>
            <c:idx val="15"/>
            <c:invertIfNegative val="0"/>
            <c:bubble3D val="0"/>
            <c:spPr>
              <a:solidFill>
                <a:srgbClr val="C0E43C"/>
              </a:solidFill>
            </c:spPr>
          </c:dPt>
          <c:dPt>
            <c:idx val="16"/>
            <c:invertIfNegative val="0"/>
            <c:bubble3D val="0"/>
            <c:spPr>
              <a:solidFill>
                <a:srgbClr val="C0E43C"/>
              </a:solidFill>
            </c:spPr>
          </c:dPt>
          <c:dPt>
            <c:idx val="17"/>
            <c:invertIfNegative val="0"/>
            <c:bubble3D val="0"/>
            <c:spPr>
              <a:solidFill>
                <a:srgbClr val="C0E43C"/>
              </a:solidFill>
            </c:spPr>
          </c:dPt>
          <c:dPt>
            <c:idx val="18"/>
            <c:invertIfNegative val="0"/>
            <c:bubble3D val="0"/>
            <c:spPr>
              <a:solidFill>
                <a:srgbClr val="9BE5EF"/>
              </a:solidFill>
            </c:spPr>
          </c:dPt>
          <c:dPt>
            <c:idx val="19"/>
            <c:invertIfNegative val="0"/>
            <c:bubble3D val="0"/>
            <c:spPr>
              <a:solidFill>
                <a:srgbClr val="C0E43C"/>
              </a:solidFill>
            </c:spPr>
          </c:dPt>
          <c:dPt>
            <c:idx val="20"/>
            <c:invertIfNegative val="0"/>
            <c:bubble3D val="0"/>
            <c:spPr>
              <a:solidFill>
                <a:schemeClr val="accent6">
                  <a:lumMod val="50000"/>
                </a:schemeClr>
              </a:solidFill>
            </c:spPr>
          </c:dPt>
          <c:dPt>
            <c:idx val="21"/>
            <c:invertIfNegative val="0"/>
            <c:bubble3D val="0"/>
            <c:spPr>
              <a:solidFill>
                <a:srgbClr val="C0E43C"/>
              </a:solidFill>
            </c:spPr>
          </c:dPt>
          <c:dPt>
            <c:idx val="22"/>
            <c:invertIfNegative val="0"/>
            <c:bubble3D val="0"/>
            <c:spPr>
              <a:solidFill>
                <a:schemeClr val="tx2">
                  <a:lumMod val="75000"/>
                </a:schemeClr>
              </a:solidFill>
            </c:spPr>
          </c:dPt>
          <c:dPt>
            <c:idx val="23"/>
            <c:invertIfNegative val="0"/>
            <c:bubble3D val="0"/>
            <c:spPr>
              <a:solidFill>
                <a:srgbClr val="C0E43C"/>
              </a:solidFill>
            </c:spPr>
          </c:dPt>
          <c:dPt>
            <c:idx val="24"/>
            <c:invertIfNegative val="0"/>
            <c:bubble3D val="0"/>
            <c:spPr>
              <a:solidFill>
                <a:srgbClr val="C0E43C"/>
              </a:solidFill>
            </c:spPr>
          </c:dPt>
          <c:dPt>
            <c:idx val="25"/>
            <c:invertIfNegative val="0"/>
            <c:bubble3D val="0"/>
            <c:spPr>
              <a:solidFill>
                <a:schemeClr val="tx2">
                  <a:lumMod val="75000"/>
                </a:schemeClr>
              </a:solidFill>
            </c:spPr>
          </c:dPt>
          <c:dPt>
            <c:idx val="26"/>
            <c:invertIfNegative val="0"/>
            <c:bubble3D val="0"/>
            <c:spPr>
              <a:solidFill>
                <a:schemeClr val="tx2">
                  <a:lumMod val="75000"/>
                </a:schemeClr>
              </a:solidFill>
            </c:spPr>
          </c:dPt>
          <c:dPt>
            <c:idx val="27"/>
            <c:invertIfNegative val="0"/>
            <c:bubble3D val="0"/>
            <c:spPr>
              <a:solidFill>
                <a:schemeClr val="tx2">
                  <a:lumMod val="75000"/>
                </a:schemeClr>
              </a:solidFill>
            </c:spPr>
          </c:dPt>
          <c:cat>
            <c:strRef>
              <c:f>Sheet5!$A$2:$A$29</c:f>
              <c:strCache>
                <c:ptCount val="28"/>
                <c:pt idx="0">
                  <c:v>Rumunija</c:v>
                </c:pt>
                <c:pt idx="1">
                  <c:v>Lietuva</c:v>
                </c:pt>
                <c:pt idx="2">
                  <c:v>Graikija</c:v>
                </c:pt>
                <c:pt idx="3">
                  <c:v>Slovakija</c:v>
                </c:pt>
                <c:pt idx="4">
                  <c:v>Bulgarija</c:v>
                </c:pt>
                <c:pt idx="5">
                  <c:v>Lenkija</c:v>
                </c:pt>
                <c:pt idx="6">
                  <c:v>Čekija</c:v>
                </c:pt>
                <c:pt idx="7">
                  <c:v>Vengrija</c:v>
                </c:pt>
                <c:pt idx="8">
                  <c:v>Latvija</c:v>
                </c:pt>
                <c:pt idx="9">
                  <c:v>Portugalija</c:v>
                </c:pt>
                <c:pt idx="10">
                  <c:v>Kipras</c:v>
                </c:pt>
                <c:pt idx="11">
                  <c:v>Estija</c:v>
                </c:pt>
                <c:pt idx="12">
                  <c:v>Ispanija</c:v>
                </c:pt>
                <c:pt idx="13">
                  <c:v>Malta</c:v>
                </c:pt>
                <c:pt idx="14">
                  <c:v>Slovėnija</c:v>
                </c:pt>
                <c:pt idx="15">
                  <c:v>Jungtinė Karalystė</c:v>
                </c:pt>
                <c:pt idx="16">
                  <c:v>Airija</c:v>
                </c:pt>
                <c:pt idx="17">
                  <c:v>Prancūzija</c:v>
                </c:pt>
                <c:pt idx="18">
                  <c:v>Italija</c:v>
                </c:pt>
                <c:pt idx="19">
                  <c:v>Belgija</c:v>
                </c:pt>
                <c:pt idx="20">
                  <c:v>ES 27</c:v>
                </c:pt>
                <c:pt idx="21">
                  <c:v>Liuksemburgas</c:v>
                </c:pt>
                <c:pt idx="22">
                  <c:v>Suomija</c:v>
                </c:pt>
                <c:pt idx="23">
                  <c:v>Nyderlandai</c:v>
                </c:pt>
                <c:pt idx="24">
                  <c:v>Austrija</c:v>
                </c:pt>
                <c:pt idx="25">
                  <c:v>Vokietija</c:v>
                </c:pt>
                <c:pt idx="26">
                  <c:v>Švedija</c:v>
                </c:pt>
                <c:pt idx="27">
                  <c:v>Danija</c:v>
                </c:pt>
              </c:strCache>
            </c:strRef>
          </c:cat>
          <c:val>
            <c:numRef>
              <c:f>Sheet5!$B$2:$B$29</c:f>
              <c:numCache>
                <c:formatCode>General</c:formatCode>
                <c:ptCount val="28"/>
                <c:pt idx="0">
                  <c:v>6.7000000000000004E-2</c:v>
                </c:pt>
                <c:pt idx="1">
                  <c:v>0.13300000000000001</c:v>
                </c:pt>
                <c:pt idx="2">
                  <c:v>0.13500000000000001</c:v>
                </c:pt>
                <c:pt idx="3">
                  <c:v>0.14499999999999999</c:v>
                </c:pt>
                <c:pt idx="4">
                  <c:v>0.20100000000000001</c:v>
                </c:pt>
                <c:pt idx="5">
                  <c:v>0.25600000000000001</c:v>
                </c:pt>
                <c:pt idx="6">
                  <c:v>0.25700000000000001</c:v>
                </c:pt>
                <c:pt idx="7">
                  <c:v>0.26100000000000001</c:v>
                </c:pt>
                <c:pt idx="8">
                  <c:v>0.309</c:v>
                </c:pt>
                <c:pt idx="9">
                  <c:v>0.34499999999999997</c:v>
                </c:pt>
                <c:pt idx="10">
                  <c:v>0.35599999999999998</c:v>
                </c:pt>
                <c:pt idx="11">
                  <c:v>0.40300000000000002</c:v>
                </c:pt>
                <c:pt idx="12">
                  <c:v>0.40699999999999997</c:v>
                </c:pt>
                <c:pt idx="13">
                  <c:v>0.41299999999999998</c:v>
                </c:pt>
                <c:pt idx="14">
                  <c:v>0.44700000000000001</c:v>
                </c:pt>
                <c:pt idx="15">
                  <c:v>0.46899999999999997</c:v>
                </c:pt>
                <c:pt idx="16">
                  <c:v>0.47599999999999998</c:v>
                </c:pt>
                <c:pt idx="17">
                  <c:v>0.49</c:v>
                </c:pt>
                <c:pt idx="18">
                  <c:v>0.52</c:v>
                </c:pt>
                <c:pt idx="19">
                  <c:v>0.52200000000000002</c:v>
                </c:pt>
                <c:pt idx="20">
                  <c:v>0.55100000000000005</c:v>
                </c:pt>
                <c:pt idx="21">
                  <c:v>0.58899999999999997</c:v>
                </c:pt>
                <c:pt idx="22">
                  <c:v>0.66200000000000003</c:v>
                </c:pt>
                <c:pt idx="23">
                  <c:v>0.68</c:v>
                </c:pt>
                <c:pt idx="24">
                  <c:v>0.77300000000000002</c:v>
                </c:pt>
                <c:pt idx="25">
                  <c:v>0.79</c:v>
                </c:pt>
                <c:pt idx="26">
                  <c:v>0.79900000000000004</c:v>
                </c:pt>
                <c:pt idx="27">
                  <c:v>0.84499999999999997</c:v>
                </c:pt>
              </c:numCache>
            </c:numRef>
          </c:val>
        </c:ser>
        <c:dLbls>
          <c:showLegendKey val="0"/>
          <c:showVal val="0"/>
          <c:showCatName val="0"/>
          <c:showSerName val="0"/>
          <c:showPercent val="0"/>
          <c:showBubbleSize val="0"/>
        </c:dLbls>
        <c:gapWidth val="150"/>
        <c:axId val="234745344"/>
        <c:axId val="234023744"/>
      </c:barChart>
      <c:catAx>
        <c:axId val="234745344"/>
        <c:scaling>
          <c:orientation val="minMax"/>
        </c:scaling>
        <c:delete val="0"/>
        <c:axPos val="b"/>
        <c:numFmt formatCode="General" sourceLinked="1"/>
        <c:majorTickMark val="out"/>
        <c:minorTickMark val="none"/>
        <c:tickLblPos val="nextTo"/>
        <c:txPr>
          <a:bodyPr/>
          <a:lstStyle/>
          <a:p>
            <a:pPr>
              <a:defRPr sz="1000">
                <a:latin typeface="Times New Roman" pitchFamily="18" charset="0"/>
                <a:cs typeface="Times New Roman" pitchFamily="18" charset="0"/>
              </a:defRPr>
            </a:pPr>
            <a:endParaRPr lang="lt-LT"/>
          </a:p>
        </c:txPr>
        <c:crossAx val="234023744"/>
        <c:crosses val="autoZero"/>
        <c:auto val="1"/>
        <c:lblAlgn val="ctr"/>
        <c:lblOffset val="100"/>
        <c:noMultiLvlLbl val="0"/>
      </c:catAx>
      <c:valAx>
        <c:axId val="234023744"/>
        <c:scaling>
          <c:orientation val="minMax"/>
        </c:scaling>
        <c:delete val="0"/>
        <c:axPos val="l"/>
        <c:majorGridlines/>
        <c:title>
          <c:tx>
            <c:rich>
              <a:bodyPr rot="0" vert="horz"/>
              <a:lstStyle/>
              <a:p>
                <a:pPr>
                  <a:defRPr b="1">
                    <a:latin typeface="Times New Roman" pitchFamily="18" charset="0"/>
                    <a:cs typeface="Times New Roman" pitchFamily="18" charset="0"/>
                  </a:defRPr>
                </a:pPr>
                <a:r>
                  <a:rPr lang="lt-LT" b="1">
                    <a:latin typeface="Times New Roman" pitchFamily="18" charset="0"/>
                    <a:cs typeface="Times New Roman" pitchFamily="18" charset="0"/>
                  </a:rPr>
                  <a:t> f)</a:t>
                </a:r>
              </a:p>
            </c:rich>
          </c:tx>
          <c:overlay val="0"/>
        </c:title>
        <c:numFmt formatCode="General" sourceLinked="1"/>
        <c:majorTickMark val="out"/>
        <c:minorTickMark val="none"/>
        <c:tickLblPos val="nextTo"/>
        <c:spPr>
          <a:noFill/>
        </c:spPr>
        <c:txPr>
          <a:bodyPr/>
          <a:lstStyle/>
          <a:p>
            <a:pPr>
              <a:defRPr>
                <a:latin typeface="Times New Roman" pitchFamily="18" charset="0"/>
                <a:cs typeface="Times New Roman" pitchFamily="18" charset="0"/>
              </a:defRPr>
            </a:pPr>
            <a:endParaRPr lang="lt-LT"/>
          </a:p>
        </c:txPr>
        <c:crossAx val="234745344"/>
        <c:crosses val="autoZero"/>
        <c:crossBetween val="between"/>
      </c:valAx>
      <c:spPr>
        <a:noFill/>
        <a:ln>
          <a:noFill/>
        </a:ln>
      </c:spPr>
    </c:plotArea>
    <c:plotVisOnly val="1"/>
    <c:dispBlanksAs val="gap"/>
    <c:showDLblsOverMax val="0"/>
  </c:chart>
  <c:spPr>
    <a:noFill/>
    <a:ln>
      <a:noFill/>
    </a:ln>
  </c:spPr>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lt-LT" sz="1000" b="0">
                <a:latin typeface="Times New Roman" pitchFamily="18" charset="0"/>
                <a:cs typeface="Times New Roman" pitchFamily="18" charset="0"/>
              </a:rPr>
              <a:t>Inovacijų kūrėjai</a:t>
            </a:r>
          </a:p>
        </c:rich>
      </c:tx>
      <c:overlay val="1"/>
    </c:title>
    <c:autoTitleDeleted val="0"/>
    <c:plotArea>
      <c:layout>
        <c:manualLayout>
          <c:layoutTarget val="inner"/>
          <c:xMode val="edge"/>
          <c:yMode val="edge"/>
          <c:x val="9.0881976534414474E-2"/>
          <c:y val="0.11970686097282433"/>
          <c:w val="0.88434316999980056"/>
          <c:h val="0.46851384019202497"/>
        </c:manualLayout>
      </c:layout>
      <c:barChart>
        <c:barDir val="col"/>
        <c:grouping val="clustered"/>
        <c:varyColors val="0"/>
        <c:ser>
          <c:idx val="0"/>
          <c:order val="0"/>
          <c:invertIfNegative val="0"/>
          <c:dPt>
            <c:idx val="0"/>
            <c:invertIfNegative val="0"/>
            <c:bubble3D val="0"/>
            <c:spPr>
              <a:solidFill>
                <a:schemeClr val="accent6">
                  <a:lumMod val="75000"/>
                </a:schemeClr>
              </a:solidFill>
            </c:spPr>
          </c:dPt>
          <c:dPt>
            <c:idx val="1"/>
            <c:invertIfNegative val="0"/>
            <c:bubble3D val="0"/>
            <c:spPr>
              <a:solidFill>
                <a:srgbClr val="9BE5EF"/>
              </a:solidFill>
            </c:spPr>
          </c:dPt>
          <c:dPt>
            <c:idx val="2"/>
            <c:invertIfNegative val="0"/>
            <c:bubble3D val="0"/>
            <c:spPr>
              <a:solidFill>
                <a:srgbClr val="9BE5EF"/>
              </a:solidFill>
              <a:ln w="19050">
                <a:noFill/>
                <a:prstDash val="sysDash"/>
              </a:ln>
            </c:spPr>
          </c:dPt>
          <c:dPt>
            <c:idx val="3"/>
            <c:invertIfNegative val="0"/>
            <c:bubble3D val="0"/>
            <c:spPr>
              <a:solidFill>
                <a:schemeClr val="accent6">
                  <a:lumMod val="75000"/>
                </a:schemeClr>
              </a:solidFill>
              <a:ln w="19050">
                <a:noFill/>
                <a:prstDash val="sysDash"/>
              </a:ln>
            </c:spPr>
          </c:dPt>
          <c:dPt>
            <c:idx val="4"/>
            <c:invertIfNegative val="0"/>
            <c:bubble3D val="0"/>
            <c:spPr>
              <a:solidFill>
                <a:schemeClr val="accent6">
                  <a:lumMod val="75000"/>
                </a:schemeClr>
              </a:solidFill>
              <a:ln w="19050">
                <a:noFill/>
                <a:prstDash val="sysDash"/>
              </a:ln>
            </c:spPr>
          </c:dPt>
          <c:dPt>
            <c:idx val="5"/>
            <c:invertIfNegative val="0"/>
            <c:bubble3D val="0"/>
            <c:spPr>
              <a:solidFill>
                <a:schemeClr val="accent6">
                  <a:lumMod val="75000"/>
                </a:schemeClr>
              </a:solidFill>
            </c:spPr>
          </c:dPt>
          <c:dPt>
            <c:idx val="6"/>
            <c:invertIfNegative val="0"/>
            <c:bubble3D val="0"/>
            <c:spPr>
              <a:solidFill>
                <a:srgbClr val="9BE5EF"/>
              </a:solidFill>
            </c:spPr>
          </c:dPt>
          <c:dPt>
            <c:idx val="7"/>
            <c:invertIfNegative val="0"/>
            <c:bubble3D val="0"/>
            <c:spPr>
              <a:solidFill>
                <a:srgbClr val="9BE5EF"/>
              </a:solidFill>
            </c:spPr>
          </c:dPt>
          <c:dPt>
            <c:idx val="8"/>
            <c:invertIfNegative val="0"/>
            <c:bubble3D val="0"/>
            <c:spPr>
              <a:solidFill>
                <a:srgbClr val="C0E43C"/>
              </a:solidFill>
            </c:spPr>
          </c:dPt>
          <c:dPt>
            <c:idx val="9"/>
            <c:invertIfNegative val="0"/>
            <c:bubble3D val="0"/>
            <c:spPr>
              <a:solidFill>
                <a:srgbClr val="9BE5EF"/>
              </a:solidFill>
            </c:spPr>
          </c:dPt>
          <c:dPt>
            <c:idx val="10"/>
            <c:invertIfNegative val="0"/>
            <c:bubble3D val="0"/>
            <c:spPr>
              <a:solidFill>
                <a:srgbClr val="C0E43C"/>
              </a:solidFill>
            </c:spPr>
          </c:dPt>
          <c:dPt>
            <c:idx val="11"/>
            <c:invertIfNegative val="0"/>
            <c:bubble3D val="0"/>
            <c:spPr>
              <a:solidFill>
                <a:srgbClr val="C0E43C"/>
              </a:solidFill>
            </c:spPr>
          </c:dPt>
          <c:dPt>
            <c:idx val="12"/>
            <c:invertIfNegative val="0"/>
            <c:bubble3D val="0"/>
            <c:spPr>
              <a:solidFill>
                <a:srgbClr val="C0E43C"/>
              </a:solidFill>
            </c:spPr>
          </c:dPt>
          <c:dPt>
            <c:idx val="13"/>
            <c:invertIfNegative val="0"/>
            <c:bubble3D val="0"/>
            <c:spPr>
              <a:solidFill>
                <a:srgbClr val="C0E43C"/>
              </a:solidFill>
            </c:spPr>
          </c:dPt>
          <c:dPt>
            <c:idx val="14"/>
            <c:invertIfNegative val="0"/>
            <c:bubble3D val="0"/>
            <c:spPr>
              <a:solidFill>
                <a:schemeClr val="accent6">
                  <a:lumMod val="50000"/>
                </a:schemeClr>
              </a:solidFill>
            </c:spPr>
          </c:dPt>
          <c:dPt>
            <c:idx val="15"/>
            <c:invertIfNegative val="0"/>
            <c:bubble3D val="0"/>
            <c:spPr>
              <a:solidFill>
                <a:schemeClr val="tx2">
                  <a:lumMod val="75000"/>
                </a:schemeClr>
              </a:solidFill>
            </c:spPr>
          </c:dPt>
          <c:dPt>
            <c:idx val="16"/>
            <c:invertIfNegative val="0"/>
            <c:bubble3D val="0"/>
            <c:spPr>
              <a:solidFill>
                <a:srgbClr val="9BE5EF"/>
              </a:solidFill>
            </c:spPr>
          </c:dPt>
          <c:dPt>
            <c:idx val="17"/>
            <c:invertIfNegative val="0"/>
            <c:bubble3D val="0"/>
            <c:spPr>
              <a:solidFill>
                <a:schemeClr val="tx2">
                  <a:lumMod val="75000"/>
                </a:schemeClr>
              </a:solidFill>
            </c:spPr>
          </c:dPt>
          <c:dPt>
            <c:idx val="18"/>
            <c:invertIfNegative val="0"/>
            <c:bubble3D val="0"/>
            <c:spPr>
              <a:solidFill>
                <a:schemeClr val="tx2">
                  <a:lumMod val="75000"/>
                </a:schemeClr>
              </a:solidFill>
            </c:spPr>
          </c:dPt>
          <c:dPt>
            <c:idx val="19"/>
            <c:invertIfNegative val="0"/>
            <c:bubble3D val="0"/>
            <c:spPr>
              <a:solidFill>
                <a:srgbClr val="C0E43C"/>
              </a:solidFill>
            </c:spPr>
          </c:dPt>
          <c:dPt>
            <c:idx val="20"/>
            <c:invertIfNegative val="0"/>
            <c:bubble3D val="0"/>
            <c:spPr>
              <a:solidFill>
                <a:srgbClr val="9BE5EF"/>
              </a:solidFill>
            </c:spPr>
          </c:dPt>
          <c:dPt>
            <c:idx val="21"/>
            <c:invertIfNegative val="0"/>
            <c:bubble3D val="0"/>
            <c:spPr>
              <a:solidFill>
                <a:srgbClr val="C0E43C"/>
              </a:solidFill>
            </c:spPr>
          </c:dPt>
          <c:dPt>
            <c:idx val="22"/>
            <c:invertIfNegative val="0"/>
            <c:bubble3D val="0"/>
            <c:spPr>
              <a:solidFill>
                <a:srgbClr val="9BE5EF"/>
              </a:solidFill>
            </c:spPr>
          </c:dPt>
          <c:dPt>
            <c:idx val="23"/>
            <c:invertIfNegative val="0"/>
            <c:bubble3D val="0"/>
            <c:spPr>
              <a:solidFill>
                <a:srgbClr val="C0E43C"/>
              </a:solidFill>
            </c:spPr>
          </c:dPt>
          <c:dPt>
            <c:idx val="24"/>
            <c:invertIfNegative val="0"/>
            <c:bubble3D val="0"/>
            <c:spPr>
              <a:solidFill>
                <a:srgbClr val="C0E43C"/>
              </a:solidFill>
            </c:spPr>
          </c:dPt>
          <c:dPt>
            <c:idx val="25"/>
            <c:invertIfNegative val="0"/>
            <c:bubble3D val="0"/>
            <c:spPr>
              <a:solidFill>
                <a:srgbClr val="9BE5EF"/>
              </a:solidFill>
            </c:spPr>
          </c:dPt>
          <c:dPt>
            <c:idx val="26"/>
            <c:invertIfNegative val="0"/>
            <c:bubble3D val="0"/>
            <c:spPr>
              <a:solidFill>
                <a:srgbClr val="C0E43C"/>
              </a:solidFill>
            </c:spPr>
          </c:dPt>
          <c:dPt>
            <c:idx val="27"/>
            <c:invertIfNegative val="0"/>
            <c:bubble3D val="0"/>
            <c:spPr>
              <a:solidFill>
                <a:schemeClr val="tx2">
                  <a:lumMod val="75000"/>
                </a:schemeClr>
              </a:solidFill>
            </c:spPr>
          </c:dPt>
          <c:cat>
            <c:strRef>
              <c:f>Sheet5!$E$2:$E$29</c:f>
              <c:strCache>
                <c:ptCount val="28"/>
                <c:pt idx="0">
                  <c:v>Latvija</c:v>
                </c:pt>
                <c:pt idx="1">
                  <c:v>Lenkija</c:v>
                </c:pt>
                <c:pt idx="2">
                  <c:v>Vengrija</c:v>
                </c:pt>
                <c:pt idx="3">
                  <c:v>Bulgarija</c:v>
                </c:pt>
                <c:pt idx="4">
                  <c:v>Rumunija</c:v>
                </c:pt>
                <c:pt idx="5">
                  <c:v>Lietuva</c:v>
                </c:pt>
                <c:pt idx="6">
                  <c:v>Slovakija</c:v>
                </c:pt>
                <c:pt idx="7">
                  <c:v>Malta</c:v>
                </c:pt>
                <c:pt idx="8">
                  <c:v>Jungtinė Karalystė</c:v>
                </c:pt>
                <c:pt idx="9">
                  <c:v>Ispanija</c:v>
                </c:pt>
                <c:pt idx="10">
                  <c:v>Nyderlandai</c:v>
                </c:pt>
                <c:pt idx="11">
                  <c:v>Airija</c:v>
                </c:pt>
                <c:pt idx="12">
                  <c:v>Slovėnija</c:v>
                </c:pt>
                <c:pt idx="13">
                  <c:v>Prancūzija</c:v>
                </c:pt>
                <c:pt idx="14">
                  <c:v>ES 27</c:v>
                </c:pt>
                <c:pt idx="15">
                  <c:v>Suomija</c:v>
                </c:pt>
                <c:pt idx="16">
                  <c:v>Italija</c:v>
                </c:pt>
                <c:pt idx="17">
                  <c:v>Danija</c:v>
                </c:pt>
                <c:pt idx="18">
                  <c:v>Švedija</c:v>
                </c:pt>
                <c:pt idx="19">
                  <c:v>Estija</c:v>
                </c:pt>
                <c:pt idx="20">
                  <c:v>Čekija</c:v>
                </c:pt>
                <c:pt idx="21">
                  <c:v>Austrija</c:v>
                </c:pt>
                <c:pt idx="22">
                  <c:v>Graikija</c:v>
                </c:pt>
                <c:pt idx="23">
                  <c:v>Belgija</c:v>
                </c:pt>
                <c:pt idx="24">
                  <c:v>Kipras</c:v>
                </c:pt>
                <c:pt idx="25">
                  <c:v>Portugalija</c:v>
                </c:pt>
                <c:pt idx="26">
                  <c:v>Liuksemburgas</c:v>
                </c:pt>
                <c:pt idx="27">
                  <c:v>Vokietija</c:v>
                </c:pt>
              </c:strCache>
            </c:strRef>
          </c:cat>
          <c:val>
            <c:numRef>
              <c:f>Sheet5!$F$2:$F$29</c:f>
              <c:numCache>
                <c:formatCode>General</c:formatCode>
                <c:ptCount val="28"/>
                <c:pt idx="0">
                  <c:v>3.5000000000000003E-2</c:v>
                </c:pt>
                <c:pt idx="1">
                  <c:v>8.6999999999999994E-2</c:v>
                </c:pt>
                <c:pt idx="2">
                  <c:v>9.8000000000000004E-2</c:v>
                </c:pt>
                <c:pt idx="3">
                  <c:v>0.114</c:v>
                </c:pt>
                <c:pt idx="4">
                  <c:v>0.16700000000000001</c:v>
                </c:pt>
                <c:pt idx="5">
                  <c:v>0.17</c:v>
                </c:pt>
                <c:pt idx="6">
                  <c:v>0.20599999999999999</c:v>
                </c:pt>
                <c:pt idx="7">
                  <c:v>0.26400000000000001</c:v>
                </c:pt>
                <c:pt idx="8">
                  <c:v>0.309</c:v>
                </c:pt>
                <c:pt idx="9">
                  <c:v>0.33200000000000002</c:v>
                </c:pt>
                <c:pt idx="10">
                  <c:v>0.36599999999999999</c:v>
                </c:pt>
                <c:pt idx="11">
                  <c:v>0.44500000000000001</c:v>
                </c:pt>
                <c:pt idx="12">
                  <c:v>0.46899999999999997</c:v>
                </c:pt>
                <c:pt idx="13">
                  <c:v>0.47299999999999998</c:v>
                </c:pt>
                <c:pt idx="14">
                  <c:v>0.50600000000000001</c:v>
                </c:pt>
                <c:pt idx="15">
                  <c:v>0.52300000000000002</c:v>
                </c:pt>
                <c:pt idx="16">
                  <c:v>0.55500000000000005</c:v>
                </c:pt>
                <c:pt idx="17">
                  <c:v>0.55800000000000005</c:v>
                </c:pt>
                <c:pt idx="18">
                  <c:v>0.56200000000000006</c:v>
                </c:pt>
                <c:pt idx="19">
                  <c:v>0.57599999999999996</c:v>
                </c:pt>
                <c:pt idx="20">
                  <c:v>0.58399999999999996</c:v>
                </c:pt>
                <c:pt idx="21">
                  <c:v>0.61099999999999999</c:v>
                </c:pt>
                <c:pt idx="22">
                  <c:v>0.67</c:v>
                </c:pt>
                <c:pt idx="23">
                  <c:v>0.68</c:v>
                </c:pt>
                <c:pt idx="24">
                  <c:v>0.69099999999999995</c:v>
                </c:pt>
                <c:pt idx="25">
                  <c:v>0.72399999999999998</c:v>
                </c:pt>
                <c:pt idx="26">
                  <c:v>0.74</c:v>
                </c:pt>
                <c:pt idx="27">
                  <c:v>0.99099999999999999</c:v>
                </c:pt>
              </c:numCache>
            </c:numRef>
          </c:val>
        </c:ser>
        <c:dLbls>
          <c:showLegendKey val="0"/>
          <c:showVal val="0"/>
          <c:showCatName val="0"/>
          <c:showSerName val="0"/>
          <c:showPercent val="0"/>
          <c:showBubbleSize val="0"/>
        </c:dLbls>
        <c:gapWidth val="150"/>
        <c:axId val="234644992"/>
        <c:axId val="234025472"/>
      </c:barChart>
      <c:catAx>
        <c:axId val="234644992"/>
        <c:scaling>
          <c:orientation val="minMax"/>
        </c:scaling>
        <c:delete val="0"/>
        <c:axPos val="b"/>
        <c:numFmt formatCode="General" sourceLinked="1"/>
        <c:majorTickMark val="out"/>
        <c:minorTickMark val="none"/>
        <c:tickLblPos val="nextTo"/>
        <c:txPr>
          <a:bodyPr/>
          <a:lstStyle/>
          <a:p>
            <a:pPr>
              <a:defRPr sz="1000">
                <a:latin typeface="Times New Roman" pitchFamily="18" charset="0"/>
                <a:cs typeface="Times New Roman" pitchFamily="18" charset="0"/>
              </a:defRPr>
            </a:pPr>
            <a:endParaRPr lang="lt-LT"/>
          </a:p>
        </c:txPr>
        <c:crossAx val="234025472"/>
        <c:crosses val="autoZero"/>
        <c:auto val="1"/>
        <c:lblAlgn val="ctr"/>
        <c:lblOffset val="100"/>
        <c:noMultiLvlLbl val="0"/>
      </c:catAx>
      <c:valAx>
        <c:axId val="234025472"/>
        <c:scaling>
          <c:orientation val="minMax"/>
        </c:scaling>
        <c:delete val="0"/>
        <c:axPos val="l"/>
        <c:majorGridlines/>
        <c:title>
          <c:tx>
            <c:rich>
              <a:bodyPr rot="0" vert="horz"/>
              <a:lstStyle/>
              <a:p>
                <a:pPr>
                  <a:defRPr b="1">
                    <a:latin typeface="Times New Roman" pitchFamily="18" charset="0"/>
                    <a:cs typeface="Times New Roman" pitchFamily="18" charset="0"/>
                  </a:defRPr>
                </a:pPr>
                <a:r>
                  <a:rPr lang="lt-LT" b="1">
                    <a:latin typeface="Times New Roman" pitchFamily="18" charset="0"/>
                    <a:cs typeface="Times New Roman" pitchFamily="18" charset="0"/>
                  </a:rPr>
                  <a:t> g)</a:t>
                </a:r>
              </a:p>
            </c:rich>
          </c:tx>
          <c:overlay val="0"/>
        </c:title>
        <c:numFmt formatCode="General" sourceLinked="1"/>
        <c:majorTickMark val="out"/>
        <c:minorTickMark val="none"/>
        <c:tickLblPos val="nextTo"/>
        <c:spPr>
          <a:noFill/>
        </c:spPr>
        <c:txPr>
          <a:bodyPr/>
          <a:lstStyle/>
          <a:p>
            <a:pPr>
              <a:defRPr>
                <a:latin typeface="Times New Roman" pitchFamily="18" charset="0"/>
                <a:cs typeface="Times New Roman" pitchFamily="18" charset="0"/>
              </a:defRPr>
            </a:pPr>
            <a:endParaRPr lang="lt-LT"/>
          </a:p>
        </c:txPr>
        <c:crossAx val="234644992"/>
        <c:crosses val="autoZero"/>
        <c:crossBetween val="between"/>
      </c:valAx>
      <c:spPr>
        <a:noFill/>
        <a:ln>
          <a:noFill/>
        </a:ln>
      </c:spPr>
    </c:plotArea>
    <c:plotVisOnly val="1"/>
    <c:dispBlanksAs val="gap"/>
    <c:showDLblsOverMax val="0"/>
  </c:chart>
  <c:spPr>
    <a:noFill/>
    <a:ln>
      <a:noFill/>
    </a:ln>
  </c:spPr>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lt-LT" sz="1000" b="0">
                <a:latin typeface="Times New Roman" pitchFamily="18" charset="0"/>
                <a:cs typeface="Times New Roman" pitchFamily="18" charset="0"/>
              </a:rPr>
              <a:t>Ekonominis poveikis</a:t>
            </a:r>
          </a:p>
        </c:rich>
      </c:tx>
      <c:overlay val="1"/>
    </c:title>
    <c:autoTitleDeleted val="0"/>
    <c:plotArea>
      <c:layout>
        <c:manualLayout>
          <c:layoutTarget val="inner"/>
          <c:xMode val="edge"/>
          <c:yMode val="edge"/>
          <c:x val="9.0881976534414474E-2"/>
          <c:y val="0.11970686097282433"/>
          <c:w val="0.88434316999980056"/>
          <c:h val="0.46851384019202497"/>
        </c:manualLayout>
      </c:layout>
      <c:barChart>
        <c:barDir val="col"/>
        <c:grouping val="clustered"/>
        <c:varyColors val="0"/>
        <c:ser>
          <c:idx val="0"/>
          <c:order val="0"/>
          <c:invertIfNegative val="0"/>
          <c:dPt>
            <c:idx val="0"/>
            <c:invertIfNegative val="0"/>
            <c:bubble3D val="0"/>
            <c:spPr>
              <a:solidFill>
                <a:schemeClr val="accent6">
                  <a:lumMod val="75000"/>
                </a:schemeClr>
              </a:solidFill>
            </c:spPr>
          </c:dPt>
          <c:dPt>
            <c:idx val="1"/>
            <c:invertIfNegative val="0"/>
            <c:bubble3D val="0"/>
            <c:spPr>
              <a:solidFill>
                <a:schemeClr val="accent6">
                  <a:lumMod val="75000"/>
                </a:schemeClr>
              </a:solidFill>
            </c:spPr>
          </c:dPt>
          <c:dPt>
            <c:idx val="2"/>
            <c:invertIfNegative val="0"/>
            <c:bubble3D val="0"/>
            <c:spPr>
              <a:solidFill>
                <a:schemeClr val="accent6">
                  <a:lumMod val="75000"/>
                </a:schemeClr>
              </a:solidFill>
              <a:ln w="19050">
                <a:noFill/>
                <a:prstDash val="sysDash"/>
              </a:ln>
            </c:spPr>
          </c:dPt>
          <c:dPt>
            <c:idx val="3"/>
            <c:invertIfNegative val="0"/>
            <c:bubble3D val="0"/>
            <c:spPr>
              <a:solidFill>
                <a:srgbClr val="9BE5EF"/>
              </a:solidFill>
              <a:ln w="19050">
                <a:noFill/>
                <a:prstDash val="sysDash"/>
              </a:ln>
            </c:spPr>
          </c:dPt>
          <c:dPt>
            <c:idx val="4"/>
            <c:invertIfNegative val="0"/>
            <c:bubble3D val="0"/>
            <c:spPr>
              <a:solidFill>
                <a:srgbClr val="C0E43C"/>
              </a:solidFill>
              <a:ln w="19050">
                <a:noFill/>
                <a:prstDash val="sysDash"/>
              </a:ln>
            </c:spPr>
          </c:dPt>
          <c:dPt>
            <c:idx val="5"/>
            <c:invertIfNegative val="0"/>
            <c:bubble3D val="0"/>
            <c:spPr>
              <a:solidFill>
                <a:srgbClr val="9BE5EF"/>
              </a:solidFill>
            </c:spPr>
          </c:dPt>
          <c:dPt>
            <c:idx val="6"/>
            <c:invertIfNegative val="0"/>
            <c:bubble3D val="0"/>
            <c:spPr>
              <a:solidFill>
                <a:srgbClr val="9BE5EF"/>
              </a:solidFill>
            </c:spPr>
          </c:dPt>
          <c:dPt>
            <c:idx val="7"/>
            <c:invertIfNegative val="0"/>
            <c:bubble3D val="0"/>
            <c:spPr>
              <a:solidFill>
                <a:srgbClr val="9BE5EF"/>
              </a:solidFill>
            </c:spPr>
          </c:dPt>
          <c:dPt>
            <c:idx val="8"/>
            <c:invertIfNegative val="0"/>
            <c:bubble3D val="0"/>
            <c:spPr>
              <a:solidFill>
                <a:srgbClr val="C0E43C"/>
              </a:solidFill>
            </c:spPr>
          </c:dPt>
          <c:dPt>
            <c:idx val="9"/>
            <c:invertIfNegative val="0"/>
            <c:bubble3D val="0"/>
            <c:spPr>
              <a:solidFill>
                <a:srgbClr val="9BE5EF"/>
              </a:solidFill>
            </c:spPr>
          </c:dPt>
          <c:dPt>
            <c:idx val="10"/>
            <c:invertIfNegative val="0"/>
            <c:bubble3D val="0"/>
            <c:spPr>
              <a:solidFill>
                <a:srgbClr val="9BE5EF"/>
              </a:solidFill>
            </c:spPr>
          </c:dPt>
          <c:dPt>
            <c:idx val="11"/>
            <c:invertIfNegative val="0"/>
            <c:bubble3D val="0"/>
            <c:spPr>
              <a:solidFill>
                <a:schemeClr val="accent6">
                  <a:lumMod val="75000"/>
                </a:schemeClr>
              </a:solidFill>
            </c:spPr>
          </c:dPt>
          <c:dPt>
            <c:idx val="12"/>
            <c:invertIfNegative val="0"/>
            <c:bubble3D val="0"/>
            <c:spPr>
              <a:solidFill>
                <a:srgbClr val="C0E43C"/>
              </a:solidFill>
            </c:spPr>
          </c:dPt>
          <c:dPt>
            <c:idx val="13"/>
            <c:invertIfNegative val="0"/>
            <c:bubble3D val="0"/>
            <c:spPr>
              <a:solidFill>
                <a:srgbClr val="C0E43C"/>
              </a:solidFill>
            </c:spPr>
          </c:dPt>
          <c:dPt>
            <c:idx val="14"/>
            <c:invertIfNegative val="0"/>
            <c:bubble3D val="0"/>
            <c:spPr>
              <a:solidFill>
                <a:srgbClr val="C0E43C"/>
              </a:solidFill>
            </c:spPr>
          </c:dPt>
          <c:dPt>
            <c:idx val="15"/>
            <c:invertIfNegative val="0"/>
            <c:bubble3D val="0"/>
            <c:spPr>
              <a:solidFill>
                <a:srgbClr val="C0E43C"/>
              </a:solidFill>
            </c:spPr>
          </c:dPt>
          <c:dPt>
            <c:idx val="16"/>
            <c:invertIfNegative val="0"/>
            <c:bubble3D val="0"/>
            <c:spPr>
              <a:solidFill>
                <a:srgbClr val="C0E43C"/>
              </a:solidFill>
            </c:spPr>
          </c:dPt>
          <c:dPt>
            <c:idx val="17"/>
            <c:invertIfNegative val="0"/>
            <c:bubble3D val="0"/>
            <c:spPr>
              <a:solidFill>
                <a:schemeClr val="accent6">
                  <a:lumMod val="50000"/>
                </a:schemeClr>
              </a:solidFill>
            </c:spPr>
          </c:dPt>
          <c:dPt>
            <c:idx val="18"/>
            <c:invertIfNegative val="0"/>
            <c:bubble3D val="0"/>
            <c:spPr>
              <a:solidFill>
                <a:srgbClr val="9BE5EF"/>
              </a:solidFill>
            </c:spPr>
          </c:dPt>
          <c:dPt>
            <c:idx val="19"/>
            <c:invertIfNegative val="0"/>
            <c:bubble3D val="0"/>
            <c:spPr>
              <a:solidFill>
                <a:srgbClr val="C0E43C"/>
              </a:solidFill>
            </c:spPr>
          </c:dPt>
          <c:dPt>
            <c:idx val="20"/>
            <c:invertIfNegative val="0"/>
            <c:bubble3D val="0"/>
            <c:spPr>
              <a:solidFill>
                <a:schemeClr val="tx2">
                  <a:lumMod val="75000"/>
                </a:schemeClr>
              </a:solidFill>
            </c:spPr>
          </c:dPt>
          <c:dPt>
            <c:idx val="21"/>
            <c:invertIfNegative val="0"/>
            <c:bubble3D val="0"/>
            <c:spPr>
              <a:solidFill>
                <a:schemeClr val="tx2">
                  <a:lumMod val="75000"/>
                </a:schemeClr>
              </a:solidFill>
            </c:spPr>
          </c:dPt>
          <c:dPt>
            <c:idx val="22"/>
            <c:invertIfNegative val="0"/>
            <c:bubble3D val="0"/>
            <c:spPr>
              <a:solidFill>
                <a:schemeClr val="tx2">
                  <a:lumMod val="75000"/>
                </a:schemeClr>
              </a:solidFill>
            </c:spPr>
          </c:dPt>
          <c:dPt>
            <c:idx val="23"/>
            <c:invertIfNegative val="0"/>
            <c:bubble3D val="0"/>
            <c:spPr>
              <a:solidFill>
                <a:srgbClr val="9BE5EF"/>
              </a:solidFill>
            </c:spPr>
          </c:dPt>
          <c:dPt>
            <c:idx val="24"/>
            <c:invertIfNegative val="0"/>
            <c:bubble3D val="0"/>
            <c:spPr>
              <a:solidFill>
                <a:srgbClr val="C0E43C"/>
              </a:solidFill>
            </c:spPr>
          </c:dPt>
          <c:dPt>
            <c:idx val="25"/>
            <c:invertIfNegative val="0"/>
            <c:bubble3D val="0"/>
            <c:spPr>
              <a:solidFill>
                <a:srgbClr val="9BE5EF"/>
              </a:solidFill>
            </c:spPr>
          </c:dPt>
          <c:dPt>
            <c:idx val="26"/>
            <c:invertIfNegative val="0"/>
            <c:bubble3D val="0"/>
            <c:spPr>
              <a:solidFill>
                <a:srgbClr val="C0E43C"/>
              </a:solidFill>
            </c:spPr>
          </c:dPt>
          <c:dPt>
            <c:idx val="27"/>
            <c:invertIfNegative val="0"/>
            <c:bubble3D val="0"/>
            <c:spPr>
              <a:solidFill>
                <a:schemeClr val="tx2">
                  <a:lumMod val="75000"/>
                </a:schemeClr>
              </a:solidFill>
            </c:spPr>
          </c:dPt>
          <c:cat>
            <c:strRef>
              <c:f>Sheet5!$A$2:$A$29</c:f>
              <c:strCache>
                <c:ptCount val="28"/>
                <c:pt idx="0">
                  <c:v>Lietuva</c:v>
                </c:pt>
                <c:pt idx="1">
                  <c:v>Latvija</c:v>
                </c:pt>
                <c:pt idx="2">
                  <c:v>Bulgarija</c:v>
                </c:pt>
                <c:pt idx="3">
                  <c:v>Graikija</c:v>
                </c:pt>
                <c:pt idx="4">
                  <c:v>Estija</c:v>
                </c:pt>
                <c:pt idx="5">
                  <c:v>Portugalija</c:v>
                </c:pt>
                <c:pt idx="6">
                  <c:v>Lenkija</c:v>
                </c:pt>
                <c:pt idx="7">
                  <c:v>Slovakija</c:v>
                </c:pt>
                <c:pt idx="8">
                  <c:v>Austrija</c:v>
                </c:pt>
                <c:pt idx="9">
                  <c:v>Ispanija</c:v>
                </c:pt>
                <c:pt idx="10">
                  <c:v>Italija</c:v>
                </c:pt>
                <c:pt idx="11">
                  <c:v>Rumunija</c:v>
                </c:pt>
                <c:pt idx="12">
                  <c:v>Belgija</c:v>
                </c:pt>
                <c:pt idx="13">
                  <c:v>Slovėnija</c:v>
                </c:pt>
                <c:pt idx="14">
                  <c:v>Kipras</c:v>
                </c:pt>
                <c:pt idx="15">
                  <c:v>Nyderlandai</c:v>
                </c:pt>
                <c:pt idx="16">
                  <c:v>Prancūzija</c:v>
                </c:pt>
                <c:pt idx="17">
                  <c:v>ES 27</c:v>
                </c:pt>
                <c:pt idx="18">
                  <c:v>Čekija</c:v>
                </c:pt>
                <c:pt idx="19">
                  <c:v>Jungtinė Karalystė</c:v>
                </c:pt>
                <c:pt idx="20">
                  <c:v>Švedija</c:v>
                </c:pt>
                <c:pt idx="21">
                  <c:v>Danija</c:v>
                </c:pt>
                <c:pt idx="22">
                  <c:v>Suomija</c:v>
                </c:pt>
                <c:pt idx="23">
                  <c:v>Vengrija</c:v>
                </c:pt>
                <c:pt idx="24">
                  <c:v>Liuksemburgas</c:v>
                </c:pt>
                <c:pt idx="25">
                  <c:v>Malta</c:v>
                </c:pt>
                <c:pt idx="26">
                  <c:v>Airija</c:v>
                </c:pt>
                <c:pt idx="27">
                  <c:v>Vokietija</c:v>
                </c:pt>
              </c:strCache>
            </c:strRef>
          </c:cat>
          <c:val>
            <c:numRef>
              <c:f>Sheet5!$B$2:$B$29</c:f>
              <c:numCache>
                <c:formatCode>General</c:formatCode>
                <c:ptCount val="28"/>
                <c:pt idx="0">
                  <c:v>0.20899999999999999</c:v>
                </c:pt>
                <c:pt idx="1">
                  <c:v>0.26200000000000001</c:v>
                </c:pt>
                <c:pt idx="2">
                  <c:v>0.314</c:v>
                </c:pt>
                <c:pt idx="3">
                  <c:v>0.34799999999999998</c:v>
                </c:pt>
                <c:pt idx="4">
                  <c:v>0.36599999999999999</c:v>
                </c:pt>
                <c:pt idx="5">
                  <c:v>0.36599999999999999</c:v>
                </c:pt>
                <c:pt idx="6">
                  <c:v>0.377</c:v>
                </c:pt>
                <c:pt idx="7">
                  <c:v>0.42799999999999999</c:v>
                </c:pt>
                <c:pt idx="8">
                  <c:v>0.46800000000000003</c:v>
                </c:pt>
                <c:pt idx="9">
                  <c:v>0.47199999999999998</c:v>
                </c:pt>
                <c:pt idx="10">
                  <c:v>0.47699999999999998</c:v>
                </c:pt>
                <c:pt idx="11">
                  <c:v>0.49</c:v>
                </c:pt>
                <c:pt idx="12">
                  <c:v>0.52300000000000002</c:v>
                </c:pt>
                <c:pt idx="13">
                  <c:v>0.52800000000000002</c:v>
                </c:pt>
                <c:pt idx="14">
                  <c:v>0.53</c:v>
                </c:pt>
                <c:pt idx="15">
                  <c:v>0.56499999999999995</c:v>
                </c:pt>
                <c:pt idx="16">
                  <c:v>0.56699999999999995</c:v>
                </c:pt>
                <c:pt idx="17">
                  <c:v>0.58499999999999996</c:v>
                </c:pt>
                <c:pt idx="18">
                  <c:v>0.58599999999999997</c:v>
                </c:pt>
                <c:pt idx="19">
                  <c:v>0.61299999999999999</c:v>
                </c:pt>
                <c:pt idx="20">
                  <c:v>0.622</c:v>
                </c:pt>
                <c:pt idx="21">
                  <c:v>0.63500000000000001</c:v>
                </c:pt>
                <c:pt idx="22">
                  <c:v>0.63800000000000001</c:v>
                </c:pt>
                <c:pt idx="23">
                  <c:v>0.65700000000000003</c:v>
                </c:pt>
                <c:pt idx="24">
                  <c:v>0.65900000000000003</c:v>
                </c:pt>
                <c:pt idx="25">
                  <c:v>0.67100000000000004</c:v>
                </c:pt>
                <c:pt idx="26">
                  <c:v>0.72699999999999998</c:v>
                </c:pt>
                <c:pt idx="27">
                  <c:v>0.74099999999999999</c:v>
                </c:pt>
              </c:numCache>
            </c:numRef>
          </c:val>
        </c:ser>
        <c:dLbls>
          <c:showLegendKey val="0"/>
          <c:showVal val="0"/>
          <c:showCatName val="0"/>
          <c:showSerName val="0"/>
          <c:showPercent val="0"/>
          <c:showBubbleSize val="0"/>
        </c:dLbls>
        <c:gapWidth val="150"/>
        <c:axId val="235090432"/>
        <c:axId val="234027200"/>
      </c:barChart>
      <c:catAx>
        <c:axId val="235090432"/>
        <c:scaling>
          <c:orientation val="minMax"/>
        </c:scaling>
        <c:delete val="0"/>
        <c:axPos val="b"/>
        <c:numFmt formatCode="General" sourceLinked="1"/>
        <c:majorTickMark val="out"/>
        <c:minorTickMark val="none"/>
        <c:tickLblPos val="nextTo"/>
        <c:txPr>
          <a:bodyPr/>
          <a:lstStyle/>
          <a:p>
            <a:pPr>
              <a:defRPr sz="1000">
                <a:latin typeface="Times New Roman" pitchFamily="18" charset="0"/>
                <a:cs typeface="Times New Roman" pitchFamily="18" charset="0"/>
              </a:defRPr>
            </a:pPr>
            <a:endParaRPr lang="lt-LT"/>
          </a:p>
        </c:txPr>
        <c:crossAx val="234027200"/>
        <c:crosses val="autoZero"/>
        <c:auto val="1"/>
        <c:lblAlgn val="ctr"/>
        <c:lblOffset val="100"/>
        <c:noMultiLvlLbl val="0"/>
      </c:catAx>
      <c:valAx>
        <c:axId val="234027200"/>
        <c:scaling>
          <c:orientation val="minMax"/>
        </c:scaling>
        <c:delete val="0"/>
        <c:axPos val="l"/>
        <c:majorGridlines/>
        <c:title>
          <c:tx>
            <c:rich>
              <a:bodyPr rot="0" vert="horz"/>
              <a:lstStyle/>
              <a:p>
                <a:pPr>
                  <a:defRPr b="1">
                    <a:latin typeface="Times New Roman" pitchFamily="18" charset="0"/>
                    <a:cs typeface="Times New Roman" pitchFamily="18" charset="0"/>
                  </a:defRPr>
                </a:pPr>
                <a:r>
                  <a:rPr lang="lt-LT" b="1">
                    <a:latin typeface="Times New Roman" pitchFamily="18" charset="0"/>
                    <a:cs typeface="Times New Roman" pitchFamily="18" charset="0"/>
                  </a:rPr>
                  <a:t> h)</a:t>
                </a:r>
              </a:p>
            </c:rich>
          </c:tx>
          <c:overlay val="0"/>
        </c:title>
        <c:numFmt formatCode="General" sourceLinked="1"/>
        <c:majorTickMark val="out"/>
        <c:minorTickMark val="none"/>
        <c:tickLblPos val="nextTo"/>
        <c:spPr>
          <a:noFill/>
        </c:spPr>
        <c:txPr>
          <a:bodyPr/>
          <a:lstStyle/>
          <a:p>
            <a:pPr>
              <a:defRPr>
                <a:latin typeface="Times New Roman" pitchFamily="18" charset="0"/>
                <a:cs typeface="Times New Roman" pitchFamily="18" charset="0"/>
              </a:defRPr>
            </a:pPr>
            <a:endParaRPr lang="lt-LT"/>
          </a:p>
        </c:txPr>
        <c:crossAx val="235090432"/>
        <c:crosses val="autoZero"/>
        <c:crossBetween val="between"/>
      </c:valAx>
      <c:spPr>
        <a:noFill/>
        <a:ln>
          <a:noFill/>
        </a:ln>
      </c:spPr>
    </c:plotArea>
    <c:plotVisOnly val="1"/>
    <c:dispBlanksAs val="gap"/>
    <c:showDLblsOverMax val="0"/>
  </c:chart>
  <c:spPr>
    <a:noFill/>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38750812089082926"/>
          <c:y val="3.4364261168384883E-2"/>
        </c:manualLayout>
      </c:layout>
      <c:overlay val="0"/>
      <c:txPr>
        <a:bodyPr/>
        <a:lstStyle/>
        <a:p>
          <a:pPr>
            <a:defRPr sz="1000">
              <a:latin typeface="Times New Roman" pitchFamily="18" charset="0"/>
              <a:cs typeface="Times New Roman" pitchFamily="18" charset="0"/>
            </a:defRPr>
          </a:pPr>
          <a:endParaRPr lang="lt-LT"/>
        </a:p>
      </c:txPr>
    </c:title>
    <c:autoTitleDeleted val="0"/>
    <c:plotArea>
      <c:layout/>
      <c:pieChart>
        <c:varyColors val="1"/>
        <c:ser>
          <c:idx val="1"/>
          <c:order val="1"/>
          <c:tx>
            <c:strRef>
              <c:f>'investicijos pagal stadiją'!$B$6</c:f>
              <c:strCache>
                <c:ptCount val="1"/>
                <c:pt idx="0">
                  <c:v>Baltijos valstybės</c:v>
                </c:pt>
              </c:strCache>
            </c:strRef>
          </c:tx>
          <c:dPt>
            <c:idx val="0"/>
            <c:bubble3D val="0"/>
            <c:spPr>
              <a:solidFill>
                <a:srgbClr val="002060"/>
              </a:solidFill>
            </c:spPr>
          </c:dPt>
          <c:dPt>
            <c:idx val="1"/>
            <c:bubble3D val="0"/>
            <c:spPr>
              <a:solidFill>
                <a:schemeClr val="accent6">
                  <a:lumMod val="75000"/>
                </a:schemeClr>
              </a:solidFill>
            </c:spPr>
          </c:dPt>
          <c:dPt>
            <c:idx val="2"/>
            <c:bubble3D val="0"/>
            <c:spPr>
              <a:solidFill>
                <a:srgbClr val="C0E43C"/>
              </a:solidFill>
            </c:spPr>
          </c:dPt>
          <c:dLbls>
            <c:dLbl>
              <c:idx val="0"/>
              <c:layout>
                <c:manualLayout>
                  <c:x val="0.13614848886463449"/>
                  <c:y val="4.4231404064182696E-2"/>
                </c:manualLayout>
              </c:layout>
              <c:showLegendKey val="0"/>
              <c:showVal val="0"/>
              <c:showCatName val="1"/>
              <c:showSerName val="0"/>
              <c:showPercent val="1"/>
              <c:showBubbleSize val="0"/>
            </c:dLbl>
            <c:dLbl>
              <c:idx val="1"/>
              <c:layout>
                <c:manualLayout>
                  <c:x val="0.22992281905355877"/>
                  <c:y val="-5.3976242660389098E-3"/>
                </c:manualLayout>
              </c:layout>
              <c:showLegendKey val="0"/>
              <c:showVal val="0"/>
              <c:showCatName val="1"/>
              <c:showSerName val="0"/>
              <c:showPercent val="1"/>
              <c:showBubbleSize val="0"/>
            </c:dLbl>
            <c:dLbl>
              <c:idx val="2"/>
              <c:layout>
                <c:manualLayout>
                  <c:x val="-0.12935214781320653"/>
                  <c:y val="0.12667586654760937"/>
                </c:manualLayout>
              </c:layout>
              <c:showLegendKey val="0"/>
              <c:showVal val="0"/>
              <c:showCatName val="1"/>
              <c:showSerName val="0"/>
              <c:showPercent val="1"/>
              <c:showBubbleSize val="0"/>
            </c:dLbl>
            <c:txPr>
              <a:bodyPr/>
              <a:lstStyle/>
              <a:p>
                <a:pPr>
                  <a:defRPr sz="900">
                    <a:latin typeface="Times New Roman" pitchFamily="18" charset="0"/>
                    <a:cs typeface="Times New Roman" pitchFamily="18" charset="0"/>
                  </a:defRPr>
                </a:pPr>
                <a:endParaRPr lang="lt-LT"/>
              </a:p>
            </c:txPr>
            <c:showLegendKey val="0"/>
            <c:showVal val="0"/>
            <c:showCatName val="1"/>
            <c:showSerName val="0"/>
            <c:showPercent val="1"/>
            <c:showBubbleSize val="0"/>
            <c:showLeaderLines val="1"/>
          </c:dLbls>
          <c:cat>
            <c:strRef>
              <c:f>'investicijos pagal stadiją'!$A$7:$A$9</c:f>
              <c:strCache>
                <c:ptCount val="3"/>
                <c:pt idx="0">
                  <c:v>Sėjos kapitalas </c:v>
                </c:pt>
                <c:pt idx="1">
                  <c:v>Pradžios kapitalas</c:v>
                </c:pt>
                <c:pt idx="2">
                  <c:v>Plėtros kapitalas</c:v>
                </c:pt>
              </c:strCache>
            </c:strRef>
          </c:cat>
          <c:val>
            <c:numRef>
              <c:f>'investicijos pagal stadiją'!$B$7:$B$9</c:f>
              <c:numCache>
                <c:formatCode>General</c:formatCode>
                <c:ptCount val="3"/>
                <c:pt idx="0">
                  <c:v>15.11</c:v>
                </c:pt>
                <c:pt idx="1">
                  <c:v>70.819999999999993</c:v>
                </c:pt>
                <c:pt idx="2">
                  <c:v>14.06</c:v>
                </c:pt>
              </c:numCache>
            </c:numRef>
          </c:val>
        </c:ser>
        <c:ser>
          <c:idx val="0"/>
          <c:order val="0"/>
          <c:tx>
            <c:strRef>
              <c:f>'investicijos pagal stadiją'!$B$1</c:f>
              <c:strCache>
                <c:ptCount val="1"/>
                <c:pt idx="0">
                  <c:v>ES</c:v>
                </c:pt>
              </c:strCache>
            </c:strRef>
          </c:tx>
          <c:dPt>
            <c:idx val="0"/>
            <c:bubble3D val="0"/>
            <c:spPr>
              <a:solidFill>
                <a:srgbClr val="002060"/>
              </a:solidFill>
            </c:spPr>
          </c:dPt>
          <c:dPt>
            <c:idx val="1"/>
            <c:bubble3D val="0"/>
            <c:spPr>
              <a:solidFill>
                <a:schemeClr val="accent6">
                  <a:lumMod val="75000"/>
                </a:schemeClr>
              </a:solidFill>
            </c:spPr>
          </c:dPt>
          <c:dPt>
            <c:idx val="2"/>
            <c:bubble3D val="0"/>
            <c:spPr>
              <a:solidFill>
                <a:srgbClr val="C0E43C"/>
              </a:solidFill>
            </c:spPr>
          </c:dPt>
          <c:cat>
            <c:strRef>
              <c:f>'investicijos pagal stadiją'!$A$2:$A$4</c:f>
              <c:strCache>
                <c:ptCount val="3"/>
                <c:pt idx="0">
                  <c:v>Sėjos kapitalas </c:v>
                </c:pt>
                <c:pt idx="1">
                  <c:v>Pradžios kapitalas</c:v>
                </c:pt>
                <c:pt idx="2">
                  <c:v>Plėtros kapitalas</c:v>
                </c:pt>
              </c:strCache>
            </c:strRef>
          </c:cat>
          <c:val>
            <c:numRef>
              <c:f>'investicijos pagal stadiją'!$B$2:$B$4</c:f>
              <c:numCache>
                <c:formatCode>General</c:formatCode>
                <c:ptCount val="3"/>
                <c:pt idx="0">
                  <c:v>3.17</c:v>
                </c:pt>
                <c:pt idx="1">
                  <c:v>49.25</c:v>
                </c:pt>
                <c:pt idx="2">
                  <c:v>47.58</c:v>
                </c:pt>
              </c:numCache>
            </c:numRef>
          </c:val>
        </c:ser>
        <c:dLbls>
          <c:showLegendKey val="0"/>
          <c:showVal val="0"/>
          <c:showCatName val="0"/>
          <c:showSerName val="0"/>
          <c:showPercent val="0"/>
          <c:showBubbleSize val="0"/>
          <c:showLeaderLines val="1"/>
        </c:dLbls>
        <c:firstSliceAng val="0"/>
      </c:pieChart>
    </c:plotArea>
    <c:plotVisOnly val="1"/>
    <c:dispBlanksAs val="gap"/>
    <c:showDLblsOverMax val="0"/>
  </c:chart>
  <c:spPr>
    <a:noFill/>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000">
              <a:latin typeface="Times New Roman" pitchFamily="18" charset="0"/>
              <a:cs typeface="Times New Roman" pitchFamily="18" charset="0"/>
            </a:defRPr>
          </a:pPr>
          <a:endParaRPr lang="lt-LT"/>
        </a:p>
      </c:txPr>
    </c:title>
    <c:autoTitleDeleted val="0"/>
    <c:plotArea>
      <c:layout/>
      <c:pieChart>
        <c:varyColors val="1"/>
        <c:ser>
          <c:idx val="0"/>
          <c:order val="0"/>
          <c:tx>
            <c:strRef>
              <c:f>'investicijos pagal stadiją'!$B$1</c:f>
              <c:strCache>
                <c:ptCount val="1"/>
                <c:pt idx="0">
                  <c:v>ES</c:v>
                </c:pt>
              </c:strCache>
            </c:strRef>
          </c:tx>
          <c:dPt>
            <c:idx val="0"/>
            <c:bubble3D val="0"/>
            <c:spPr>
              <a:solidFill>
                <a:srgbClr val="002060"/>
              </a:solidFill>
            </c:spPr>
          </c:dPt>
          <c:dPt>
            <c:idx val="1"/>
            <c:bubble3D val="0"/>
            <c:spPr>
              <a:solidFill>
                <a:schemeClr val="accent6">
                  <a:lumMod val="75000"/>
                </a:schemeClr>
              </a:solidFill>
            </c:spPr>
          </c:dPt>
          <c:dPt>
            <c:idx val="2"/>
            <c:bubble3D val="0"/>
            <c:spPr>
              <a:solidFill>
                <a:srgbClr val="C0E43C"/>
              </a:solidFill>
            </c:spPr>
          </c:dPt>
          <c:dLbls>
            <c:dLbl>
              <c:idx val="0"/>
              <c:layout>
                <c:manualLayout>
                  <c:x val="0.15053981391012256"/>
                  <c:y val="5.8523946882877265E-2"/>
                </c:manualLayout>
              </c:layout>
              <c:showLegendKey val="0"/>
              <c:showVal val="0"/>
              <c:showCatName val="1"/>
              <c:showSerName val="0"/>
              <c:showPercent val="1"/>
              <c:showBubbleSize val="0"/>
            </c:dLbl>
            <c:dLbl>
              <c:idx val="1"/>
              <c:layout>
                <c:manualLayout>
                  <c:x val="2.838221864602691E-2"/>
                  <c:y val="9.0658246927054917E-2"/>
                </c:manualLayout>
              </c:layout>
              <c:showLegendKey val="0"/>
              <c:showVal val="0"/>
              <c:showCatName val="1"/>
              <c:showSerName val="0"/>
              <c:showPercent val="1"/>
              <c:showBubbleSize val="0"/>
            </c:dLbl>
            <c:dLbl>
              <c:idx val="2"/>
              <c:layout>
                <c:manualLayout>
                  <c:x val="-4.4038932633420826E-2"/>
                  <c:y val="5.9970836978710994E-2"/>
                </c:manualLayout>
              </c:layout>
              <c:showLegendKey val="0"/>
              <c:showVal val="0"/>
              <c:showCatName val="1"/>
              <c:showSerName val="0"/>
              <c:showPercent val="1"/>
              <c:showBubbleSize val="0"/>
            </c:dLbl>
            <c:txPr>
              <a:bodyPr/>
              <a:lstStyle/>
              <a:p>
                <a:pPr>
                  <a:defRPr sz="900">
                    <a:latin typeface="Times New Roman" pitchFamily="18" charset="0"/>
                    <a:cs typeface="Times New Roman" pitchFamily="18" charset="0"/>
                  </a:defRPr>
                </a:pPr>
                <a:endParaRPr lang="lt-LT"/>
              </a:p>
            </c:txPr>
            <c:showLegendKey val="0"/>
            <c:showVal val="0"/>
            <c:showCatName val="1"/>
            <c:showSerName val="0"/>
            <c:showPercent val="1"/>
            <c:showBubbleSize val="0"/>
            <c:showLeaderLines val="1"/>
          </c:dLbls>
          <c:cat>
            <c:strRef>
              <c:f>'investicijos pagal stadiją'!$A$2:$A$4</c:f>
              <c:strCache>
                <c:ptCount val="3"/>
                <c:pt idx="0">
                  <c:v>Sėjos kapitalas </c:v>
                </c:pt>
                <c:pt idx="1">
                  <c:v>Pradžios kapitalas</c:v>
                </c:pt>
                <c:pt idx="2">
                  <c:v>Plėtros kapitalas</c:v>
                </c:pt>
              </c:strCache>
            </c:strRef>
          </c:cat>
          <c:val>
            <c:numRef>
              <c:f>'investicijos pagal stadiją'!$B$2:$B$4</c:f>
              <c:numCache>
                <c:formatCode>General</c:formatCode>
                <c:ptCount val="3"/>
                <c:pt idx="0">
                  <c:v>3.17</c:v>
                </c:pt>
                <c:pt idx="1">
                  <c:v>49.25</c:v>
                </c:pt>
                <c:pt idx="2">
                  <c:v>47.58</c:v>
                </c:pt>
              </c:numCache>
            </c:numRef>
          </c:val>
        </c:ser>
        <c:dLbls>
          <c:showLegendKey val="0"/>
          <c:showVal val="0"/>
          <c:showCatName val="0"/>
          <c:showSerName val="0"/>
          <c:showPercent val="0"/>
          <c:showBubbleSize val="0"/>
          <c:showLeaderLines val="1"/>
        </c:dLbls>
        <c:firstSliceAng val="0"/>
      </c:pieChart>
    </c:plotArea>
    <c:plotVisOnly val="1"/>
    <c:dispBlanksAs val="gap"/>
    <c:showDLblsOverMax val="0"/>
  </c:chart>
  <c:spPr>
    <a:noFill/>
    <a:ln>
      <a:no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31903368328958881"/>
          <c:y val="5.0925925925925923E-2"/>
          <c:w val="0.63210564304461947"/>
          <c:h val="0.83772382618839314"/>
        </c:manualLayout>
      </c:layout>
      <c:barChart>
        <c:barDir val="bar"/>
        <c:grouping val="clustered"/>
        <c:varyColors val="0"/>
        <c:ser>
          <c:idx val="0"/>
          <c:order val="0"/>
          <c:tx>
            <c:strRef>
              <c:f>'investicijos pagal sektorius'!$H$1</c:f>
              <c:strCache>
                <c:ptCount val="1"/>
                <c:pt idx="0">
                  <c:v>ES</c:v>
                </c:pt>
              </c:strCache>
            </c:strRef>
          </c:tx>
          <c:spPr>
            <a:solidFill>
              <a:srgbClr val="C0E43C"/>
            </a:solidFill>
          </c:spPr>
          <c:invertIfNegative val="0"/>
          <c:cat>
            <c:strRef>
              <c:f>'investicijos pagal sektorius'!$G$2:$G$16</c:f>
              <c:strCache>
                <c:ptCount val="15"/>
                <c:pt idx="0">
                  <c:v>Žemės ūkis</c:v>
                </c:pt>
                <c:pt idx="1">
                  <c:v>Prekės verslui bei pramonei</c:v>
                </c:pt>
                <c:pt idx="2">
                  <c:v>Paslaugos verslui ir pramonei</c:v>
                </c:pt>
                <c:pt idx="3">
                  <c:v>Cheminės medžiagos ir žaliavis</c:v>
                </c:pt>
                <c:pt idx="4">
                  <c:v>Telekomunikacijos</c:v>
                </c:pt>
                <c:pt idx="5">
                  <c:v>Moderniosios technologijos</c:v>
                </c:pt>
                <c:pt idx="6">
                  <c:v>Statyba</c:v>
                </c:pt>
                <c:pt idx="7">
                  <c:v>Vartojimo prekės ir mažmeninė prekyba</c:v>
                </c:pt>
                <c:pt idx="8">
                  <c:v>Paslaugos vartotojams</c:v>
                </c:pt>
                <c:pt idx="9">
                  <c:v>Energijos išteklių gavyba</c:v>
                </c:pt>
                <c:pt idx="10">
                  <c:v>Finansinės paslaugos</c:v>
                </c:pt>
                <c:pt idx="11">
                  <c:v>Medicinos pramonė</c:v>
                </c:pt>
                <c:pt idx="12">
                  <c:v>Nekilnojamasis turtas</c:v>
                </c:pt>
                <c:pt idx="13">
                  <c:v>Gabenimas</c:v>
                </c:pt>
                <c:pt idx="14">
                  <c:v>Kita</c:v>
                </c:pt>
              </c:strCache>
            </c:strRef>
          </c:cat>
          <c:val>
            <c:numRef>
              <c:f>'investicijos pagal sektorius'!$H$2:$H$16</c:f>
              <c:numCache>
                <c:formatCode>General</c:formatCode>
                <c:ptCount val="15"/>
                <c:pt idx="0">
                  <c:v>1</c:v>
                </c:pt>
                <c:pt idx="1">
                  <c:v>6</c:v>
                </c:pt>
                <c:pt idx="2">
                  <c:v>3</c:v>
                </c:pt>
                <c:pt idx="3">
                  <c:v>2</c:v>
                </c:pt>
                <c:pt idx="4">
                  <c:v>15</c:v>
                </c:pt>
                <c:pt idx="5">
                  <c:v>20</c:v>
                </c:pt>
                <c:pt idx="6">
                  <c:v>1</c:v>
                </c:pt>
                <c:pt idx="7">
                  <c:v>4</c:v>
                </c:pt>
                <c:pt idx="8">
                  <c:v>3</c:v>
                </c:pt>
                <c:pt idx="9">
                  <c:v>11</c:v>
                </c:pt>
                <c:pt idx="10">
                  <c:v>2</c:v>
                </c:pt>
                <c:pt idx="11">
                  <c:v>30</c:v>
                </c:pt>
                <c:pt idx="12">
                  <c:v>1</c:v>
                </c:pt>
                <c:pt idx="13">
                  <c:v>1</c:v>
                </c:pt>
              </c:numCache>
            </c:numRef>
          </c:val>
        </c:ser>
        <c:ser>
          <c:idx val="1"/>
          <c:order val="1"/>
          <c:tx>
            <c:strRef>
              <c:f>'investicijos pagal sektorius'!$I$1</c:f>
              <c:strCache>
                <c:ptCount val="1"/>
                <c:pt idx="0">
                  <c:v>CEE</c:v>
                </c:pt>
              </c:strCache>
            </c:strRef>
          </c:tx>
          <c:spPr>
            <a:solidFill>
              <a:srgbClr val="002060"/>
            </a:solidFill>
          </c:spPr>
          <c:invertIfNegative val="0"/>
          <c:cat>
            <c:strRef>
              <c:f>'investicijos pagal sektorius'!$G$2:$G$16</c:f>
              <c:strCache>
                <c:ptCount val="15"/>
                <c:pt idx="0">
                  <c:v>Žemės ūkis</c:v>
                </c:pt>
                <c:pt idx="1">
                  <c:v>Prekės verslui bei pramonei</c:v>
                </c:pt>
                <c:pt idx="2">
                  <c:v>Paslaugos verslui ir pramonei</c:v>
                </c:pt>
                <c:pt idx="3">
                  <c:v>Cheminės medžiagos ir žaliavis</c:v>
                </c:pt>
                <c:pt idx="4">
                  <c:v>Telekomunikacijos</c:v>
                </c:pt>
                <c:pt idx="5">
                  <c:v>Moderniosios technologijos</c:v>
                </c:pt>
                <c:pt idx="6">
                  <c:v>Statyba</c:v>
                </c:pt>
                <c:pt idx="7">
                  <c:v>Vartojimo prekės ir mažmeninė prekyba</c:v>
                </c:pt>
                <c:pt idx="8">
                  <c:v>Paslaugos vartotojams</c:v>
                </c:pt>
                <c:pt idx="9">
                  <c:v>Energijos išteklių gavyba</c:v>
                </c:pt>
                <c:pt idx="10">
                  <c:v>Finansinės paslaugos</c:v>
                </c:pt>
                <c:pt idx="11">
                  <c:v>Medicinos pramonė</c:v>
                </c:pt>
                <c:pt idx="12">
                  <c:v>Nekilnojamasis turtas</c:v>
                </c:pt>
                <c:pt idx="13">
                  <c:v>Gabenimas</c:v>
                </c:pt>
                <c:pt idx="14">
                  <c:v>Kita</c:v>
                </c:pt>
              </c:strCache>
            </c:strRef>
          </c:cat>
          <c:val>
            <c:numRef>
              <c:f>'investicijos pagal sektorius'!$I$2:$I$16</c:f>
              <c:numCache>
                <c:formatCode>General</c:formatCode>
                <c:ptCount val="15"/>
                <c:pt idx="0">
                  <c:v>3.4</c:v>
                </c:pt>
                <c:pt idx="1">
                  <c:v>3.6</c:v>
                </c:pt>
                <c:pt idx="2">
                  <c:v>5.6</c:v>
                </c:pt>
                <c:pt idx="3">
                  <c:v>1.7</c:v>
                </c:pt>
                <c:pt idx="4">
                  <c:v>12.7</c:v>
                </c:pt>
                <c:pt idx="5">
                  <c:v>7.5</c:v>
                </c:pt>
                <c:pt idx="6">
                  <c:v>1.2</c:v>
                </c:pt>
                <c:pt idx="7">
                  <c:v>24.7</c:v>
                </c:pt>
                <c:pt idx="8">
                  <c:v>7.7</c:v>
                </c:pt>
                <c:pt idx="9">
                  <c:v>7.3</c:v>
                </c:pt>
                <c:pt idx="10">
                  <c:v>8.3000000000000007</c:v>
                </c:pt>
                <c:pt idx="11" formatCode="#,##0">
                  <c:v>12.3</c:v>
                </c:pt>
                <c:pt idx="12" formatCode="#,##0">
                  <c:v>0.3</c:v>
                </c:pt>
                <c:pt idx="13" formatCode="#,##0">
                  <c:v>3.7</c:v>
                </c:pt>
              </c:numCache>
            </c:numRef>
          </c:val>
        </c:ser>
        <c:ser>
          <c:idx val="2"/>
          <c:order val="2"/>
          <c:tx>
            <c:strRef>
              <c:f>'investicijos pagal sektorius'!$J$1</c:f>
              <c:strCache>
                <c:ptCount val="1"/>
                <c:pt idx="0">
                  <c:v>Baltijos valstybės</c:v>
                </c:pt>
              </c:strCache>
            </c:strRef>
          </c:tx>
          <c:spPr>
            <a:solidFill>
              <a:schemeClr val="accent6">
                <a:lumMod val="75000"/>
              </a:schemeClr>
            </a:solidFill>
          </c:spPr>
          <c:invertIfNegative val="0"/>
          <c:cat>
            <c:strRef>
              <c:f>'investicijos pagal sektorius'!$G$2:$G$16</c:f>
              <c:strCache>
                <c:ptCount val="15"/>
                <c:pt idx="0">
                  <c:v>Žemės ūkis</c:v>
                </c:pt>
                <c:pt idx="1">
                  <c:v>Prekės verslui bei pramonei</c:v>
                </c:pt>
                <c:pt idx="2">
                  <c:v>Paslaugos verslui ir pramonei</c:v>
                </c:pt>
                <c:pt idx="3">
                  <c:v>Cheminės medžiagos ir žaliavis</c:v>
                </c:pt>
                <c:pt idx="4">
                  <c:v>Telekomunikacijos</c:v>
                </c:pt>
                <c:pt idx="5">
                  <c:v>Moderniosios technologijos</c:v>
                </c:pt>
                <c:pt idx="6">
                  <c:v>Statyba</c:v>
                </c:pt>
                <c:pt idx="7">
                  <c:v>Vartojimo prekės ir mažmeninė prekyba</c:v>
                </c:pt>
                <c:pt idx="8">
                  <c:v>Paslaugos vartotojams</c:v>
                </c:pt>
                <c:pt idx="9">
                  <c:v>Energijos išteklių gavyba</c:v>
                </c:pt>
                <c:pt idx="10">
                  <c:v>Finansinės paslaugos</c:v>
                </c:pt>
                <c:pt idx="11">
                  <c:v>Medicinos pramonė</c:v>
                </c:pt>
                <c:pt idx="12">
                  <c:v>Nekilnojamasis turtas</c:v>
                </c:pt>
                <c:pt idx="13">
                  <c:v>Gabenimas</c:v>
                </c:pt>
                <c:pt idx="14">
                  <c:v>Kita</c:v>
                </c:pt>
              </c:strCache>
            </c:strRef>
          </c:cat>
          <c:val>
            <c:numRef>
              <c:f>'investicijos pagal sektorius'!$J$2:$J$16</c:f>
              <c:numCache>
                <c:formatCode>#,##0.0</c:formatCode>
                <c:ptCount val="15"/>
                <c:pt idx="0">
                  <c:v>0</c:v>
                </c:pt>
                <c:pt idx="1">
                  <c:v>7.6923076923076925</c:v>
                </c:pt>
                <c:pt idx="2">
                  <c:v>0</c:v>
                </c:pt>
                <c:pt idx="3">
                  <c:v>0</c:v>
                </c:pt>
                <c:pt idx="4">
                  <c:v>26.923076923076923</c:v>
                </c:pt>
                <c:pt idx="5">
                  <c:v>34.615384615384613</c:v>
                </c:pt>
                <c:pt idx="6">
                  <c:v>7.6923076923076925</c:v>
                </c:pt>
                <c:pt idx="7">
                  <c:v>3.8461538461538463</c:v>
                </c:pt>
                <c:pt idx="8">
                  <c:v>0</c:v>
                </c:pt>
                <c:pt idx="9">
                  <c:v>3.8461538461538463</c:v>
                </c:pt>
                <c:pt idx="10">
                  <c:v>0</c:v>
                </c:pt>
                <c:pt idx="11">
                  <c:v>11.538461538461538</c:v>
                </c:pt>
                <c:pt idx="12">
                  <c:v>0</c:v>
                </c:pt>
                <c:pt idx="13">
                  <c:v>3.8461538461538463</c:v>
                </c:pt>
                <c:pt idx="14">
                  <c:v>0</c:v>
                </c:pt>
              </c:numCache>
            </c:numRef>
          </c:val>
        </c:ser>
        <c:dLbls>
          <c:showLegendKey val="0"/>
          <c:showVal val="0"/>
          <c:showCatName val="0"/>
          <c:showSerName val="0"/>
          <c:showPercent val="0"/>
          <c:showBubbleSize val="0"/>
        </c:dLbls>
        <c:gapWidth val="150"/>
        <c:axId val="230185984"/>
        <c:axId val="229549184"/>
      </c:barChart>
      <c:catAx>
        <c:axId val="230185984"/>
        <c:scaling>
          <c:orientation val="minMax"/>
        </c:scaling>
        <c:delete val="0"/>
        <c:axPos val="l"/>
        <c:majorTickMark val="out"/>
        <c:minorTickMark val="none"/>
        <c:tickLblPos val="nextTo"/>
        <c:txPr>
          <a:bodyPr/>
          <a:lstStyle/>
          <a:p>
            <a:pPr>
              <a:defRPr sz="800">
                <a:latin typeface="Times New Roman" pitchFamily="18" charset="0"/>
                <a:cs typeface="Times New Roman" pitchFamily="18" charset="0"/>
              </a:defRPr>
            </a:pPr>
            <a:endParaRPr lang="lt-LT"/>
          </a:p>
        </c:txPr>
        <c:crossAx val="229549184"/>
        <c:crosses val="autoZero"/>
        <c:auto val="1"/>
        <c:lblAlgn val="ctr"/>
        <c:lblOffset val="100"/>
        <c:noMultiLvlLbl val="0"/>
      </c:catAx>
      <c:valAx>
        <c:axId val="229549184"/>
        <c:scaling>
          <c:orientation val="minMax"/>
        </c:scaling>
        <c:delete val="0"/>
        <c:axPos val="b"/>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lt-LT"/>
          </a:p>
        </c:txPr>
        <c:crossAx val="230185984"/>
        <c:crosses val="autoZero"/>
        <c:crossBetween val="between"/>
      </c:valAx>
      <c:spPr>
        <a:noFill/>
      </c:spPr>
    </c:plotArea>
    <c:legend>
      <c:legendPos val="r"/>
      <c:layout>
        <c:manualLayout>
          <c:xMode val="edge"/>
          <c:yMode val="edge"/>
          <c:x val="2.0778168201287542E-2"/>
          <c:y val="0.95185340962814435"/>
          <c:w val="0.38394675421272667"/>
          <c:h val="4.8146590371855695E-2"/>
        </c:manualLayout>
      </c:layout>
      <c:overlay val="0"/>
      <c:txPr>
        <a:bodyPr/>
        <a:lstStyle/>
        <a:p>
          <a:pPr>
            <a:defRPr>
              <a:latin typeface="Times New Roman" pitchFamily="18" charset="0"/>
              <a:cs typeface="Times New Roman" pitchFamily="18" charset="0"/>
            </a:defRPr>
          </a:pPr>
          <a:endParaRPr lang="lt-LT"/>
        </a:p>
      </c:txPr>
    </c:legend>
    <c:plotVisOnly val="1"/>
    <c:dispBlanksAs val="gap"/>
    <c:showDLblsOverMax val="0"/>
  </c:chart>
  <c:spPr>
    <a:noFill/>
    <a:ln>
      <a:noFill/>
    </a:ln>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6859564455971019"/>
          <c:y val="4.5905052447426063E-2"/>
          <c:w val="0.57119335083114597"/>
          <c:h val="0.82499581169375102"/>
        </c:manualLayout>
      </c:layout>
      <c:barChart>
        <c:barDir val="bar"/>
        <c:grouping val="clustered"/>
        <c:varyColors val="0"/>
        <c:ser>
          <c:idx val="0"/>
          <c:order val="0"/>
          <c:tx>
            <c:strRef>
              <c:f>investors!$B$1</c:f>
              <c:strCache>
                <c:ptCount val="1"/>
                <c:pt idx="0">
                  <c:v>ES </c:v>
                </c:pt>
              </c:strCache>
            </c:strRef>
          </c:tx>
          <c:spPr>
            <a:solidFill>
              <a:srgbClr val="C0E43C"/>
            </a:solidFill>
          </c:spPr>
          <c:invertIfNegative val="0"/>
          <c:cat>
            <c:strRef>
              <c:f>investors!$A$2:$A$15</c:f>
              <c:strCache>
                <c:ptCount val="14"/>
                <c:pt idx="0">
                  <c:v>Akademinės institucijos</c:v>
                </c:pt>
                <c:pt idx="1">
                  <c:v>Nežinomi investuotojai</c:v>
                </c:pt>
                <c:pt idx="2">
                  <c:v>Bankai</c:v>
                </c:pt>
                <c:pt idx="3">
                  <c:v>Kapitalo rinkos</c:v>
                </c:pt>
                <c:pt idx="4">
                  <c:v>Verslo įmonės</c:v>
                </c:pt>
                <c:pt idx="5">
                  <c:v>RKF valdymo įmonės</c:v>
                </c:pt>
                <c:pt idx="6">
                  <c:v>Turtingų šeimų valdomos įmonės</c:v>
                </c:pt>
                <c:pt idx="7">
                  <c:v>Fondų fondai</c:v>
                </c:pt>
                <c:pt idx="8">
                  <c:v>Valstybės institucijos</c:v>
                </c:pt>
                <c:pt idx="9">
                  <c:v>Draudimo kompanijos</c:v>
                </c:pt>
                <c:pt idx="10">
                  <c:v>Kiti turto valdytojai</c:v>
                </c:pt>
                <c:pt idx="11">
                  <c:v>Pensijų fondai</c:v>
                </c:pt>
                <c:pt idx="12">
                  <c:v>Turtingi fiziniai asmenys</c:v>
                </c:pt>
                <c:pt idx="13">
                  <c:v>Valstybiniai investiciniai fondai</c:v>
                </c:pt>
              </c:strCache>
            </c:strRef>
          </c:cat>
          <c:val>
            <c:numRef>
              <c:f>investors!$B$2:$B$15</c:f>
              <c:numCache>
                <c:formatCode>General</c:formatCode>
                <c:ptCount val="14"/>
                <c:pt idx="0">
                  <c:v>0.8</c:v>
                </c:pt>
                <c:pt idx="1">
                  <c:v>17</c:v>
                </c:pt>
                <c:pt idx="2">
                  <c:v>8.8000000000000007</c:v>
                </c:pt>
                <c:pt idx="3">
                  <c:v>7.3</c:v>
                </c:pt>
                <c:pt idx="4">
                  <c:v>3.2</c:v>
                </c:pt>
                <c:pt idx="5">
                  <c:v>1</c:v>
                </c:pt>
                <c:pt idx="6">
                  <c:v>9.4</c:v>
                </c:pt>
                <c:pt idx="7">
                  <c:v>10.5</c:v>
                </c:pt>
                <c:pt idx="8">
                  <c:v>9.3000000000000007</c:v>
                </c:pt>
                <c:pt idx="9">
                  <c:v>5.3</c:v>
                </c:pt>
                <c:pt idx="10">
                  <c:v>5.0999999999999996</c:v>
                </c:pt>
                <c:pt idx="11">
                  <c:v>12.1</c:v>
                </c:pt>
                <c:pt idx="12">
                  <c:v>3.5</c:v>
                </c:pt>
                <c:pt idx="13">
                  <c:v>5.8</c:v>
                </c:pt>
              </c:numCache>
            </c:numRef>
          </c:val>
        </c:ser>
        <c:ser>
          <c:idx val="1"/>
          <c:order val="1"/>
          <c:tx>
            <c:strRef>
              <c:f>investors!$C$1</c:f>
              <c:strCache>
                <c:ptCount val="1"/>
                <c:pt idx="0">
                  <c:v>Blatijos valstybės</c:v>
                </c:pt>
              </c:strCache>
            </c:strRef>
          </c:tx>
          <c:spPr>
            <a:solidFill>
              <a:srgbClr val="002060"/>
            </a:solidFill>
          </c:spPr>
          <c:invertIfNegative val="0"/>
          <c:cat>
            <c:strRef>
              <c:f>investors!$A$2:$A$15</c:f>
              <c:strCache>
                <c:ptCount val="14"/>
                <c:pt idx="0">
                  <c:v>Akademinės institucijos</c:v>
                </c:pt>
                <c:pt idx="1">
                  <c:v>Nežinomi investuotojai</c:v>
                </c:pt>
                <c:pt idx="2">
                  <c:v>Bankai</c:v>
                </c:pt>
                <c:pt idx="3">
                  <c:v>Kapitalo rinkos</c:v>
                </c:pt>
                <c:pt idx="4">
                  <c:v>Verslo įmonės</c:v>
                </c:pt>
                <c:pt idx="5">
                  <c:v>RKF valdymo įmonės</c:v>
                </c:pt>
                <c:pt idx="6">
                  <c:v>Turtingų šeimų valdomos įmonės</c:v>
                </c:pt>
                <c:pt idx="7">
                  <c:v>Fondų fondai</c:v>
                </c:pt>
                <c:pt idx="8">
                  <c:v>Valstybės institucijos</c:v>
                </c:pt>
                <c:pt idx="9">
                  <c:v>Draudimo kompanijos</c:v>
                </c:pt>
                <c:pt idx="10">
                  <c:v>Kiti turto valdytojai</c:v>
                </c:pt>
                <c:pt idx="11">
                  <c:v>Pensijų fondai</c:v>
                </c:pt>
                <c:pt idx="12">
                  <c:v>Turtingi fiziniai asmenys</c:v>
                </c:pt>
                <c:pt idx="13">
                  <c:v>Valstybiniai investiciniai fondai</c:v>
                </c:pt>
              </c:strCache>
            </c:strRef>
          </c:cat>
          <c:val>
            <c:numRef>
              <c:f>investors!$C$2:$C$15</c:f>
              <c:numCache>
                <c:formatCode>General</c:formatCode>
                <c:ptCount val="14"/>
                <c:pt idx="0">
                  <c:v>0</c:v>
                </c:pt>
                <c:pt idx="1">
                  <c:v>0.8</c:v>
                </c:pt>
                <c:pt idx="2">
                  <c:v>3</c:v>
                </c:pt>
                <c:pt idx="3">
                  <c:v>1</c:v>
                </c:pt>
                <c:pt idx="4">
                  <c:v>0</c:v>
                </c:pt>
                <c:pt idx="5">
                  <c:v>0</c:v>
                </c:pt>
                <c:pt idx="6">
                  <c:v>0</c:v>
                </c:pt>
                <c:pt idx="7">
                  <c:v>0</c:v>
                </c:pt>
                <c:pt idx="8">
                  <c:v>72.2</c:v>
                </c:pt>
                <c:pt idx="9">
                  <c:v>0</c:v>
                </c:pt>
                <c:pt idx="10">
                  <c:v>5.7</c:v>
                </c:pt>
                <c:pt idx="11">
                  <c:v>5.2</c:v>
                </c:pt>
                <c:pt idx="12">
                  <c:v>8.3000000000000007</c:v>
                </c:pt>
                <c:pt idx="13">
                  <c:v>0.8</c:v>
                </c:pt>
              </c:numCache>
            </c:numRef>
          </c:val>
        </c:ser>
        <c:dLbls>
          <c:showLegendKey val="0"/>
          <c:showVal val="0"/>
          <c:showCatName val="0"/>
          <c:showSerName val="0"/>
          <c:showPercent val="0"/>
          <c:showBubbleSize val="0"/>
        </c:dLbls>
        <c:gapWidth val="150"/>
        <c:axId val="230186496"/>
        <c:axId val="229550912"/>
      </c:barChart>
      <c:catAx>
        <c:axId val="230186496"/>
        <c:scaling>
          <c:orientation val="minMax"/>
        </c:scaling>
        <c:delete val="0"/>
        <c:axPos val="l"/>
        <c:majorTickMark val="out"/>
        <c:minorTickMark val="none"/>
        <c:tickLblPos val="nextTo"/>
        <c:txPr>
          <a:bodyPr/>
          <a:lstStyle/>
          <a:p>
            <a:pPr>
              <a:defRPr sz="800">
                <a:latin typeface="Times New Roman" pitchFamily="18" charset="0"/>
                <a:cs typeface="Times New Roman" pitchFamily="18" charset="0"/>
              </a:defRPr>
            </a:pPr>
            <a:endParaRPr lang="lt-LT"/>
          </a:p>
        </c:txPr>
        <c:crossAx val="229550912"/>
        <c:crosses val="autoZero"/>
        <c:auto val="1"/>
        <c:lblAlgn val="ctr"/>
        <c:lblOffset val="100"/>
        <c:noMultiLvlLbl val="0"/>
      </c:catAx>
      <c:valAx>
        <c:axId val="229550912"/>
        <c:scaling>
          <c:orientation val="minMax"/>
        </c:scaling>
        <c:delete val="0"/>
        <c:axPos val="b"/>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lt-LT"/>
          </a:p>
        </c:txPr>
        <c:crossAx val="230186496"/>
        <c:crosses val="autoZero"/>
        <c:crossBetween val="between"/>
      </c:valAx>
      <c:spPr>
        <a:noFill/>
      </c:spPr>
    </c:plotArea>
    <c:legend>
      <c:legendPos val="r"/>
      <c:layout>
        <c:manualLayout>
          <c:xMode val="edge"/>
          <c:yMode val="edge"/>
          <c:x val="0"/>
          <c:y val="0.94092717133762538"/>
          <c:w val="0.30225204871462369"/>
          <c:h val="5.6027890130754932E-2"/>
        </c:manualLayout>
      </c:layout>
      <c:overlay val="0"/>
      <c:txPr>
        <a:bodyPr/>
        <a:lstStyle/>
        <a:p>
          <a:pPr>
            <a:defRPr>
              <a:latin typeface="Times New Roman" pitchFamily="18" charset="0"/>
              <a:cs typeface="Times New Roman" pitchFamily="18" charset="0"/>
            </a:defRPr>
          </a:pPr>
          <a:endParaRPr lang="lt-LT"/>
        </a:p>
      </c:txPr>
    </c:legend>
    <c:plotVisOnly val="1"/>
    <c:dispBlanksAs val="gap"/>
    <c:showDLblsOverMax val="0"/>
  </c:chart>
  <c:spPr>
    <a:noFill/>
    <a:ln>
      <a:noFill/>
    </a:ln>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7243000874890642E-2"/>
          <c:y val="5.0925925925925923E-2"/>
          <c:w val="0.78501460541476031"/>
          <c:h val="0.76008685277976618"/>
        </c:manualLayout>
      </c:layout>
      <c:barChart>
        <c:barDir val="col"/>
        <c:grouping val="clustered"/>
        <c:varyColors val="0"/>
        <c:ser>
          <c:idx val="0"/>
          <c:order val="0"/>
          <c:tx>
            <c:strRef>
              <c:f>Sheet4!$B$18</c:f>
              <c:strCache>
                <c:ptCount val="1"/>
                <c:pt idx="0">
                  <c:v>Realizuotų investicijų vertė</c:v>
                </c:pt>
              </c:strCache>
            </c:strRef>
          </c:tx>
          <c:spPr>
            <a:solidFill>
              <a:schemeClr val="accent6">
                <a:lumMod val="75000"/>
              </a:schemeClr>
            </a:solidFill>
          </c:spPr>
          <c:invertIfNegative val="0"/>
          <c:cat>
            <c:numRef>
              <c:f>Sheet4!$A$19:$A$22</c:f>
              <c:numCache>
                <c:formatCode>General</c:formatCode>
                <c:ptCount val="4"/>
                <c:pt idx="0">
                  <c:v>2007</c:v>
                </c:pt>
                <c:pt idx="1">
                  <c:v>2008</c:v>
                </c:pt>
                <c:pt idx="2">
                  <c:v>2009</c:v>
                </c:pt>
                <c:pt idx="3">
                  <c:v>2010</c:v>
                </c:pt>
              </c:numCache>
            </c:numRef>
          </c:cat>
          <c:val>
            <c:numRef>
              <c:f>Sheet4!$B$19:$B$22</c:f>
              <c:numCache>
                <c:formatCode>General</c:formatCode>
                <c:ptCount val="4"/>
                <c:pt idx="0">
                  <c:v>5.9569999999999999</c:v>
                </c:pt>
                <c:pt idx="1">
                  <c:v>12.994</c:v>
                </c:pt>
                <c:pt idx="2">
                  <c:v>1.224</c:v>
                </c:pt>
                <c:pt idx="3">
                  <c:v>6.8869999999999996</c:v>
                </c:pt>
              </c:numCache>
            </c:numRef>
          </c:val>
        </c:ser>
        <c:dLbls>
          <c:showLegendKey val="0"/>
          <c:showVal val="0"/>
          <c:showCatName val="0"/>
          <c:showSerName val="0"/>
          <c:showPercent val="0"/>
          <c:showBubbleSize val="0"/>
        </c:dLbls>
        <c:gapWidth val="150"/>
        <c:axId val="230191104"/>
        <c:axId val="229552640"/>
      </c:barChart>
      <c:lineChart>
        <c:grouping val="standard"/>
        <c:varyColors val="0"/>
        <c:ser>
          <c:idx val="1"/>
          <c:order val="1"/>
          <c:tx>
            <c:strRef>
              <c:f>Sheet4!$C$18</c:f>
              <c:strCache>
                <c:ptCount val="1"/>
                <c:pt idx="0">
                  <c:v>Realizuotų investicijų skaičius</c:v>
                </c:pt>
              </c:strCache>
            </c:strRef>
          </c:tx>
          <c:spPr>
            <a:ln>
              <a:solidFill>
                <a:schemeClr val="accent6">
                  <a:lumMod val="60000"/>
                  <a:lumOff val="40000"/>
                </a:schemeClr>
              </a:solidFill>
            </a:ln>
          </c:spPr>
          <c:marker>
            <c:spPr>
              <a:solidFill>
                <a:schemeClr val="accent6">
                  <a:lumMod val="60000"/>
                  <a:lumOff val="40000"/>
                </a:schemeClr>
              </a:solidFill>
              <a:ln>
                <a:solidFill>
                  <a:schemeClr val="accent6">
                    <a:lumMod val="60000"/>
                    <a:lumOff val="40000"/>
                  </a:schemeClr>
                </a:solidFill>
              </a:ln>
            </c:spPr>
          </c:marker>
          <c:cat>
            <c:numRef>
              <c:f>Sheet4!$A$19:$A$22</c:f>
              <c:numCache>
                <c:formatCode>General</c:formatCode>
                <c:ptCount val="4"/>
                <c:pt idx="0">
                  <c:v>2007</c:v>
                </c:pt>
                <c:pt idx="1">
                  <c:v>2008</c:v>
                </c:pt>
                <c:pt idx="2">
                  <c:v>2009</c:v>
                </c:pt>
                <c:pt idx="3">
                  <c:v>2010</c:v>
                </c:pt>
              </c:numCache>
            </c:numRef>
          </c:cat>
          <c:val>
            <c:numRef>
              <c:f>Sheet4!$C$19:$C$22</c:f>
              <c:numCache>
                <c:formatCode>General</c:formatCode>
                <c:ptCount val="4"/>
                <c:pt idx="0">
                  <c:v>6</c:v>
                </c:pt>
                <c:pt idx="1">
                  <c:v>9</c:v>
                </c:pt>
                <c:pt idx="2">
                  <c:v>2</c:v>
                </c:pt>
                <c:pt idx="3">
                  <c:v>5</c:v>
                </c:pt>
              </c:numCache>
            </c:numRef>
          </c:val>
          <c:smooth val="0"/>
        </c:ser>
        <c:dLbls>
          <c:showLegendKey val="0"/>
          <c:showVal val="0"/>
          <c:showCatName val="0"/>
          <c:showSerName val="0"/>
          <c:showPercent val="0"/>
          <c:showBubbleSize val="0"/>
        </c:dLbls>
        <c:marker val="1"/>
        <c:smooth val="0"/>
        <c:axId val="231867904"/>
        <c:axId val="229553216"/>
      </c:lineChart>
      <c:catAx>
        <c:axId val="230191104"/>
        <c:scaling>
          <c:orientation val="minMax"/>
        </c:scaling>
        <c:delete val="0"/>
        <c:axPos val="b"/>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lt-LT"/>
          </a:p>
        </c:txPr>
        <c:crossAx val="229552640"/>
        <c:crosses val="autoZero"/>
        <c:auto val="1"/>
        <c:lblAlgn val="ctr"/>
        <c:lblOffset val="100"/>
        <c:noMultiLvlLbl val="0"/>
      </c:catAx>
      <c:valAx>
        <c:axId val="229552640"/>
        <c:scaling>
          <c:orientation val="minMax"/>
        </c:scaling>
        <c:delete val="0"/>
        <c:axPos val="l"/>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lt-LT"/>
          </a:p>
        </c:txPr>
        <c:crossAx val="230191104"/>
        <c:crosses val="autoZero"/>
        <c:crossBetween val="between"/>
      </c:valAx>
      <c:valAx>
        <c:axId val="229553216"/>
        <c:scaling>
          <c:orientation val="minMax"/>
        </c:scaling>
        <c:delete val="0"/>
        <c:axPos val="r"/>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lt-LT"/>
          </a:p>
        </c:txPr>
        <c:crossAx val="231867904"/>
        <c:crosses val="max"/>
        <c:crossBetween val="between"/>
      </c:valAx>
      <c:catAx>
        <c:axId val="231867904"/>
        <c:scaling>
          <c:orientation val="minMax"/>
        </c:scaling>
        <c:delete val="1"/>
        <c:axPos val="b"/>
        <c:numFmt formatCode="General" sourceLinked="1"/>
        <c:majorTickMark val="out"/>
        <c:minorTickMark val="none"/>
        <c:tickLblPos val="nextTo"/>
        <c:crossAx val="229553216"/>
        <c:crosses val="autoZero"/>
        <c:auto val="1"/>
        <c:lblAlgn val="ctr"/>
        <c:lblOffset val="100"/>
        <c:noMultiLvlLbl val="0"/>
      </c:catAx>
      <c:spPr>
        <a:noFill/>
        <a:ln>
          <a:noFill/>
        </a:ln>
      </c:spPr>
    </c:plotArea>
    <c:legend>
      <c:legendPos val="r"/>
      <c:layout>
        <c:manualLayout>
          <c:xMode val="edge"/>
          <c:yMode val="edge"/>
          <c:x val="6.9444444444444441E-3"/>
          <c:y val="0.88922061825605136"/>
          <c:w val="0.79027777777777775"/>
          <c:h val="0.11044765237678623"/>
        </c:manualLayout>
      </c:layout>
      <c:overlay val="0"/>
      <c:txPr>
        <a:bodyPr/>
        <a:lstStyle/>
        <a:p>
          <a:pPr>
            <a:defRPr>
              <a:latin typeface="Times New Roman" pitchFamily="18" charset="0"/>
              <a:cs typeface="Times New Roman" pitchFamily="18" charset="0"/>
            </a:defRPr>
          </a:pPr>
          <a:endParaRPr lang="lt-LT"/>
        </a:p>
      </c:txPr>
    </c:legend>
    <c:plotVisOnly val="1"/>
    <c:dispBlanksAs val="gap"/>
    <c:showDLblsOverMax val="0"/>
  </c:chart>
  <c:spPr>
    <a:noFill/>
    <a:ln>
      <a:noFill/>
    </a:ln>
  </c:sp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dPt>
            <c:idx val="0"/>
            <c:invertIfNegative val="0"/>
            <c:bubble3D val="0"/>
            <c:spPr>
              <a:solidFill>
                <a:schemeClr val="accent6">
                  <a:lumMod val="75000"/>
                </a:schemeClr>
              </a:solidFill>
            </c:spPr>
          </c:dPt>
          <c:dPt>
            <c:idx val="1"/>
            <c:invertIfNegative val="0"/>
            <c:bubble3D val="0"/>
            <c:spPr>
              <a:solidFill>
                <a:schemeClr val="accent6">
                  <a:lumMod val="75000"/>
                </a:schemeClr>
              </a:solidFill>
            </c:spPr>
          </c:dPt>
          <c:dPt>
            <c:idx val="2"/>
            <c:invertIfNegative val="0"/>
            <c:bubble3D val="0"/>
            <c:spPr>
              <a:solidFill>
                <a:schemeClr val="accent6">
                  <a:lumMod val="75000"/>
                </a:schemeClr>
              </a:solidFill>
            </c:spPr>
          </c:dPt>
          <c:dPt>
            <c:idx val="3"/>
            <c:invertIfNegative val="0"/>
            <c:bubble3D val="0"/>
            <c:spPr>
              <a:solidFill>
                <a:schemeClr val="accent6">
                  <a:lumMod val="75000"/>
                </a:schemeClr>
              </a:solidFill>
            </c:spPr>
          </c:dPt>
          <c:dPt>
            <c:idx val="4"/>
            <c:invertIfNegative val="0"/>
            <c:bubble3D val="0"/>
            <c:spPr>
              <a:solidFill>
                <a:srgbClr val="9BE5EF"/>
              </a:solidFill>
            </c:spPr>
          </c:dPt>
          <c:dPt>
            <c:idx val="5"/>
            <c:invertIfNegative val="0"/>
            <c:bubble3D val="0"/>
            <c:spPr>
              <a:solidFill>
                <a:srgbClr val="9BE5EF"/>
              </a:solidFill>
            </c:spPr>
          </c:dPt>
          <c:dPt>
            <c:idx val="6"/>
            <c:invertIfNegative val="0"/>
            <c:bubble3D val="0"/>
            <c:spPr>
              <a:solidFill>
                <a:srgbClr val="9BE5EF"/>
              </a:solidFill>
            </c:spPr>
          </c:dPt>
          <c:dPt>
            <c:idx val="7"/>
            <c:invertIfNegative val="0"/>
            <c:bubble3D val="0"/>
            <c:spPr>
              <a:solidFill>
                <a:srgbClr val="9BE5EF"/>
              </a:solidFill>
            </c:spPr>
          </c:dPt>
          <c:dPt>
            <c:idx val="8"/>
            <c:invertIfNegative val="0"/>
            <c:bubble3D val="0"/>
            <c:spPr>
              <a:solidFill>
                <a:srgbClr val="9BE5EF"/>
              </a:solidFill>
            </c:spPr>
          </c:dPt>
          <c:dPt>
            <c:idx val="9"/>
            <c:invertIfNegative val="0"/>
            <c:bubble3D val="0"/>
            <c:spPr>
              <a:solidFill>
                <a:srgbClr val="9BE5EF"/>
              </a:solidFill>
            </c:spPr>
          </c:dPt>
          <c:dPt>
            <c:idx val="10"/>
            <c:invertIfNegative val="0"/>
            <c:bubble3D val="0"/>
            <c:spPr>
              <a:solidFill>
                <a:srgbClr val="9BE5EF"/>
              </a:solidFill>
            </c:spPr>
          </c:dPt>
          <c:dPt>
            <c:idx val="11"/>
            <c:invertIfNegative val="0"/>
            <c:bubble3D val="0"/>
            <c:spPr>
              <a:solidFill>
                <a:srgbClr val="9BE5EF"/>
              </a:solidFill>
            </c:spPr>
          </c:dPt>
          <c:dPt>
            <c:idx val="12"/>
            <c:invertIfNegative val="0"/>
            <c:bubble3D val="0"/>
            <c:spPr>
              <a:solidFill>
                <a:srgbClr val="9BE5EF"/>
              </a:solidFill>
            </c:spPr>
          </c:dPt>
          <c:dPt>
            <c:idx val="13"/>
            <c:invertIfNegative val="0"/>
            <c:bubble3D val="0"/>
            <c:spPr>
              <a:solidFill>
                <a:srgbClr val="C0E43C"/>
              </a:solidFill>
            </c:spPr>
          </c:dPt>
          <c:dPt>
            <c:idx val="14"/>
            <c:invertIfNegative val="0"/>
            <c:bubble3D val="0"/>
            <c:spPr>
              <a:solidFill>
                <a:srgbClr val="C0E43C"/>
              </a:solidFill>
            </c:spPr>
          </c:dPt>
          <c:dPt>
            <c:idx val="15"/>
            <c:invertIfNegative val="0"/>
            <c:bubble3D val="0"/>
            <c:spPr>
              <a:solidFill>
                <a:srgbClr val="C0E43C"/>
              </a:solidFill>
            </c:spPr>
          </c:dPt>
          <c:dPt>
            <c:idx val="16"/>
            <c:invertIfNegative val="0"/>
            <c:bubble3D val="0"/>
            <c:spPr>
              <a:solidFill>
                <a:schemeClr val="accent6">
                  <a:lumMod val="50000"/>
                </a:schemeClr>
              </a:solidFill>
            </c:spPr>
          </c:dPt>
          <c:dPt>
            <c:idx val="17"/>
            <c:invertIfNegative val="0"/>
            <c:bubble3D val="0"/>
            <c:spPr>
              <a:solidFill>
                <a:srgbClr val="C0E43C"/>
              </a:solidFill>
            </c:spPr>
          </c:dPt>
          <c:dPt>
            <c:idx val="18"/>
            <c:invertIfNegative val="0"/>
            <c:bubble3D val="0"/>
            <c:spPr>
              <a:solidFill>
                <a:srgbClr val="C0E43C"/>
              </a:solidFill>
            </c:spPr>
          </c:dPt>
          <c:dPt>
            <c:idx val="19"/>
            <c:invertIfNegative val="0"/>
            <c:bubble3D val="0"/>
            <c:spPr>
              <a:solidFill>
                <a:srgbClr val="C0E43C"/>
              </a:solidFill>
            </c:spPr>
          </c:dPt>
          <c:dPt>
            <c:idx val="20"/>
            <c:invertIfNegative val="0"/>
            <c:bubble3D val="0"/>
            <c:spPr>
              <a:solidFill>
                <a:srgbClr val="C0E43C"/>
              </a:solidFill>
            </c:spPr>
          </c:dPt>
          <c:dPt>
            <c:idx val="21"/>
            <c:invertIfNegative val="0"/>
            <c:bubble3D val="0"/>
            <c:spPr>
              <a:solidFill>
                <a:srgbClr val="C0E43C"/>
              </a:solidFill>
            </c:spPr>
          </c:dPt>
          <c:dPt>
            <c:idx val="22"/>
            <c:invertIfNegative val="0"/>
            <c:bubble3D val="0"/>
            <c:spPr>
              <a:solidFill>
                <a:srgbClr val="C0E43C"/>
              </a:solidFill>
            </c:spPr>
          </c:dPt>
          <c:dPt>
            <c:idx val="23"/>
            <c:invertIfNegative val="0"/>
            <c:bubble3D val="0"/>
            <c:spPr>
              <a:solidFill>
                <a:srgbClr val="C0E43C"/>
              </a:solidFill>
            </c:spPr>
          </c:dPt>
          <c:dPt>
            <c:idx val="24"/>
            <c:invertIfNegative val="0"/>
            <c:bubble3D val="0"/>
            <c:spPr>
              <a:solidFill>
                <a:schemeClr val="tx2">
                  <a:lumMod val="75000"/>
                </a:schemeClr>
              </a:solidFill>
            </c:spPr>
          </c:dPt>
          <c:dPt>
            <c:idx val="25"/>
            <c:invertIfNegative val="0"/>
            <c:bubble3D val="0"/>
            <c:spPr>
              <a:solidFill>
                <a:schemeClr val="tx2">
                  <a:lumMod val="75000"/>
                </a:schemeClr>
              </a:solidFill>
            </c:spPr>
          </c:dPt>
          <c:dPt>
            <c:idx val="26"/>
            <c:invertIfNegative val="0"/>
            <c:bubble3D val="0"/>
            <c:spPr>
              <a:solidFill>
                <a:schemeClr val="tx2">
                  <a:lumMod val="75000"/>
                </a:schemeClr>
              </a:solidFill>
            </c:spPr>
          </c:dPt>
          <c:dPt>
            <c:idx val="27"/>
            <c:invertIfNegative val="0"/>
            <c:bubble3D val="0"/>
            <c:spPr>
              <a:solidFill>
                <a:schemeClr val="tx2">
                  <a:lumMod val="75000"/>
                </a:schemeClr>
              </a:solidFill>
            </c:spPr>
          </c:dPt>
          <c:cat>
            <c:strRef>
              <c:f>'Suminis inovacijų indeksas ES'!$F$1:$F$28</c:f>
              <c:strCache>
                <c:ptCount val="28"/>
                <c:pt idx="0">
                  <c:v>Latvija</c:v>
                </c:pt>
                <c:pt idx="1">
                  <c:v>Bulgarija</c:v>
                </c:pt>
                <c:pt idx="2">
                  <c:v>Lietuva</c:v>
                </c:pt>
                <c:pt idx="3">
                  <c:v>Rumunija</c:v>
                </c:pt>
                <c:pt idx="4">
                  <c:v>Lenkija</c:v>
                </c:pt>
                <c:pt idx="5">
                  <c:v>Slovakija</c:v>
                </c:pt>
                <c:pt idx="6">
                  <c:v>Malta</c:v>
                </c:pt>
                <c:pt idx="7">
                  <c:v>Graikija</c:v>
                </c:pt>
                <c:pt idx="8">
                  <c:v>Vengrija</c:v>
                </c:pt>
                <c:pt idx="9">
                  <c:v>Ispanija</c:v>
                </c:pt>
                <c:pt idx="10">
                  <c:v>Čekija</c:v>
                </c:pt>
                <c:pt idx="11">
                  <c:v>Portugalija</c:v>
                </c:pt>
                <c:pt idx="12">
                  <c:v>Italija</c:v>
                </c:pt>
                <c:pt idx="13">
                  <c:v>Estija</c:v>
                </c:pt>
                <c:pt idx="14">
                  <c:v>Kipras</c:v>
                </c:pt>
                <c:pt idx="15">
                  <c:v>Slovėnija</c:v>
                </c:pt>
                <c:pt idx="16">
                  <c:v>ES 27</c:v>
                </c:pt>
                <c:pt idx="17">
                  <c:v>Prancūzija</c:v>
                </c:pt>
                <c:pt idx="18">
                  <c:v>Airija</c:v>
                </c:pt>
                <c:pt idx="19">
                  <c:v>Liuksemburgas</c:v>
                </c:pt>
                <c:pt idx="20">
                  <c:v>Austrija</c:v>
                </c:pt>
                <c:pt idx="21">
                  <c:v>Nyderlandai</c:v>
                </c:pt>
                <c:pt idx="22">
                  <c:v>Jungtinė Karalystė</c:v>
                </c:pt>
                <c:pt idx="23">
                  <c:v>Belgija</c:v>
                </c:pt>
                <c:pt idx="24">
                  <c:v>Suomija</c:v>
                </c:pt>
                <c:pt idx="25">
                  <c:v>Vokietija</c:v>
                </c:pt>
                <c:pt idx="26">
                  <c:v>Danija</c:v>
                </c:pt>
                <c:pt idx="27">
                  <c:v>Švedija</c:v>
                </c:pt>
              </c:strCache>
            </c:strRef>
          </c:cat>
          <c:val>
            <c:numRef>
              <c:f>'Suminis inovacijų indeksas ES'!$G$1:$G$28</c:f>
              <c:numCache>
                <c:formatCode>General</c:formatCode>
                <c:ptCount val="28"/>
                <c:pt idx="0">
                  <c:v>0.23</c:v>
                </c:pt>
                <c:pt idx="1">
                  <c:v>0.23899999999999999</c:v>
                </c:pt>
                <c:pt idx="2">
                  <c:v>0.255</c:v>
                </c:pt>
                <c:pt idx="3">
                  <c:v>0.26300000000000001</c:v>
                </c:pt>
                <c:pt idx="4">
                  <c:v>0.29599999999999999</c:v>
                </c:pt>
                <c:pt idx="5">
                  <c:v>0.30499999999999999</c:v>
                </c:pt>
                <c:pt idx="6">
                  <c:v>0.34</c:v>
                </c:pt>
                <c:pt idx="7">
                  <c:v>0.34300000000000003</c:v>
                </c:pt>
                <c:pt idx="8">
                  <c:v>0.35199999999999998</c:v>
                </c:pt>
                <c:pt idx="9">
                  <c:v>0.40600000000000003</c:v>
                </c:pt>
                <c:pt idx="10">
                  <c:v>0.436</c:v>
                </c:pt>
                <c:pt idx="11">
                  <c:v>0.438</c:v>
                </c:pt>
                <c:pt idx="12">
                  <c:v>0.441</c:v>
                </c:pt>
                <c:pt idx="13">
                  <c:v>0.496</c:v>
                </c:pt>
                <c:pt idx="14">
                  <c:v>0.50900000000000001</c:v>
                </c:pt>
                <c:pt idx="15">
                  <c:v>0.52100000000000002</c:v>
                </c:pt>
                <c:pt idx="16">
                  <c:v>0.53900000000000003</c:v>
                </c:pt>
                <c:pt idx="17">
                  <c:v>0.55800000000000005</c:v>
                </c:pt>
                <c:pt idx="18">
                  <c:v>0.58199999999999996</c:v>
                </c:pt>
                <c:pt idx="19">
                  <c:v>0.59499999999999997</c:v>
                </c:pt>
                <c:pt idx="20">
                  <c:v>0.59499999999999997</c:v>
                </c:pt>
                <c:pt idx="21">
                  <c:v>0.59599999999999997</c:v>
                </c:pt>
                <c:pt idx="22">
                  <c:v>0.62</c:v>
                </c:pt>
                <c:pt idx="23">
                  <c:v>0.621</c:v>
                </c:pt>
                <c:pt idx="24">
                  <c:v>0.69099999999999995</c:v>
                </c:pt>
                <c:pt idx="25">
                  <c:v>0.7</c:v>
                </c:pt>
                <c:pt idx="26">
                  <c:v>0.72399999999999998</c:v>
                </c:pt>
                <c:pt idx="27">
                  <c:v>0.755</c:v>
                </c:pt>
              </c:numCache>
            </c:numRef>
          </c:val>
        </c:ser>
        <c:dLbls>
          <c:showLegendKey val="0"/>
          <c:showVal val="0"/>
          <c:showCatName val="0"/>
          <c:showSerName val="0"/>
          <c:showPercent val="0"/>
          <c:showBubbleSize val="0"/>
        </c:dLbls>
        <c:gapWidth val="150"/>
        <c:axId val="231827968"/>
        <c:axId val="229554944"/>
      </c:barChart>
      <c:catAx>
        <c:axId val="231827968"/>
        <c:scaling>
          <c:orientation val="minMax"/>
        </c:scaling>
        <c:delete val="0"/>
        <c:axPos val="b"/>
        <c:majorTickMark val="out"/>
        <c:minorTickMark val="none"/>
        <c:tickLblPos val="nextTo"/>
        <c:txPr>
          <a:bodyPr/>
          <a:lstStyle/>
          <a:p>
            <a:pPr>
              <a:defRPr sz="1000">
                <a:latin typeface="Times New Roman" pitchFamily="18" charset="0"/>
                <a:cs typeface="Times New Roman" pitchFamily="18" charset="0"/>
              </a:defRPr>
            </a:pPr>
            <a:endParaRPr lang="lt-LT"/>
          </a:p>
        </c:txPr>
        <c:crossAx val="229554944"/>
        <c:crosses val="autoZero"/>
        <c:auto val="1"/>
        <c:lblAlgn val="ctr"/>
        <c:lblOffset val="100"/>
        <c:noMultiLvlLbl val="0"/>
      </c:catAx>
      <c:valAx>
        <c:axId val="229554944"/>
        <c:scaling>
          <c:orientation val="minMax"/>
        </c:scaling>
        <c:delete val="0"/>
        <c:axPos val="l"/>
        <c:majorGridlines/>
        <c:numFmt formatCode="General" sourceLinked="1"/>
        <c:majorTickMark val="out"/>
        <c:minorTickMark val="none"/>
        <c:tickLblPos val="nextTo"/>
        <c:spPr>
          <a:noFill/>
        </c:spPr>
        <c:txPr>
          <a:bodyPr/>
          <a:lstStyle/>
          <a:p>
            <a:pPr>
              <a:defRPr>
                <a:latin typeface="Times New Roman" pitchFamily="18" charset="0"/>
                <a:cs typeface="Times New Roman" pitchFamily="18" charset="0"/>
              </a:defRPr>
            </a:pPr>
            <a:endParaRPr lang="lt-LT"/>
          </a:p>
        </c:txPr>
        <c:crossAx val="231827968"/>
        <c:crosses val="autoZero"/>
        <c:crossBetween val="between"/>
      </c:valAx>
      <c:spPr>
        <a:noFill/>
        <a:ln>
          <a:noFill/>
        </a:ln>
      </c:spPr>
    </c:plotArea>
    <c:plotVisOnly val="1"/>
    <c:dispBlanksAs val="gap"/>
    <c:showDLblsOverMax val="0"/>
  </c:chart>
  <c:spPr>
    <a:noFill/>
    <a:ln>
      <a:noFill/>
    </a:ln>
  </c:spPr>
  <c:externalData r:id="rId1">
    <c:autoUpdate val="0"/>
  </c:externalData>
  <c:userShapes r:id="rId2"/>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323613919844719"/>
          <c:y val="4.5197732801486187E-2"/>
          <c:w val="0.85574046491829603"/>
          <c:h val="0.70287836350696631"/>
        </c:manualLayout>
      </c:layout>
      <c:barChart>
        <c:barDir val="col"/>
        <c:grouping val="clustered"/>
        <c:varyColors val="0"/>
        <c:ser>
          <c:idx val="0"/>
          <c:order val="0"/>
          <c:tx>
            <c:strRef>
              <c:f>Sheet2!$B$1</c:f>
              <c:strCache>
                <c:ptCount val="1"/>
                <c:pt idx="0">
                  <c:v>0-4 metų</c:v>
                </c:pt>
              </c:strCache>
            </c:strRef>
          </c:tx>
          <c:spPr>
            <a:solidFill>
              <a:schemeClr val="accent6">
                <a:lumMod val="75000"/>
              </a:schemeClr>
            </a:solidFill>
          </c:spPr>
          <c:invertIfNegative val="0"/>
          <c:cat>
            <c:strRef>
              <c:f>Sheet2!$A$2:$A$10</c:f>
              <c:strCache>
                <c:ptCount val="9"/>
                <c:pt idx="0">
                  <c:v>Bulgarija</c:v>
                </c:pt>
                <c:pt idx="1">
                  <c:v>Rumunija</c:v>
                </c:pt>
                <c:pt idx="2">
                  <c:v>Lietuva</c:v>
                </c:pt>
                <c:pt idx="3">
                  <c:v>Latvija</c:v>
                </c:pt>
                <c:pt idx="4">
                  <c:v>ES 27</c:v>
                </c:pt>
                <c:pt idx="5">
                  <c:v>Suomija</c:v>
                </c:pt>
                <c:pt idx="6">
                  <c:v>Danija</c:v>
                </c:pt>
                <c:pt idx="7">
                  <c:v>Vokietija</c:v>
                </c:pt>
                <c:pt idx="8">
                  <c:v>Švedija</c:v>
                </c:pt>
              </c:strCache>
            </c:strRef>
          </c:cat>
          <c:val>
            <c:numRef>
              <c:f>Sheet2!$B$2:$B$10</c:f>
              <c:numCache>
                <c:formatCode>0.000</c:formatCode>
                <c:ptCount val="9"/>
                <c:pt idx="0">
                  <c:v>2.0449999999999999</c:v>
                </c:pt>
                <c:pt idx="1">
                  <c:v>3.8130000000000002</c:v>
                </c:pt>
                <c:pt idx="2">
                  <c:v>7.3559999999999999</c:v>
                </c:pt>
                <c:pt idx="3">
                  <c:v>12</c:v>
                </c:pt>
                <c:pt idx="4">
                  <c:v>17.789814814814818</c:v>
                </c:pt>
                <c:pt idx="5">
                  <c:v>23.369</c:v>
                </c:pt>
                <c:pt idx="6">
                  <c:v>43.116999999999997</c:v>
                </c:pt>
                <c:pt idx="7">
                  <c:v>22.143000000000001</c:v>
                </c:pt>
                <c:pt idx="8">
                  <c:v>28.591000000000001</c:v>
                </c:pt>
              </c:numCache>
            </c:numRef>
          </c:val>
        </c:ser>
        <c:ser>
          <c:idx val="1"/>
          <c:order val="1"/>
          <c:tx>
            <c:strRef>
              <c:f>Sheet2!$C$1</c:f>
              <c:strCache>
                <c:ptCount val="1"/>
                <c:pt idx="0">
                  <c:v>5-7 metų</c:v>
                </c:pt>
              </c:strCache>
            </c:strRef>
          </c:tx>
          <c:spPr>
            <a:solidFill>
              <a:srgbClr val="9BE5EF"/>
            </a:solidFill>
          </c:spPr>
          <c:invertIfNegative val="0"/>
          <c:cat>
            <c:strRef>
              <c:f>Sheet2!$A$2:$A$10</c:f>
              <c:strCache>
                <c:ptCount val="9"/>
                <c:pt idx="0">
                  <c:v>Bulgarija</c:v>
                </c:pt>
                <c:pt idx="1">
                  <c:v>Rumunija</c:v>
                </c:pt>
                <c:pt idx="2">
                  <c:v>Lietuva</c:v>
                </c:pt>
                <c:pt idx="3">
                  <c:v>Latvija</c:v>
                </c:pt>
                <c:pt idx="4">
                  <c:v>ES 27</c:v>
                </c:pt>
                <c:pt idx="5">
                  <c:v>Suomija</c:v>
                </c:pt>
                <c:pt idx="6">
                  <c:v>Danija</c:v>
                </c:pt>
                <c:pt idx="7">
                  <c:v>Vokietija</c:v>
                </c:pt>
                <c:pt idx="8">
                  <c:v>Švedija</c:v>
                </c:pt>
              </c:strCache>
            </c:strRef>
          </c:cat>
          <c:val>
            <c:numRef>
              <c:f>Sheet2!$C$2:$C$10</c:f>
              <c:numCache>
                <c:formatCode>0.000</c:formatCode>
                <c:ptCount val="9"/>
                <c:pt idx="0">
                  <c:v>2.6680000000000001</c:v>
                </c:pt>
                <c:pt idx="1">
                  <c:v>4.6959999999999997</c:v>
                </c:pt>
                <c:pt idx="2">
                  <c:v>8.2859999999999996</c:v>
                </c:pt>
                <c:pt idx="3">
                  <c:v>14.667</c:v>
                </c:pt>
                <c:pt idx="4">
                  <c:v>24.274703703703715</c:v>
                </c:pt>
                <c:pt idx="5">
                  <c:v>29.776</c:v>
                </c:pt>
                <c:pt idx="6">
                  <c:v>51.46</c:v>
                </c:pt>
                <c:pt idx="7">
                  <c:v>35.969000000000001</c:v>
                </c:pt>
                <c:pt idx="8">
                  <c:v>41.9</c:v>
                </c:pt>
              </c:numCache>
            </c:numRef>
          </c:val>
        </c:ser>
        <c:ser>
          <c:idx val="2"/>
          <c:order val="2"/>
          <c:tx>
            <c:strRef>
              <c:f>Sheet2!$D$1</c:f>
              <c:strCache>
                <c:ptCount val="1"/>
                <c:pt idx="0">
                  <c:v>8-10 metų</c:v>
                </c:pt>
              </c:strCache>
            </c:strRef>
          </c:tx>
          <c:spPr>
            <a:solidFill>
              <a:schemeClr val="tx2">
                <a:lumMod val="75000"/>
              </a:schemeClr>
            </a:solidFill>
          </c:spPr>
          <c:invertIfNegative val="0"/>
          <c:cat>
            <c:strRef>
              <c:f>Sheet2!$A$2:$A$10</c:f>
              <c:strCache>
                <c:ptCount val="9"/>
                <c:pt idx="0">
                  <c:v>Bulgarija</c:v>
                </c:pt>
                <c:pt idx="1">
                  <c:v>Rumunija</c:v>
                </c:pt>
                <c:pt idx="2">
                  <c:v>Lietuva</c:v>
                </c:pt>
                <c:pt idx="3">
                  <c:v>Latvija</c:v>
                </c:pt>
                <c:pt idx="4">
                  <c:v>ES 27</c:v>
                </c:pt>
                <c:pt idx="5">
                  <c:v>Suomija</c:v>
                </c:pt>
                <c:pt idx="6">
                  <c:v>Danija</c:v>
                </c:pt>
                <c:pt idx="7">
                  <c:v>Vokietija</c:v>
                </c:pt>
                <c:pt idx="8">
                  <c:v>Švedija</c:v>
                </c:pt>
              </c:strCache>
            </c:strRef>
          </c:cat>
          <c:val>
            <c:numRef>
              <c:f>Sheet2!$D$2:$D$10</c:f>
              <c:numCache>
                <c:formatCode>0.000</c:formatCode>
                <c:ptCount val="9"/>
                <c:pt idx="0">
                  <c:v>3.2919999999999998</c:v>
                </c:pt>
                <c:pt idx="1">
                  <c:v>5.7850000000000001</c:v>
                </c:pt>
                <c:pt idx="2">
                  <c:v>9.2159999999999993</c:v>
                </c:pt>
                <c:pt idx="3">
                  <c:v>17.335000000000001</c:v>
                </c:pt>
                <c:pt idx="4">
                  <c:v>30.782148148148149</c:v>
                </c:pt>
                <c:pt idx="5">
                  <c:v>36.182000000000002</c:v>
                </c:pt>
                <c:pt idx="6">
                  <c:v>59.804000000000002</c:v>
                </c:pt>
                <c:pt idx="7">
                  <c:v>49.795000000000002</c:v>
                </c:pt>
                <c:pt idx="8">
                  <c:v>55.209000000000003</c:v>
                </c:pt>
              </c:numCache>
            </c:numRef>
          </c:val>
        </c:ser>
        <c:ser>
          <c:idx val="3"/>
          <c:order val="3"/>
          <c:tx>
            <c:strRef>
              <c:f>Sheet2!$E$1</c:f>
              <c:strCache>
                <c:ptCount val="1"/>
                <c:pt idx="0">
                  <c:v>11-15 metų</c:v>
                </c:pt>
              </c:strCache>
            </c:strRef>
          </c:tx>
          <c:spPr>
            <a:solidFill>
              <a:srgbClr val="C0E43C"/>
            </a:solidFill>
          </c:spPr>
          <c:invertIfNegative val="0"/>
          <c:cat>
            <c:strRef>
              <c:f>Sheet2!$A$2:$A$10</c:f>
              <c:strCache>
                <c:ptCount val="9"/>
                <c:pt idx="0">
                  <c:v>Bulgarija</c:v>
                </c:pt>
                <c:pt idx="1">
                  <c:v>Rumunija</c:v>
                </c:pt>
                <c:pt idx="2">
                  <c:v>Lietuva</c:v>
                </c:pt>
                <c:pt idx="3">
                  <c:v>Latvija</c:v>
                </c:pt>
                <c:pt idx="4">
                  <c:v>ES 27</c:v>
                </c:pt>
                <c:pt idx="5">
                  <c:v>Suomija</c:v>
                </c:pt>
                <c:pt idx="6">
                  <c:v>Danija</c:v>
                </c:pt>
                <c:pt idx="7">
                  <c:v>Vokietija</c:v>
                </c:pt>
                <c:pt idx="8">
                  <c:v>Švedija</c:v>
                </c:pt>
              </c:strCache>
            </c:strRef>
          </c:cat>
          <c:val>
            <c:numRef>
              <c:f>Sheet2!$E$2:$E$10</c:f>
              <c:numCache>
                <c:formatCode>0.000</c:formatCode>
                <c:ptCount val="9"/>
                <c:pt idx="0">
                  <c:v>3.915</c:v>
                </c:pt>
                <c:pt idx="1">
                  <c:v>7.1260000000000003</c:v>
                </c:pt>
                <c:pt idx="2">
                  <c:v>10.146000000000001</c:v>
                </c:pt>
                <c:pt idx="3">
                  <c:v>20.001999999999999</c:v>
                </c:pt>
                <c:pt idx="4">
                  <c:v>37.382037037037037</c:v>
                </c:pt>
                <c:pt idx="5">
                  <c:v>42.588999999999999</c:v>
                </c:pt>
                <c:pt idx="6">
                  <c:v>68.147000000000006</c:v>
                </c:pt>
                <c:pt idx="7">
                  <c:v>63.621000000000002</c:v>
                </c:pt>
                <c:pt idx="8">
                  <c:v>68.518000000000001</c:v>
                </c:pt>
              </c:numCache>
            </c:numRef>
          </c:val>
        </c:ser>
        <c:ser>
          <c:idx val="4"/>
          <c:order val="4"/>
          <c:tx>
            <c:strRef>
              <c:f>Sheet2!$F$1</c:f>
              <c:strCache>
                <c:ptCount val="1"/>
                <c:pt idx="0">
                  <c:v>&gt; 15 metų</c:v>
                </c:pt>
              </c:strCache>
            </c:strRef>
          </c:tx>
          <c:spPr>
            <a:solidFill>
              <a:schemeClr val="accent6">
                <a:lumMod val="60000"/>
                <a:lumOff val="40000"/>
              </a:schemeClr>
            </a:solidFill>
          </c:spPr>
          <c:invertIfNegative val="0"/>
          <c:cat>
            <c:strRef>
              <c:f>Sheet2!$A$2:$A$10</c:f>
              <c:strCache>
                <c:ptCount val="9"/>
                <c:pt idx="0">
                  <c:v>Bulgarija</c:v>
                </c:pt>
                <c:pt idx="1">
                  <c:v>Rumunija</c:v>
                </c:pt>
                <c:pt idx="2">
                  <c:v>Lietuva</c:v>
                </c:pt>
                <c:pt idx="3">
                  <c:v>Latvija</c:v>
                </c:pt>
                <c:pt idx="4">
                  <c:v>ES 27</c:v>
                </c:pt>
                <c:pt idx="5">
                  <c:v>Suomija</c:v>
                </c:pt>
                <c:pt idx="6">
                  <c:v>Danija</c:v>
                </c:pt>
                <c:pt idx="7">
                  <c:v>Vokietija</c:v>
                </c:pt>
                <c:pt idx="8">
                  <c:v>Švedija</c:v>
                </c:pt>
              </c:strCache>
            </c:strRef>
          </c:cat>
          <c:val>
            <c:numRef>
              <c:f>Sheet2!$F$2:$F$10</c:f>
              <c:numCache>
                <c:formatCode>0.000</c:formatCode>
                <c:ptCount val="9"/>
                <c:pt idx="0">
                  <c:v>4.5389999999999997</c:v>
                </c:pt>
                <c:pt idx="1">
                  <c:v>8.7780000000000005</c:v>
                </c:pt>
                <c:pt idx="2">
                  <c:v>11.076000000000001</c:v>
                </c:pt>
                <c:pt idx="3">
                  <c:v>22.67</c:v>
                </c:pt>
                <c:pt idx="4">
                  <c:v>44.151666666666678</c:v>
                </c:pt>
                <c:pt idx="5">
                  <c:v>48.996000000000002</c:v>
                </c:pt>
                <c:pt idx="6">
                  <c:v>76.489999999999995</c:v>
                </c:pt>
                <c:pt idx="7">
                  <c:v>77.447000000000003</c:v>
                </c:pt>
                <c:pt idx="8">
                  <c:v>81.826999999999998</c:v>
                </c:pt>
              </c:numCache>
            </c:numRef>
          </c:val>
        </c:ser>
        <c:dLbls>
          <c:showLegendKey val="0"/>
          <c:showVal val="0"/>
          <c:showCatName val="0"/>
          <c:showSerName val="0"/>
          <c:showPercent val="0"/>
          <c:showBubbleSize val="0"/>
        </c:dLbls>
        <c:gapWidth val="150"/>
        <c:axId val="231822336"/>
        <c:axId val="231727680"/>
      </c:barChart>
      <c:catAx>
        <c:axId val="231822336"/>
        <c:scaling>
          <c:orientation val="minMax"/>
        </c:scaling>
        <c:delete val="0"/>
        <c:axPos val="b"/>
        <c:majorTickMark val="out"/>
        <c:minorTickMark val="none"/>
        <c:tickLblPos val="nextTo"/>
        <c:txPr>
          <a:bodyPr/>
          <a:lstStyle/>
          <a:p>
            <a:pPr>
              <a:defRPr>
                <a:latin typeface="Times New Roman" pitchFamily="18" charset="0"/>
                <a:cs typeface="Times New Roman" pitchFamily="18" charset="0"/>
              </a:defRPr>
            </a:pPr>
            <a:endParaRPr lang="lt-LT"/>
          </a:p>
        </c:txPr>
        <c:crossAx val="231727680"/>
        <c:crosses val="autoZero"/>
        <c:auto val="1"/>
        <c:lblAlgn val="ctr"/>
        <c:lblOffset val="100"/>
        <c:noMultiLvlLbl val="0"/>
      </c:catAx>
      <c:valAx>
        <c:axId val="231727680"/>
        <c:scaling>
          <c:orientation val="minMax"/>
        </c:scaling>
        <c:delete val="0"/>
        <c:axPos val="l"/>
        <c:majorGridlines/>
        <c:numFmt formatCode="0.000" sourceLinked="1"/>
        <c:majorTickMark val="out"/>
        <c:minorTickMark val="none"/>
        <c:tickLblPos val="nextTo"/>
        <c:txPr>
          <a:bodyPr/>
          <a:lstStyle/>
          <a:p>
            <a:pPr>
              <a:defRPr>
                <a:latin typeface="Times New Roman" pitchFamily="18" charset="0"/>
                <a:cs typeface="Times New Roman" pitchFamily="18" charset="0"/>
              </a:defRPr>
            </a:pPr>
            <a:endParaRPr lang="lt-LT"/>
          </a:p>
        </c:txPr>
        <c:crossAx val="231822336"/>
        <c:crosses val="autoZero"/>
        <c:crossBetween val="between"/>
      </c:valAx>
      <c:spPr>
        <a:noFill/>
      </c:spPr>
    </c:plotArea>
    <c:legend>
      <c:legendPos val="r"/>
      <c:layout>
        <c:manualLayout>
          <c:xMode val="edge"/>
          <c:yMode val="edge"/>
          <c:x val="4.800349679742965E-2"/>
          <c:y val="0.91262954054146506"/>
          <c:w val="0.6631736472750962"/>
          <c:h val="8.6147884313687875E-2"/>
        </c:manualLayout>
      </c:layout>
      <c:overlay val="0"/>
      <c:txPr>
        <a:bodyPr/>
        <a:lstStyle/>
        <a:p>
          <a:pPr>
            <a:defRPr>
              <a:latin typeface="Times New Roman" pitchFamily="18" charset="0"/>
              <a:cs typeface="Times New Roman" pitchFamily="18" charset="0"/>
            </a:defRPr>
          </a:pPr>
          <a:endParaRPr lang="lt-LT"/>
        </a:p>
      </c:txPr>
    </c:legend>
    <c:plotVisOnly val="1"/>
    <c:dispBlanksAs val="gap"/>
    <c:showDLblsOverMax val="0"/>
  </c:chart>
  <c:spPr>
    <a:noFill/>
    <a:ln>
      <a:noFill/>
    </a:ln>
  </c:sp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C6D9961-65A9-4DF5-BD33-D703A45CD11C}" type="doc">
      <dgm:prSet loTypeId="urn:microsoft.com/office/officeart/2005/8/layout/cycle5" loCatId="cycle" qsTypeId="urn:microsoft.com/office/officeart/2005/8/quickstyle/simple1" qsCatId="simple" csTypeId="urn:microsoft.com/office/officeart/2005/8/colors/accent1_2" csCatId="accent1" phldr="1"/>
      <dgm:spPr/>
      <dgm:t>
        <a:bodyPr/>
        <a:lstStyle/>
        <a:p>
          <a:endParaRPr lang="lt-LT"/>
        </a:p>
      </dgm:t>
    </dgm:pt>
    <dgm:pt modelId="{48D6E198-118C-4A54-A05A-EE13319936DB}">
      <dgm:prSet phldrT="[Text]" custT="1"/>
      <dgm:spPr>
        <a:solidFill>
          <a:schemeClr val="tx2">
            <a:lumMod val="75000"/>
          </a:schemeClr>
        </a:solidFill>
      </dgm:spPr>
      <dgm:t>
        <a:bodyPr/>
        <a:lstStyle/>
        <a:p>
          <a:pPr algn="ctr"/>
          <a:r>
            <a:rPr lang="lt-LT" sz="1000">
              <a:latin typeface="Times New Roman" pitchFamily="18" charset="0"/>
              <a:cs typeface="Times New Roman" pitchFamily="18" charset="0"/>
            </a:rPr>
            <a:t>Namų ūkiai, verslo vienetai</a:t>
          </a:r>
        </a:p>
      </dgm:t>
    </dgm:pt>
    <dgm:pt modelId="{7BFD88EF-160D-4CD1-8942-3A68FF4484F6}" type="parTrans" cxnId="{D62FDAC8-DB48-49A4-9150-52B71194F9F3}">
      <dgm:prSet/>
      <dgm:spPr/>
      <dgm:t>
        <a:bodyPr/>
        <a:lstStyle/>
        <a:p>
          <a:pPr algn="ctr"/>
          <a:endParaRPr lang="lt-LT" sz="1000">
            <a:latin typeface="Times New Roman" pitchFamily="18" charset="0"/>
            <a:cs typeface="Times New Roman" pitchFamily="18" charset="0"/>
          </a:endParaRPr>
        </a:p>
      </dgm:t>
    </dgm:pt>
    <dgm:pt modelId="{A8721929-F6FE-4EE1-A749-8B421DDD7FB4}" type="sibTrans" cxnId="{D62FDAC8-DB48-49A4-9150-52B71194F9F3}">
      <dgm:prSet/>
      <dgm:spPr>
        <a:ln w="12700">
          <a:solidFill>
            <a:schemeClr val="tx2">
              <a:lumMod val="75000"/>
            </a:schemeClr>
          </a:solidFill>
        </a:ln>
      </dgm:spPr>
      <dgm:t>
        <a:bodyPr/>
        <a:lstStyle/>
        <a:p>
          <a:pPr algn="ctr"/>
          <a:endParaRPr lang="lt-LT" sz="1000">
            <a:latin typeface="Times New Roman" pitchFamily="18" charset="0"/>
            <a:cs typeface="Times New Roman" pitchFamily="18" charset="0"/>
          </a:endParaRPr>
        </a:p>
      </dgm:t>
    </dgm:pt>
    <dgm:pt modelId="{B850EB2E-8614-41D7-8959-38F734E31C11}">
      <dgm:prSet phldrT="[Text]" custT="1"/>
      <dgm:spPr>
        <a:solidFill>
          <a:schemeClr val="tx2">
            <a:lumMod val="75000"/>
          </a:schemeClr>
        </a:solidFill>
      </dgm:spPr>
      <dgm:t>
        <a:bodyPr/>
        <a:lstStyle/>
        <a:p>
          <a:pPr algn="ctr"/>
          <a:endParaRPr lang="lt-LT" sz="1000">
            <a:latin typeface="Times New Roman" pitchFamily="18" charset="0"/>
            <a:cs typeface="Times New Roman" pitchFamily="18" charset="0"/>
          </a:endParaRPr>
        </a:p>
        <a:p>
          <a:pPr algn="ctr"/>
          <a:r>
            <a:rPr lang="lt-LT" sz="1000">
              <a:latin typeface="Times New Roman" pitchFamily="18" charset="0"/>
              <a:cs typeface="Times New Roman" pitchFamily="18" charset="0"/>
            </a:rPr>
            <a:t>Instituciniai investuotojai</a:t>
          </a:r>
        </a:p>
        <a:p>
          <a:pPr algn="ctr"/>
          <a:endParaRPr lang="lt-LT" sz="1000">
            <a:latin typeface="Times New Roman" pitchFamily="18" charset="0"/>
            <a:cs typeface="Times New Roman" pitchFamily="18" charset="0"/>
          </a:endParaRPr>
        </a:p>
      </dgm:t>
    </dgm:pt>
    <dgm:pt modelId="{C68893E3-E214-4824-9B43-F7F8631C9F08}" type="parTrans" cxnId="{068B8A78-B237-49E9-BFB4-F5F98F90B96A}">
      <dgm:prSet/>
      <dgm:spPr/>
      <dgm:t>
        <a:bodyPr/>
        <a:lstStyle/>
        <a:p>
          <a:pPr algn="ctr"/>
          <a:endParaRPr lang="lt-LT" sz="1000">
            <a:latin typeface="Times New Roman" pitchFamily="18" charset="0"/>
            <a:cs typeface="Times New Roman" pitchFamily="18" charset="0"/>
          </a:endParaRPr>
        </a:p>
      </dgm:t>
    </dgm:pt>
    <dgm:pt modelId="{11D83F88-EBE4-4BC1-A388-9E8F209A3C6C}" type="sibTrans" cxnId="{068B8A78-B237-49E9-BFB4-F5F98F90B96A}">
      <dgm:prSet/>
      <dgm:spPr>
        <a:solidFill>
          <a:schemeClr val="tx2">
            <a:lumMod val="75000"/>
          </a:schemeClr>
        </a:solidFill>
        <a:ln w="12700">
          <a:solidFill>
            <a:schemeClr val="tx2">
              <a:lumMod val="75000"/>
            </a:schemeClr>
          </a:solidFill>
        </a:ln>
      </dgm:spPr>
      <dgm:t>
        <a:bodyPr/>
        <a:lstStyle/>
        <a:p>
          <a:pPr algn="ctr"/>
          <a:endParaRPr lang="lt-LT" sz="1000">
            <a:latin typeface="Times New Roman" pitchFamily="18" charset="0"/>
            <a:cs typeface="Times New Roman" pitchFamily="18" charset="0"/>
          </a:endParaRPr>
        </a:p>
      </dgm:t>
    </dgm:pt>
    <dgm:pt modelId="{5F7EE664-314E-4541-B21D-BB4FFA0B389E}">
      <dgm:prSet phldrT="[Text]" custT="1"/>
      <dgm:spPr>
        <a:solidFill>
          <a:schemeClr val="tx2">
            <a:lumMod val="75000"/>
          </a:schemeClr>
        </a:solidFill>
      </dgm:spPr>
      <dgm:t>
        <a:bodyPr/>
        <a:lstStyle/>
        <a:p>
          <a:pPr algn="ctr"/>
          <a:r>
            <a:rPr lang="lt-LT" sz="1000">
              <a:latin typeface="Times New Roman" pitchFamily="18" charset="0"/>
              <a:cs typeface="Times New Roman" pitchFamily="18" charset="0"/>
            </a:rPr>
            <a:t>RKF</a:t>
          </a:r>
        </a:p>
      </dgm:t>
    </dgm:pt>
    <dgm:pt modelId="{D2E88AD7-5FF9-4ECA-84E2-BD79A183688E}" type="parTrans" cxnId="{96800C4A-6D9F-4854-AA08-F6C0FB6BB189}">
      <dgm:prSet/>
      <dgm:spPr/>
      <dgm:t>
        <a:bodyPr/>
        <a:lstStyle/>
        <a:p>
          <a:pPr algn="ctr"/>
          <a:endParaRPr lang="lt-LT" sz="1000">
            <a:latin typeface="Times New Roman" pitchFamily="18" charset="0"/>
            <a:cs typeface="Times New Roman" pitchFamily="18" charset="0"/>
          </a:endParaRPr>
        </a:p>
      </dgm:t>
    </dgm:pt>
    <dgm:pt modelId="{9AB49A5C-365B-4D42-A66B-25ACCDECBAAB}" type="sibTrans" cxnId="{96800C4A-6D9F-4854-AA08-F6C0FB6BB189}">
      <dgm:prSet/>
      <dgm:spPr>
        <a:solidFill>
          <a:schemeClr val="tx2">
            <a:lumMod val="75000"/>
          </a:schemeClr>
        </a:solidFill>
        <a:ln w="12700">
          <a:solidFill>
            <a:schemeClr val="tx2">
              <a:lumMod val="75000"/>
            </a:schemeClr>
          </a:solidFill>
        </a:ln>
      </dgm:spPr>
      <dgm:t>
        <a:bodyPr/>
        <a:lstStyle/>
        <a:p>
          <a:pPr algn="ctr"/>
          <a:endParaRPr lang="lt-LT" sz="1000">
            <a:latin typeface="Times New Roman" pitchFamily="18" charset="0"/>
            <a:cs typeface="Times New Roman" pitchFamily="18" charset="0"/>
          </a:endParaRPr>
        </a:p>
      </dgm:t>
    </dgm:pt>
    <dgm:pt modelId="{411F87DF-0B98-4B8F-8563-D38D2BFD934D}">
      <dgm:prSet phldrT="[Text]" custT="1"/>
      <dgm:spPr>
        <a:solidFill>
          <a:schemeClr val="tx2">
            <a:lumMod val="75000"/>
          </a:schemeClr>
        </a:solidFill>
      </dgm:spPr>
      <dgm:t>
        <a:bodyPr/>
        <a:lstStyle/>
        <a:p>
          <a:pPr algn="ctr"/>
          <a:r>
            <a:rPr lang="lt-LT" sz="1000">
              <a:latin typeface="Times New Roman" pitchFamily="18" charset="0"/>
              <a:cs typeface="Times New Roman" pitchFamily="18" charset="0"/>
            </a:rPr>
            <a:t>Didelį augimo potencialą, turinčios įmonės</a:t>
          </a:r>
        </a:p>
      </dgm:t>
    </dgm:pt>
    <dgm:pt modelId="{F96EE11E-40F8-4272-822A-81796FCA487F}" type="parTrans" cxnId="{16FA7F65-D185-4F6F-80A1-C17312AE42FC}">
      <dgm:prSet/>
      <dgm:spPr/>
      <dgm:t>
        <a:bodyPr/>
        <a:lstStyle/>
        <a:p>
          <a:pPr algn="ctr"/>
          <a:endParaRPr lang="lt-LT" sz="1000">
            <a:latin typeface="Times New Roman" pitchFamily="18" charset="0"/>
            <a:cs typeface="Times New Roman" pitchFamily="18" charset="0"/>
          </a:endParaRPr>
        </a:p>
      </dgm:t>
    </dgm:pt>
    <dgm:pt modelId="{6C594D15-333D-4BB1-8AB9-70D5AD90CC54}" type="sibTrans" cxnId="{16FA7F65-D185-4F6F-80A1-C17312AE42FC}">
      <dgm:prSet/>
      <dgm:spPr>
        <a:solidFill>
          <a:schemeClr val="tx2">
            <a:lumMod val="75000"/>
          </a:schemeClr>
        </a:solidFill>
        <a:ln w="12700">
          <a:solidFill>
            <a:schemeClr val="tx2">
              <a:lumMod val="75000"/>
            </a:schemeClr>
          </a:solidFill>
        </a:ln>
      </dgm:spPr>
      <dgm:t>
        <a:bodyPr/>
        <a:lstStyle/>
        <a:p>
          <a:pPr algn="ctr"/>
          <a:endParaRPr lang="lt-LT" sz="1000">
            <a:latin typeface="Times New Roman" pitchFamily="18" charset="0"/>
            <a:cs typeface="Times New Roman" pitchFamily="18" charset="0"/>
          </a:endParaRPr>
        </a:p>
      </dgm:t>
    </dgm:pt>
    <dgm:pt modelId="{41B6000E-58AB-4497-867B-52EC18EF572D}">
      <dgm:prSet phldrT="[Text]" custT="1"/>
      <dgm:spPr>
        <a:solidFill>
          <a:schemeClr val="tx2">
            <a:lumMod val="75000"/>
          </a:schemeClr>
        </a:solidFill>
      </dgm:spPr>
      <dgm:t>
        <a:bodyPr/>
        <a:lstStyle/>
        <a:p>
          <a:pPr algn="ctr"/>
          <a:r>
            <a:rPr lang="lt-LT" sz="1000">
              <a:latin typeface="Times New Roman" pitchFamily="18" charset="0"/>
              <a:cs typeface="Times New Roman" pitchFamily="18" charset="0"/>
            </a:rPr>
            <a:t>Instituciniai investuotojai</a:t>
          </a:r>
        </a:p>
      </dgm:t>
    </dgm:pt>
    <dgm:pt modelId="{C102B1DE-BBA3-4E3F-90EA-3781D7755370}" type="parTrans" cxnId="{DE135985-9BFB-4768-9131-4F0DFAD29F75}">
      <dgm:prSet/>
      <dgm:spPr/>
      <dgm:t>
        <a:bodyPr/>
        <a:lstStyle/>
        <a:p>
          <a:pPr algn="ctr"/>
          <a:endParaRPr lang="lt-LT" sz="1000">
            <a:latin typeface="Times New Roman" pitchFamily="18" charset="0"/>
            <a:cs typeface="Times New Roman" pitchFamily="18" charset="0"/>
          </a:endParaRPr>
        </a:p>
      </dgm:t>
    </dgm:pt>
    <dgm:pt modelId="{6641E0AD-F949-45E9-82A0-7B24CB86310F}" type="sibTrans" cxnId="{DE135985-9BFB-4768-9131-4F0DFAD29F75}">
      <dgm:prSet/>
      <dgm:spPr>
        <a:solidFill>
          <a:schemeClr val="tx2">
            <a:lumMod val="75000"/>
          </a:schemeClr>
        </a:solidFill>
        <a:ln w="12700">
          <a:solidFill>
            <a:schemeClr val="tx2">
              <a:lumMod val="75000"/>
            </a:schemeClr>
          </a:solidFill>
        </a:ln>
      </dgm:spPr>
      <dgm:t>
        <a:bodyPr/>
        <a:lstStyle/>
        <a:p>
          <a:pPr algn="ctr"/>
          <a:endParaRPr lang="lt-LT" sz="1000">
            <a:latin typeface="Times New Roman" pitchFamily="18" charset="0"/>
            <a:cs typeface="Times New Roman" pitchFamily="18" charset="0"/>
          </a:endParaRPr>
        </a:p>
      </dgm:t>
    </dgm:pt>
    <dgm:pt modelId="{071E9D70-298B-4EB2-8E33-1395801A290F}">
      <dgm:prSet custT="1"/>
      <dgm:spPr>
        <a:solidFill>
          <a:schemeClr val="tx2">
            <a:lumMod val="75000"/>
          </a:schemeClr>
        </a:solidFill>
      </dgm:spPr>
      <dgm:t>
        <a:bodyPr/>
        <a:lstStyle/>
        <a:p>
          <a:pPr algn="ctr"/>
          <a:r>
            <a:rPr lang="lt-LT" sz="1000">
              <a:latin typeface="Times New Roman" pitchFamily="18" charset="0"/>
              <a:cs typeface="Times New Roman" pitchFamily="18" charset="0"/>
            </a:rPr>
            <a:t>RKF</a:t>
          </a:r>
        </a:p>
      </dgm:t>
    </dgm:pt>
    <dgm:pt modelId="{105F95C5-846A-4C82-B6B5-4A1F351B0937}" type="parTrans" cxnId="{C6B7AC52-CD78-4FDE-804E-175FDDFF7599}">
      <dgm:prSet/>
      <dgm:spPr/>
      <dgm:t>
        <a:bodyPr/>
        <a:lstStyle/>
        <a:p>
          <a:pPr algn="ctr"/>
          <a:endParaRPr lang="lt-LT" sz="1000">
            <a:latin typeface="Times New Roman" pitchFamily="18" charset="0"/>
            <a:cs typeface="Times New Roman" pitchFamily="18" charset="0"/>
          </a:endParaRPr>
        </a:p>
      </dgm:t>
    </dgm:pt>
    <dgm:pt modelId="{D66A351A-CD92-4FBF-A413-6D31CC0CC595}" type="sibTrans" cxnId="{C6B7AC52-CD78-4FDE-804E-175FDDFF7599}">
      <dgm:prSet/>
      <dgm:spPr>
        <a:solidFill>
          <a:schemeClr val="tx2">
            <a:lumMod val="75000"/>
          </a:schemeClr>
        </a:solidFill>
        <a:ln w="12700">
          <a:solidFill>
            <a:schemeClr val="tx2">
              <a:lumMod val="75000"/>
            </a:schemeClr>
          </a:solidFill>
        </a:ln>
      </dgm:spPr>
      <dgm:t>
        <a:bodyPr/>
        <a:lstStyle/>
        <a:p>
          <a:pPr algn="ctr"/>
          <a:endParaRPr lang="lt-LT" sz="1000">
            <a:latin typeface="Times New Roman" pitchFamily="18" charset="0"/>
            <a:cs typeface="Times New Roman" pitchFamily="18" charset="0"/>
          </a:endParaRPr>
        </a:p>
      </dgm:t>
    </dgm:pt>
    <dgm:pt modelId="{01420259-1A13-4A5E-964E-2D0581F7F937}" type="pres">
      <dgm:prSet presAssocID="{FC6D9961-65A9-4DF5-BD33-D703A45CD11C}" presName="cycle" presStyleCnt="0">
        <dgm:presLayoutVars>
          <dgm:dir/>
          <dgm:resizeHandles val="exact"/>
        </dgm:presLayoutVars>
      </dgm:prSet>
      <dgm:spPr/>
      <dgm:t>
        <a:bodyPr/>
        <a:lstStyle/>
        <a:p>
          <a:endParaRPr lang="lt-LT"/>
        </a:p>
      </dgm:t>
    </dgm:pt>
    <dgm:pt modelId="{448C26EA-C110-458C-82C1-CF574EDEADB3}" type="pres">
      <dgm:prSet presAssocID="{48D6E198-118C-4A54-A05A-EE13319936DB}" presName="node" presStyleLbl="node1" presStyleIdx="0" presStyleCnt="6">
        <dgm:presLayoutVars>
          <dgm:bulletEnabled val="1"/>
        </dgm:presLayoutVars>
      </dgm:prSet>
      <dgm:spPr/>
      <dgm:t>
        <a:bodyPr/>
        <a:lstStyle/>
        <a:p>
          <a:endParaRPr lang="lt-LT"/>
        </a:p>
      </dgm:t>
    </dgm:pt>
    <dgm:pt modelId="{A9761751-B30C-4082-BE45-EB2533945078}" type="pres">
      <dgm:prSet presAssocID="{48D6E198-118C-4A54-A05A-EE13319936DB}" presName="spNode" presStyleCnt="0"/>
      <dgm:spPr/>
    </dgm:pt>
    <dgm:pt modelId="{DEE5EEE2-E45B-47E8-9015-FE4AB2921AF3}" type="pres">
      <dgm:prSet presAssocID="{A8721929-F6FE-4EE1-A749-8B421DDD7FB4}" presName="sibTrans" presStyleLbl="sibTrans1D1" presStyleIdx="0" presStyleCnt="6"/>
      <dgm:spPr/>
      <dgm:t>
        <a:bodyPr/>
        <a:lstStyle/>
        <a:p>
          <a:endParaRPr lang="lt-LT"/>
        </a:p>
      </dgm:t>
    </dgm:pt>
    <dgm:pt modelId="{1B177848-49AC-4F1F-B853-0AD9503A17E7}" type="pres">
      <dgm:prSet presAssocID="{B850EB2E-8614-41D7-8959-38F734E31C11}" presName="node" presStyleLbl="node1" presStyleIdx="1" presStyleCnt="6">
        <dgm:presLayoutVars>
          <dgm:bulletEnabled val="1"/>
        </dgm:presLayoutVars>
      </dgm:prSet>
      <dgm:spPr/>
      <dgm:t>
        <a:bodyPr/>
        <a:lstStyle/>
        <a:p>
          <a:endParaRPr lang="lt-LT"/>
        </a:p>
      </dgm:t>
    </dgm:pt>
    <dgm:pt modelId="{65DDE7CC-F608-469B-AFA5-201C5FBEA5F7}" type="pres">
      <dgm:prSet presAssocID="{B850EB2E-8614-41D7-8959-38F734E31C11}" presName="spNode" presStyleCnt="0"/>
      <dgm:spPr/>
    </dgm:pt>
    <dgm:pt modelId="{FD193F24-1F57-4ED5-8C96-C5E428C6EFCB}" type="pres">
      <dgm:prSet presAssocID="{11D83F88-EBE4-4BC1-A388-9E8F209A3C6C}" presName="sibTrans" presStyleLbl="sibTrans1D1" presStyleIdx="1" presStyleCnt="6"/>
      <dgm:spPr/>
      <dgm:t>
        <a:bodyPr/>
        <a:lstStyle/>
        <a:p>
          <a:endParaRPr lang="lt-LT"/>
        </a:p>
      </dgm:t>
    </dgm:pt>
    <dgm:pt modelId="{8FB2640E-3147-4E1E-908E-A707EDD7447A}" type="pres">
      <dgm:prSet presAssocID="{5F7EE664-314E-4541-B21D-BB4FFA0B389E}" presName="node" presStyleLbl="node1" presStyleIdx="2" presStyleCnt="6">
        <dgm:presLayoutVars>
          <dgm:bulletEnabled val="1"/>
        </dgm:presLayoutVars>
      </dgm:prSet>
      <dgm:spPr/>
      <dgm:t>
        <a:bodyPr/>
        <a:lstStyle/>
        <a:p>
          <a:endParaRPr lang="lt-LT"/>
        </a:p>
      </dgm:t>
    </dgm:pt>
    <dgm:pt modelId="{05D19A47-BDF9-4F6A-A524-3976FF186660}" type="pres">
      <dgm:prSet presAssocID="{5F7EE664-314E-4541-B21D-BB4FFA0B389E}" presName="spNode" presStyleCnt="0"/>
      <dgm:spPr/>
    </dgm:pt>
    <dgm:pt modelId="{F0CB93C0-8D1B-4F11-9F28-037E883B2E48}" type="pres">
      <dgm:prSet presAssocID="{9AB49A5C-365B-4D42-A66B-25ACCDECBAAB}" presName="sibTrans" presStyleLbl="sibTrans1D1" presStyleIdx="2" presStyleCnt="6"/>
      <dgm:spPr/>
      <dgm:t>
        <a:bodyPr/>
        <a:lstStyle/>
        <a:p>
          <a:endParaRPr lang="lt-LT"/>
        </a:p>
      </dgm:t>
    </dgm:pt>
    <dgm:pt modelId="{2D494EC4-EBD7-415B-AFFD-BA69FC4E3AF3}" type="pres">
      <dgm:prSet presAssocID="{411F87DF-0B98-4B8F-8563-D38D2BFD934D}" presName="node" presStyleLbl="node1" presStyleIdx="3" presStyleCnt="6">
        <dgm:presLayoutVars>
          <dgm:bulletEnabled val="1"/>
        </dgm:presLayoutVars>
      </dgm:prSet>
      <dgm:spPr/>
      <dgm:t>
        <a:bodyPr/>
        <a:lstStyle/>
        <a:p>
          <a:endParaRPr lang="lt-LT"/>
        </a:p>
      </dgm:t>
    </dgm:pt>
    <dgm:pt modelId="{3878523D-5129-4BAA-98CE-05D134AD0C7E}" type="pres">
      <dgm:prSet presAssocID="{411F87DF-0B98-4B8F-8563-D38D2BFD934D}" presName="spNode" presStyleCnt="0"/>
      <dgm:spPr/>
    </dgm:pt>
    <dgm:pt modelId="{7BE46BA8-6C8F-4FAF-B5E7-C00FCE84990A}" type="pres">
      <dgm:prSet presAssocID="{6C594D15-333D-4BB1-8AB9-70D5AD90CC54}" presName="sibTrans" presStyleLbl="sibTrans1D1" presStyleIdx="3" presStyleCnt="6"/>
      <dgm:spPr/>
      <dgm:t>
        <a:bodyPr/>
        <a:lstStyle/>
        <a:p>
          <a:endParaRPr lang="lt-LT"/>
        </a:p>
      </dgm:t>
    </dgm:pt>
    <dgm:pt modelId="{A2ACDB13-3C53-4ADE-849E-88BFC06C4301}" type="pres">
      <dgm:prSet presAssocID="{071E9D70-298B-4EB2-8E33-1395801A290F}" presName="node" presStyleLbl="node1" presStyleIdx="4" presStyleCnt="6">
        <dgm:presLayoutVars>
          <dgm:bulletEnabled val="1"/>
        </dgm:presLayoutVars>
      </dgm:prSet>
      <dgm:spPr/>
      <dgm:t>
        <a:bodyPr/>
        <a:lstStyle/>
        <a:p>
          <a:endParaRPr lang="lt-LT"/>
        </a:p>
      </dgm:t>
    </dgm:pt>
    <dgm:pt modelId="{9D7930BA-8C16-47C4-9293-A83F9E59E6F9}" type="pres">
      <dgm:prSet presAssocID="{071E9D70-298B-4EB2-8E33-1395801A290F}" presName="spNode" presStyleCnt="0"/>
      <dgm:spPr/>
    </dgm:pt>
    <dgm:pt modelId="{9796A539-CB77-43BE-A964-F9FD9D357738}" type="pres">
      <dgm:prSet presAssocID="{D66A351A-CD92-4FBF-A413-6D31CC0CC595}" presName="sibTrans" presStyleLbl="sibTrans1D1" presStyleIdx="4" presStyleCnt="6"/>
      <dgm:spPr/>
      <dgm:t>
        <a:bodyPr/>
        <a:lstStyle/>
        <a:p>
          <a:endParaRPr lang="lt-LT"/>
        </a:p>
      </dgm:t>
    </dgm:pt>
    <dgm:pt modelId="{F9E95E30-4878-43AC-B880-B136BF973205}" type="pres">
      <dgm:prSet presAssocID="{41B6000E-58AB-4497-867B-52EC18EF572D}" presName="node" presStyleLbl="node1" presStyleIdx="5" presStyleCnt="6">
        <dgm:presLayoutVars>
          <dgm:bulletEnabled val="1"/>
        </dgm:presLayoutVars>
      </dgm:prSet>
      <dgm:spPr/>
      <dgm:t>
        <a:bodyPr/>
        <a:lstStyle/>
        <a:p>
          <a:endParaRPr lang="lt-LT"/>
        </a:p>
      </dgm:t>
    </dgm:pt>
    <dgm:pt modelId="{F8F1124D-52AD-428F-A58B-2BBA7B5F14A1}" type="pres">
      <dgm:prSet presAssocID="{41B6000E-58AB-4497-867B-52EC18EF572D}" presName="spNode" presStyleCnt="0"/>
      <dgm:spPr/>
    </dgm:pt>
    <dgm:pt modelId="{3DD247F1-BD16-4D56-BA40-68F77C885461}" type="pres">
      <dgm:prSet presAssocID="{6641E0AD-F949-45E9-82A0-7B24CB86310F}" presName="sibTrans" presStyleLbl="sibTrans1D1" presStyleIdx="5" presStyleCnt="6"/>
      <dgm:spPr/>
      <dgm:t>
        <a:bodyPr/>
        <a:lstStyle/>
        <a:p>
          <a:endParaRPr lang="lt-LT"/>
        </a:p>
      </dgm:t>
    </dgm:pt>
  </dgm:ptLst>
  <dgm:cxnLst>
    <dgm:cxn modelId="{1F7053E7-C444-4066-BB3C-C345A2688398}" type="presOf" srcId="{48D6E198-118C-4A54-A05A-EE13319936DB}" destId="{448C26EA-C110-458C-82C1-CF574EDEADB3}" srcOrd="0" destOrd="0" presId="urn:microsoft.com/office/officeart/2005/8/layout/cycle5"/>
    <dgm:cxn modelId="{46D048AC-37B9-4EE3-B9C3-6F0AAB349E4A}" type="presOf" srcId="{A8721929-F6FE-4EE1-A749-8B421DDD7FB4}" destId="{DEE5EEE2-E45B-47E8-9015-FE4AB2921AF3}" srcOrd="0" destOrd="0" presId="urn:microsoft.com/office/officeart/2005/8/layout/cycle5"/>
    <dgm:cxn modelId="{D62FDAC8-DB48-49A4-9150-52B71194F9F3}" srcId="{FC6D9961-65A9-4DF5-BD33-D703A45CD11C}" destId="{48D6E198-118C-4A54-A05A-EE13319936DB}" srcOrd="0" destOrd="0" parTransId="{7BFD88EF-160D-4CD1-8942-3A68FF4484F6}" sibTransId="{A8721929-F6FE-4EE1-A749-8B421DDD7FB4}"/>
    <dgm:cxn modelId="{F091C81F-294C-405E-95DE-63E1500FF4AF}" type="presOf" srcId="{41B6000E-58AB-4497-867B-52EC18EF572D}" destId="{F9E95E30-4878-43AC-B880-B136BF973205}" srcOrd="0" destOrd="0" presId="urn:microsoft.com/office/officeart/2005/8/layout/cycle5"/>
    <dgm:cxn modelId="{EE316D81-4695-4FFD-B434-CCA80AB8EFC8}" type="presOf" srcId="{411F87DF-0B98-4B8F-8563-D38D2BFD934D}" destId="{2D494EC4-EBD7-415B-AFFD-BA69FC4E3AF3}" srcOrd="0" destOrd="0" presId="urn:microsoft.com/office/officeart/2005/8/layout/cycle5"/>
    <dgm:cxn modelId="{F932FD95-0AAE-4176-86FE-F7F500B26CE0}" type="presOf" srcId="{5F7EE664-314E-4541-B21D-BB4FFA0B389E}" destId="{8FB2640E-3147-4E1E-908E-A707EDD7447A}" srcOrd="0" destOrd="0" presId="urn:microsoft.com/office/officeart/2005/8/layout/cycle5"/>
    <dgm:cxn modelId="{42FB14D1-89C1-4137-A17B-3662A72F91E6}" type="presOf" srcId="{D66A351A-CD92-4FBF-A413-6D31CC0CC595}" destId="{9796A539-CB77-43BE-A964-F9FD9D357738}" srcOrd="0" destOrd="0" presId="urn:microsoft.com/office/officeart/2005/8/layout/cycle5"/>
    <dgm:cxn modelId="{3D93C2C2-49E0-4A40-B877-4E1BAC1400C3}" type="presOf" srcId="{6C594D15-333D-4BB1-8AB9-70D5AD90CC54}" destId="{7BE46BA8-6C8F-4FAF-B5E7-C00FCE84990A}" srcOrd="0" destOrd="0" presId="urn:microsoft.com/office/officeart/2005/8/layout/cycle5"/>
    <dgm:cxn modelId="{17DB9262-C805-464A-8DB8-B299EE423034}" type="presOf" srcId="{071E9D70-298B-4EB2-8E33-1395801A290F}" destId="{A2ACDB13-3C53-4ADE-849E-88BFC06C4301}" srcOrd="0" destOrd="0" presId="urn:microsoft.com/office/officeart/2005/8/layout/cycle5"/>
    <dgm:cxn modelId="{C630D34E-4CD1-4B9B-A927-4E12441211E2}" type="presOf" srcId="{B850EB2E-8614-41D7-8959-38F734E31C11}" destId="{1B177848-49AC-4F1F-B853-0AD9503A17E7}" srcOrd="0" destOrd="0" presId="urn:microsoft.com/office/officeart/2005/8/layout/cycle5"/>
    <dgm:cxn modelId="{C6B7AC52-CD78-4FDE-804E-175FDDFF7599}" srcId="{FC6D9961-65A9-4DF5-BD33-D703A45CD11C}" destId="{071E9D70-298B-4EB2-8E33-1395801A290F}" srcOrd="4" destOrd="0" parTransId="{105F95C5-846A-4C82-B6B5-4A1F351B0937}" sibTransId="{D66A351A-CD92-4FBF-A413-6D31CC0CC595}"/>
    <dgm:cxn modelId="{F809C869-FEF3-4148-B2F7-7D717C7199C6}" type="presOf" srcId="{11D83F88-EBE4-4BC1-A388-9E8F209A3C6C}" destId="{FD193F24-1F57-4ED5-8C96-C5E428C6EFCB}" srcOrd="0" destOrd="0" presId="urn:microsoft.com/office/officeart/2005/8/layout/cycle5"/>
    <dgm:cxn modelId="{0537FE52-62D9-4897-B408-D581C2DDF9C3}" type="presOf" srcId="{9AB49A5C-365B-4D42-A66B-25ACCDECBAAB}" destId="{F0CB93C0-8D1B-4F11-9F28-037E883B2E48}" srcOrd="0" destOrd="0" presId="urn:microsoft.com/office/officeart/2005/8/layout/cycle5"/>
    <dgm:cxn modelId="{068B8A78-B237-49E9-BFB4-F5F98F90B96A}" srcId="{FC6D9961-65A9-4DF5-BD33-D703A45CD11C}" destId="{B850EB2E-8614-41D7-8959-38F734E31C11}" srcOrd="1" destOrd="0" parTransId="{C68893E3-E214-4824-9B43-F7F8631C9F08}" sibTransId="{11D83F88-EBE4-4BC1-A388-9E8F209A3C6C}"/>
    <dgm:cxn modelId="{96800C4A-6D9F-4854-AA08-F6C0FB6BB189}" srcId="{FC6D9961-65A9-4DF5-BD33-D703A45CD11C}" destId="{5F7EE664-314E-4541-B21D-BB4FFA0B389E}" srcOrd="2" destOrd="0" parTransId="{D2E88AD7-5FF9-4ECA-84E2-BD79A183688E}" sibTransId="{9AB49A5C-365B-4D42-A66B-25ACCDECBAAB}"/>
    <dgm:cxn modelId="{5F8E2277-1683-4734-B304-E20D8C2487FC}" type="presOf" srcId="{FC6D9961-65A9-4DF5-BD33-D703A45CD11C}" destId="{01420259-1A13-4A5E-964E-2D0581F7F937}" srcOrd="0" destOrd="0" presId="urn:microsoft.com/office/officeart/2005/8/layout/cycle5"/>
    <dgm:cxn modelId="{16FA7F65-D185-4F6F-80A1-C17312AE42FC}" srcId="{FC6D9961-65A9-4DF5-BD33-D703A45CD11C}" destId="{411F87DF-0B98-4B8F-8563-D38D2BFD934D}" srcOrd="3" destOrd="0" parTransId="{F96EE11E-40F8-4272-822A-81796FCA487F}" sibTransId="{6C594D15-333D-4BB1-8AB9-70D5AD90CC54}"/>
    <dgm:cxn modelId="{DE135985-9BFB-4768-9131-4F0DFAD29F75}" srcId="{FC6D9961-65A9-4DF5-BD33-D703A45CD11C}" destId="{41B6000E-58AB-4497-867B-52EC18EF572D}" srcOrd="5" destOrd="0" parTransId="{C102B1DE-BBA3-4E3F-90EA-3781D7755370}" sibTransId="{6641E0AD-F949-45E9-82A0-7B24CB86310F}"/>
    <dgm:cxn modelId="{DDF51BCE-04F1-4DC3-8EC1-EFD9F024FB6B}" type="presOf" srcId="{6641E0AD-F949-45E9-82A0-7B24CB86310F}" destId="{3DD247F1-BD16-4D56-BA40-68F77C885461}" srcOrd="0" destOrd="0" presId="urn:microsoft.com/office/officeart/2005/8/layout/cycle5"/>
    <dgm:cxn modelId="{F4DC691A-9D26-4FEA-9F00-BD05B5FE8BBF}" type="presParOf" srcId="{01420259-1A13-4A5E-964E-2D0581F7F937}" destId="{448C26EA-C110-458C-82C1-CF574EDEADB3}" srcOrd="0" destOrd="0" presId="urn:microsoft.com/office/officeart/2005/8/layout/cycle5"/>
    <dgm:cxn modelId="{3D8CBEEB-92A5-4D49-83CD-D48BBD7BA660}" type="presParOf" srcId="{01420259-1A13-4A5E-964E-2D0581F7F937}" destId="{A9761751-B30C-4082-BE45-EB2533945078}" srcOrd="1" destOrd="0" presId="urn:microsoft.com/office/officeart/2005/8/layout/cycle5"/>
    <dgm:cxn modelId="{9EE33D11-42B9-45AE-88AD-A52550273302}" type="presParOf" srcId="{01420259-1A13-4A5E-964E-2D0581F7F937}" destId="{DEE5EEE2-E45B-47E8-9015-FE4AB2921AF3}" srcOrd="2" destOrd="0" presId="urn:microsoft.com/office/officeart/2005/8/layout/cycle5"/>
    <dgm:cxn modelId="{944AA3FD-4AB9-4DFE-912D-E6FCACE1CB7C}" type="presParOf" srcId="{01420259-1A13-4A5E-964E-2D0581F7F937}" destId="{1B177848-49AC-4F1F-B853-0AD9503A17E7}" srcOrd="3" destOrd="0" presId="urn:microsoft.com/office/officeart/2005/8/layout/cycle5"/>
    <dgm:cxn modelId="{F990ED60-D57D-4349-9567-3B390CA55EE8}" type="presParOf" srcId="{01420259-1A13-4A5E-964E-2D0581F7F937}" destId="{65DDE7CC-F608-469B-AFA5-201C5FBEA5F7}" srcOrd="4" destOrd="0" presId="urn:microsoft.com/office/officeart/2005/8/layout/cycle5"/>
    <dgm:cxn modelId="{11EB223D-5A3B-4610-A4F6-777D6CE01FE8}" type="presParOf" srcId="{01420259-1A13-4A5E-964E-2D0581F7F937}" destId="{FD193F24-1F57-4ED5-8C96-C5E428C6EFCB}" srcOrd="5" destOrd="0" presId="urn:microsoft.com/office/officeart/2005/8/layout/cycle5"/>
    <dgm:cxn modelId="{7D49A05D-F84D-4A03-8A4A-E52496B09665}" type="presParOf" srcId="{01420259-1A13-4A5E-964E-2D0581F7F937}" destId="{8FB2640E-3147-4E1E-908E-A707EDD7447A}" srcOrd="6" destOrd="0" presId="urn:microsoft.com/office/officeart/2005/8/layout/cycle5"/>
    <dgm:cxn modelId="{C886F089-F1D8-4E70-831C-8E0DDC7C8BF0}" type="presParOf" srcId="{01420259-1A13-4A5E-964E-2D0581F7F937}" destId="{05D19A47-BDF9-4F6A-A524-3976FF186660}" srcOrd="7" destOrd="0" presId="urn:microsoft.com/office/officeart/2005/8/layout/cycle5"/>
    <dgm:cxn modelId="{389D2C46-BAB9-4236-AA22-94780E31036A}" type="presParOf" srcId="{01420259-1A13-4A5E-964E-2D0581F7F937}" destId="{F0CB93C0-8D1B-4F11-9F28-037E883B2E48}" srcOrd="8" destOrd="0" presId="urn:microsoft.com/office/officeart/2005/8/layout/cycle5"/>
    <dgm:cxn modelId="{C7E9FE75-7224-460F-B48B-7BA245B9540C}" type="presParOf" srcId="{01420259-1A13-4A5E-964E-2D0581F7F937}" destId="{2D494EC4-EBD7-415B-AFFD-BA69FC4E3AF3}" srcOrd="9" destOrd="0" presId="urn:microsoft.com/office/officeart/2005/8/layout/cycle5"/>
    <dgm:cxn modelId="{16717F69-0C36-4D3E-996B-8069D6A39F39}" type="presParOf" srcId="{01420259-1A13-4A5E-964E-2D0581F7F937}" destId="{3878523D-5129-4BAA-98CE-05D134AD0C7E}" srcOrd="10" destOrd="0" presId="urn:microsoft.com/office/officeart/2005/8/layout/cycle5"/>
    <dgm:cxn modelId="{19EF7050-9FE7-4980-AADD-BA681CA0F437}" type="presParOf" srcId="{01420259-1A13-4A5E-964E-2D0581F7F937}" destId="{7BE46BA8-6C8F-4FAF-B5E7-C00FCE84990A}" srcOrd="11" destOrd="0" presId="urn:microsoft.com/office/officeart/2005/8/layout/cycle5"/>
    <dgm:cxn modelId="{4F9BD82B-5530-4AAC-9F9B-6A9339547A59}" type="presParOf" srcId="{01420259-1A13-4A5E-964E-2D0581F7F937}" destId="{A2ACDB13-3C53-4ADE-849E-88BFC06C4301}" srcOrd="12" destOrd="0" presId="urn:microsoft.com/office/officeart/2005/8/layout/cycle5"/>
    <dgm:cxn modelId="{1680E4C4-8023-4EEF-A3D2-1142C65CA20B}" type="presParOf" srcId="{01420259-1A13-4A5E-964E-2D0581F7F937}" destId="{9D7930BA-8C16-47C4-9293-A83F9E59E6F9}" srcOrd="13" destOrd="0" presId="urn:microsoft.com/office/officeart/2005/8/layout/cycle5"/>
    <dgm:cxn modelId="{B4BE40ED-7C0C-47B5-A0FE-D06D1A064588}" type="presParOf" srcId="{01420259-1A13-4A5E-964E-2D0581F7F937}" destId="{9796A539-CB77-43BE-A964-F9FD9D357738}" srcOrd="14" destOrd="0" presId="urn:microsoft.com/office/officeart/2005/8/layout/cycle5"/>
    <dgm:cxn modelId="{C5243E56-7654-45E1-BB1B-EE3944023161}" type="presParOf" srcId="{01420259-1A13-4A5E-964E-2D0581F7F937}" destId="{F9E95E30-4878-43AC-B880-B136BF973205}" srcOrd="15" destOrd="0" presId="urn:microsoft.com/office/officeart/2005/8/layout/cycle5"/>
    <dgm:cxn modelId="{8A3C5A83-9708-4C6C-90B0-B8559044B2CB}" type="presParOf" srcId="{01420259-1A13-4A5E-964E-2D0581F7F937}" destId="{F8F1124D-52AD-428F-A58B-2BBA7B5F14A1}" srcOrd="16" destOrd="0" presId="urn:microsoft.com/office/officeart/2005/8/layout/cycle5"/>
    <dgm:cxn modelId="{3D3ECA1F-284C-4DAE-B087-85CDCB017DA8}" type="presParOf" srcId="{01420259-1A13-4A5E-964E-2D0581F7F937}" destId="{3DD247F1-BD16-4D56-BA40-68F77C885461}" srcOrd="17" destOrd="0" presId="urn:microsoft.com/office/officeart/2005/8/layout/cycle5"/>
  </dgm:cxnLst>
  <dgm:bg/>
  <dgm:whole>
    <a:ln w="9525" cap="flat" cmpd="sng" algn="ctr">
      <a:solidFill>
        <a:schemeClr val="lt1">
          <a:hueOff val="0"/>
          <a:satOff val="0"/>
          <a:lumOff val="0"/>
        </a:schemeClr>
      </a:solidFill>
      <a:prstDash val="solid"/>
      <a:round/>
      <a:headEnd type="none" w="med" len="med"/>
      <a:tailEnd type="none" w="med" len="med"/>
    </a:ln>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48C26EA-C110-458C-82C1-CF574EDEADB3}">
      <dsp:nvSpPr>
        <dsp:cNvPr id="0" name=""/>
        <dsp:cNvSpPr/>
      </dsp:nvSpPr>
      <dsp:spPr>
        <a:xfrm>
          <a:off x="2312565" y="2598"/>
          <a:ext cx="861268" cy="559824"/>
        </a:xfrm>
        <a:prstGeom prst="roundRect">
          <a:avLst/>
        </a:prstGeom>
        <a:solidFill>
          <a:schemeClr val="tx2">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kern="1200">
              <a:latin typeface="Times New Roman" pitchFamily="18" charset="0"/>
              <a:cs typeface="Times New Roman" pitchFamily="18" charset="0"/>
            </a:rPr>
            <a:t>Namų ūkiai, verslo vienetai</a:t>
          </a:r>
        </a:p>
      </dsp:txBody>
      <dsp:txXfrm>
        <a:off x="2339893" y="29926"/>
        <a:ext cx="806612" cy="505168"/>
      </dsp:txXfrm>
    </dsp:sp>
    <dsp:sp modelId="{DEE5EEE2-E45B-47E8-9015-FE4AB2921AF3}">
      <dsp:nvSpPr>
        <dsp:cNvPr id="0" name=""/>
        <dsp:cNvSpPr/>
      </dsp:nvSpPr>
      <dsp:spPr>
        <a:xfrm>
          <a:off x="1425510" y="282510"/>
          <a:ext cx="2635379" cy="2635379"/>
        </a:xfrm>
        <a:custGeom>
          <a:avLst/>
          <a:gdLst/>
          <a:ahLst/>
          <a:cxnLst/>
          <a:rect l="0" t="0" r="0" b="0"/>
          <a:pathLst>
            <a:path>
              <a:moveTo>
                <a:pt x="1856408" y="115155"/>
              </a:moveTo>
              <a:arcTo wR="1317689" hR="1317689" stAng="17647904" swAng="922747"/>
            </a:path>
          </a:pathLst>
        </a:custGeom>
        <a:noFill/>
        <a:ln w="12700" cap="flat" cmpd="sng" algn="ctr">
          <a:solidFill>
            <a:schemeClr val="tx2">
              <a:lumMod val="75000"/>
            </a:schemeClr>
          </a:solidFill>
          <a:prstDash val="solid"/>
          <a:tailEnd type="arrow"/>
        </a:ln>
        <a:effectLst/>
      </dsp:spPr>
      <dsp:style>
        <a:lnRef idx="1">
          <a:scrgbClr r="0" g="0" b="0"/>
        </a:lnRef>
        <a:fillRef idx="0">
          <a:scrgbClr r="0" g="0" b="0"/>
        </a:fillRef>
        <a:effectRef idx="0">
          <a:scrgbClr r="0" g="0" b="0"/>
        </a:effectRef>
        <a:fontRef idx="minor"/>
      </dsp:style>
    </dsp:sp>
    <dsp:sp modelId="{1B177848-49AC-4F1F-B853-0AD9503A17E7}">
      <dsp:nvSpPr>
        <dsp:cNvPr id="0" name=""/>
        <dsp:cNvSpPr/>
      </dsp:nvSpPr>
      <dsp:spPr>
        <a:xfrm>
          <a:off x="3453718" y="661443"/>
          <a:ext cx="861268" cy="559824"/>
        </a:xfrm>
        <a:prstGeom prst="roundRect">
          <a:avLst/>
        </a:prstGeom>
        <a:solidFill>
          <a:schemeClr val="tx2">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endParaRPr lang="lt-LT" sz="1000" kern="1200">
            <a:latin typeface="Times New Roman" pitchFamily="18" charset="0"/>
            <a:cs typeface="Times New Roman" pitchFamily="18" charset="0"/>
          </a:endParaRPr>
        </a:p>
        <a:p>
          <a:pPr lvl="0" algn="ctr" defTabSz="444500">
            <a:lnSpc>
              <a:spcPct val="90000"/>
            </a:lnSpc>
            <a:spcBef>
              <a:spcPct val="0"/>
            </a:spcBef>
            <a:spcAft>
              <a:spcPct val="35000"/>
            </a:spcAft>
          </a:pPr>
          <a:r>
            <a:rPr lang="lt-LT" sz="1000" kern="1200">
              <a:latin typeface="Times New Roman" pitchFamily="18" charset="0"/>
              <a:cs typeface="Times New Roman" pitchFamily="18" charset="0"/>
            </a:rPr>
            <a:t>Instituciniai investuotojai</a:t>
          </a:r>
        </a:p>
        <a:p>
          <a:pPr lvl="0" algn="ctr" defTabSz="444500">
            <a:lnSpc>
              <a:spcPct val="90000"/>
            </a:lnSpc>
            <a:spcBef>
              <a:spcPct val="0"/>
            </a:spcBef>
            <a:spcAft>
              <a:spcPct val="35000"/>
            </a:spcAft>
          </a:pPr>
          <a:endParaRPr lang="lt-LT" sz="1000" kern="1200">
            <a:latin typeface="Times New Roman" pitchFamily="18" charset="0"/>
            <a:cs typeface="Times New Roman" pitchFamily="18" charset="0"/>
          </a:endParaRPr>
        </a:p>
      </dsp:txBody>
      <dsp:txXfrm>
        <a:off x="3481046" y="688771"/>
        <a:ext cx="806612" cy="505168"/>
      </dsp:txXfrm>
    </dsp:sp>
    <dsp:sp modelId="{FD193F24-1F57-4ED5-8C96-C5E428C6EFCB}">
      <dsp:nvSpPr>
        <dsp:cNvPr id="0" name=""/>
        <dsp:cNvSpPr/>
      </dsp:nvSpPr>
      <dsp:spPr>
        <a:xfrm>
          <a:off x="1425510" y="282510"/>
          <a:ext cx="2635379" cy="2635379"/>
        </a:xfrm>
        <a:custGeom>
          <a:avLst/>
          <a:gdLst/>
          <a:ahLst/>
          <a:cxnLst/>
          <a:rect l="0" t="0" r="0" b="0"/>
          <a:pathLst>
            <a:path>
              <a:moveTo>
                <a:pt x="2614870" y="1086111"/>
              </a:moveTo>
              <a:arcTo wR="1317689" hR="1317689" stAng="20992678" swAng="1214645"/>
            </a:path>
          </a:pathLst>
        </a:custGeom>
        <a:noFill/>
        <a:ln w="12700" cap="flat" cmpd="sng" algn="ctr">
          <a:solidFill>
            <a:schemeClr val="tx2">
              <a:lumMod val="75000"/>
            </a:schemeClr>
          </a:solidFill>
          <a:prstDash val="solid"/>
          <a:tailEnd type="arrow"/>
        </a:ln>
        <a:effectLst/>
      </dsp:spPr>
      <dsp:style>
        <a:lnRef idx="1">
          <a:scrgbClr r="0" g="0" b="0"/>
        </a:lnRef>
        <a:fillRef idx="0">
          <a:scrgbClr r="0" g="0" b="0"/>
        </a:fillRef>
        <a:effectRef idx="0">
          <a:scrgbClr r="0" g="0" b="0"/>
        </a:effectRef>
        <a:fontRef idx="minor"/>
      </dsp:style>
    </dsp:sp>
    <dsp:sp modelId="{8FB2640E-3147-4E1E-908E-A707EDD7447A}">
      <dsp:nvSpPr>
        <dsp:cNvPr id="0" name=""/>
        <dsp:cNvSpPr/>
      </dsp:nvSpPr>
      <dsp:spPr>
        <a:xfrm>
          <a:off x="3453718" y="1979132"/>
          <a:ext cx="861268" cy="559824"/>
        </a:xfrm>
        <a:prstGeom prst="roundRect">
          <a:avLst/>
        </a:prstGeom>
        <a:solidFill>
          <a:schemeClr val="tx2">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kern="1200">
              <a:latin typeface="Times New Roman" pitchFamily="18" charset="0"/>
              <a:cs typeface="Times New Roman" pitchFamily="18" charset="0"/>
            </a:rPr>
            <a:t>RKF</a:t>
          </a:r>
        </a:p>
      </dsp:txBody>
      <dsp:txXfrm>
        <a:off x="3481046" y="2006460"/>
        <a:ext cx="806612" cy="505168"/>
      </dsp:txXfrm>
    </dsp:sp>
    <dsp:sp modelId="{F0CB93C0-8D1B-4F11-9F28-037E883B2E48}">
      <dsp:nvSpPr>
        <dsp:cNvPr id="0" name=""/>
        <dsp:cNvSpPr/>
      </dsp:nvSpPr>
      <dsp:spPr>
        <a:xfrm>
          <a:off x="1425510" y="282510"/>
          <a:ext cx="2635379" cy="2635379"/>
        </a:xfrm>
        <a:custGeom>
          <a:avLst/>
          <a:gdLst/>
          <a:ahLst/>
          <a:cxnLst/>
          <a:rect l="0" t="0" r="0" b="0"/>
          <a:pathLst>
            <a:path>
              <a:moveTo>
                <a:pt x="2156035" y="2334292"/>
              </a:moveTo>
              <a:arcTo wR="1317689" hR="1317689" stAng="3029349" swAng="922747"/>
            </a:path>
          </a:pathLst>
        </a:custGeom>
        <a:noFill/>
        <a:ln w="12700" cap="flat" cmpd="sng" algn="ctr">
          <a:solidFill>
            <a:schemeClr val="tx2">
              <a:lumMod val="75000"/>
            </a:schemeClr>
          </a:solidFill>
          <a:prstDash val="solid"/>
          <a:tailEnd type="arrow"/>
        </a:ln>
        <a:effectLst/>
      </dsp:spPr>
      <dsp:style>
        <a:lnRef idx="1">
          <a:scrgbClr r="0" g="0" b="0"/>
        </a:lnRef>
        <a:fillRef idx="0">
          <a:scrgbClr r="0" g="0" b="0"/>
        </a:fillRef>
        <a:effectRef idx="0">
          <a:scrgbClr r="0" g="0" b="0"/>
        </a:effectRef>
        <a:fontRef idx="minor"/>
      </dsp:style>
    </dsp:sp>
    <dsp:sp modelId="{2D494EC4-EBD7-415B-AFFD-BA69FC4E3AF3}">
      <dsp:nvSpPr>
        <dsp:cNvPr id="0" name=""/>
        <dsp:cNvSpPr/>
      </dsp:nvSpPr>
      <dsp:spPr>
        <a:xfrm>
          <a:off x="2312565" y="2637977"/>
          <a:ext cx="861268" cy="559824"/>
        </a:xfrm>
        <a:prstGeom prst="roundRect">
          <a:avLst/>
        </a:prstGeom>
        <a:solidFill>
          <a:schemeClr val="tx2">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kern="1200">
              <a:latin typeface="Times New Roman" pitchFamily="18" charset="0"/>
              <a:cs typeface="Times New Roman" pitchFamily="18" charset="0"/>
            </a:rPr>
            <a:t>Didelį augimo potencialą, turinčios įmonės</a:t>
          </a:r>
        </a:p>
      </dsp:txBody>
      <dsp:txXfrm>
        <a:off x="2339893" y="2665305"/>
        <a:ext cx="806612" cy="505168"/>
      </dsp:txXfrm>
    </dsp:sp>
    <dsp:sp modelId="{7BE46BA8-6C8F-4FAF-B5E7-C00FCE84990A}">
      <dsp:nvSpPr>
        <dsp:cNvPr id="0" name=""/>
        <dsp:cNvSpPr/>
      </dsp:nvSpPr>
      <dsp:spPr>
        <a:xfrm>
          <a:off x="1425510" y="282510"/>
          <a:ext cx="2635379" cy="2635379"/>
        </a:xfrm>
        <a:custGeom>
          <a:avLst/>
          <a:gdLst/>
          <a:ahLst/>
          <a:cxnLst/>
          <a:rect l="0" t="0" r="0" b="0"/>
          <a:pathLst>
            <a:path>
              <a:moveTo>
                <a:pt x="778970" y="2520223"/>
              </a:moveTo>
              <a:arcTo wR="1317689" hR="1317689" stAng="6847904" swAng="922747"/>
            </a:path>
          </a:pathLst>
        </a:custGeom>
        <a:noFill/>
        <a:ln w="12700" cap="flat" cmpd="sng" algn="ctr">
          <a:solidFill>
            <a:schemeClr val="tx2">
              <a:lumMod val="75000"/>
            </a:schemeClr>
          </a:solidFill>
          <a:prstDash val="solid"/>
          <a:tailEnd type="arrow"/>
        </a:ln>
        <a:effectLst/>
      </dsp:spPr>
      <dsp:style>
        <a:lnRef idx="1">
          <a:scrgbClr r="0" g="0" b="0"/>
        </a:lnRef>
        <a:fillRef idx="0">
          <a:scrgbClr r="0" g="0" b="0"/>
        </a:fillRef>
        <a:effectRef idx="0">
          <a:scrgbClr r="0" g="0" b="0"/>
        </a:effectRef>
        <a:fontRef idx="minor"/>
      </dsp:style>
    </dsp:sp>
    <dsp:sp modelId="{A2ACDB13-3C53-4ADE-849E-88BFC06C4301}">
      <dsp:nvSpPr>
        <dsp:cNvPr id="0" name=""/>
        <dsp:cNvSpPr/>
      </dsp:nvSpPr>
      <dsp:spPr>
        <a:xfrm>
          <a:off x="1171413" y="1979132"/>
          <a:ext cx="861268" cy="559824"/>
        </a:xfrm>
        <a:prstGeom prst="roundRect">
          <a:avLst/>
        </a:prstGeom>
        <a:solidFill>
          <a:schemeClr val="tx2">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kern="1200">
              <a:latin typeface="Times New Roman" pitchFamily="18" charset="0"/>
              <a:cs typeface="Times New Roman" pitchFamily="18" charset="0"/>
            </a:rPr>
            <a:t>RKF</a:t>
          </a:r>
        </a:p>
      </dsp:txBody>
      <dsp:txXfrm>
        <a:off x="1198741" y="2006460"/>
        <a:ext cx="806612" cy="505168"/>
      </dsp:txXfrm>
    </dsp:sp>
    <dsp:sp modelId="{9796A539-CB77-43BE-A964-F9FD9D357738}">
      <dsp:nvSpPr>
        <dsp:cNvPr id="0" name=""/>
        <dsp:cNvSpPr/>
      </dsp:nvSpPr>
      <dsp:spPr>
        <a:xfrm>
          <a:off x="1425510" y="282510"/>
          <a:ext cx="2635379" cy="2635379"/>
        </a:xfrm>
        <a:custGeom>
          <a:avLst/>
          <a:gdLst/>
          <a:ahLst/>
          <a:cxnLst/>
          <a:rect l="0" t="0" r="0" b="0"/>
          <a:pathLst>
            <a:path>
              <a:moveTo>
                <a:pt x="20508" y="1549267"/>
              </a:moveTo>
              <a:arcTo wR="1317689" hR="1317689" stAng="10192678" swAng="1214645"/>
            </a:path>
          </a:pathLst>
        </a:custGeom>
        <a:noFill/>
        <a:ln w="12700" cap="flat" cmpd="sng" algn="ctr">
          <a:solidFill>
            <a:schemeClr val="tx2">
              <a:lumMod val="75000"/>
            </a:schemeClr>
          </a:solidFill>
          <a:prstDash val="solid"/>
          <a:tailEnd type="arrow"/>
        </a:ln>
        <a:effectLst/>
      </dsp:spPr>
      <dsp:style>
        <a:lnRef idx="1">
          <a:scrgbClr r="0" g="0" b="0"/>
        </a:lnRef>
        <a:fillRef idx="0">
          <a:scrgbClr r="0" g="0" b="0"/>
        </a:fillRef>
        <a:effectRef idx="0">
          <a:scrgbClr r="0" g="0" b="0"/>
        </a:effectRef>
        <a:fontRef idx="minor"/>
      </dsp:style>
    </dsp:sp>
    <dsp:sp modelId="{F9E95E30-4878-43AC-B880-B136BF973205}">
      <dsp:nvSpPr>
        <dsp:cNvPr id="0" name=""/>
        <dsp:cNvSpPr/>
      </dsp:nvSpPr>
      <dsp:spPr>
        <a:xfrm>
          <a:off x="1171413" y="661443"/>
          <a:ext cx="861268" cy="559824"/>
        </a:xfrm>
        <a:prstGeom prst="roundRect">
          <a:avLst/>
        </a:prstGeom>
        <a:solidFill>
          <a:schemeClr val="tx2">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kern="1200">
              <a:latin typeface="Times New Roman" pitchFamily="18" charset="0"/>
              <a:cs typeface="Times New Roman" pitchFamily="18" charset="0"/>
            </a:rPr>
            <a:t>Instituciniai investuotojai</a:t>
          </a:r>
        </a:p>
      </dsp:txBody>
      <dsp:txXfrm>
        <a:off x="1198741" y="688771"/>
        <a:ext cx="806612" cy="505168"/>
      </dsp:txXfrm>
    </dsp:sp>
    <dsp:sp modelId="{3DD247F1-BD16-4D56-BA40-68F77C885461}">
      <dsp:nvSpPr>
        <dsp:cNvPr id="0" name=""/>
        <dsp:cNvSpPr/>
      </dsp:nvSpPr>
      <dsp:spPr>
        <a:xfrm>
          <a:off x="1425510" y="282510"/>
          <a:ext cx="2635379" cy="2635379"/>
        </a:xfrm>
        <a:custGeom>
          <a:avLst/>
          <a:gdLst/>
          <a:ahLst/>
          <a:cxnLst/>
          <a:rect l="0" t="0" r="0" b="0"/>
          <a:pathLst>
            <a:path>
              <a:moveTo>
                <a:pt x="479343" y="301086"/>
              </a:moveTo>
              <a:arcTo wR="1317689" hR="1317689" stAng="13829349" swAng="922747"/>
            </a:path>
          </a:pathLst>
        </a:custGeom>
        <a:noFill/>
        <a:ln w="12700" cap="flat" cmpd="sng" algn="ctr">
          <a:solidFill>
            <a:schemeClr val="tx2">
              <a:lumMod val="75000"/>
            </a:schemeClr>
          </a:solidFill>
          <a:prstDash val="solid"/>
          <a:tailEnd type="arrow"/>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0.14236</cdr:x>
      <cdr:y>0.85151</cdr:y>
    </cdr:from>
    <cdr:to>
      <cdr:x>0.46091</cdr:x>
      <cdr:y>1</cdr:y>
    </cdr:to>
    <cdr:sp macro="" textlink="">
      <cdr:nvSpPr>
        <cdr:cNvPr id="2" name="Text Box 1"/>
        <cdr:cNvSpPr txBox="1"/>
      </cdr:nvSpPr>
      <cdr:spPr>
        <a:xfrm xmlns:a="http://schemas.openxmlformats.org/drawingml/2006/main">
          <a:off x="871268" y="2475781"/>
          <a:ext cx="1949570" cy="38818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lt-LT" sz="1100"/>
        </a:p>
      </cdr:txBody>
    </cdr:sp>
  </cdr:relSizeAnchor>
</c:userShapes>
</file>

<file path=word/drawings/drawing2.xml><?xml version="1.0" encoding="utf-8"?>
<c:userShapes xmlns:c="http://schemas.openxmlformats.org/drawingml/2006/chart">
  <cdr:relSizeAnchor xmlns:cdr="http://schemas.openxmlformats.org/drawingml/2006/chartDrawing">
    <cdr:from>
      <cdr:x>0.0526</cdr:x>
      <cdr:y>0.18664</cdr:y>
    </cdr:from>
    <cdr:to>
      <cdr:x>0.98181</cdr:x>
      <cdr:y>0.18664</cdr:y>
    </cdr:to>
    <cdr:cxnSp macro="">
      <cdr:nvCxnSpPr>
        <cdr:cNvPr id="5" name="Straight Connector 4"/>
        <cdr:cNvCxnSpPr/>
      </cdr:nvCxnSpPr>
      <cdr:spPr>
        <a:xfrm xmlns:a="http://schemas.openxmlformats.org/drawingml/2006/main">
          <a:off x="330176" y="514648"/>
          <a:ext cx="5832648" cy="0"/>
        </a:xfrm>
        <a:prstGeom xmlns:a="http://schemas.openxmlformats.org/drawingml/2006/main" prst="line">
          <a:avLst/>
        </a:prstGeom>
        <a:ln xmlns:a="http://schemas.openxmlformats.org/drawingml/2006/main">
          <a:solidFill>
            <a:srgbClr val="C0E43C"/>
          </a:solidFill>
        </a:ln>
      </cdr:spPr>
      <cdr:style>
        <a:lnRef xmlns:a="http://schemas.openxmlformats.org/drawingml/2006/main" idx="2">
          <a:schemeClr val="accent6"/>
        </a:lnRef>
        <a:fillRef xmlns:a="http://schemas.openxmlformats.org/drawingml/2006/main" idx="0">
          <a:schemeClr val="accent6"/>
        </a:fillRef>
        <a:effectRef xmlns:a="http://schemas.openxmlformats.org/drawingml/2006/main" idx="1">
          <a:schemeClr val="accent6"/>
        </a:effectRef>
        <a:fontRef xmlns:a="http://schemas.openxmlformats.org/drawingml/2006/main" idx="minor">
          <a:schemeClr val="tx1"/>
        </a:fontRef>
      </cdr:style>
    </cdr:cxnSp>
  </cdr:relSizeAnchor>
  <cdr:relSizeAnchor xmlns:cdr="http://schemas.openxmlformats.org/drawingml/2006/chartDrawing">
    <cdr:from>
      <cdr:x>0.09408</cdr:x>
      <cdr:y>0.66839</cdr:y>
    </cdr:from>
    <cdr:to>
      <cdr:x>0.23976</cdr:x>
      <cdr:y>1</cdr:y>
    </cdr:to>
    <cdr:sp macro="" textlink="">
      <cdr:nvSpPr>
        <cdr:cNvPr id="2" name="TextBox 1"/>
        <cdr:cNvSpPr txBox="1"/>
      </cdr:nvSpPr>
      <cdr:spPr>
        <a:xfrm xmlns:a="http://schemas.openxmlformats.org/drawingml/2006/main">
          <a:off x="590550" y="2466975"/>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lt-LT" sz="11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21DC01-5747-482C-87A5-C5EFFF9619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630</TotalTime>
  <Pages>75</Pages>
  <Words>90711</Words>
  <Characters>51706</Characters>
  <Application>Microsoft Office Word</Application>
  <DocSecurity>0</DocSecurity>
  <Lines>430</Lines>
  <Paragraphs>284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142133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irena.macerinskiene</dc:creator>
  <cp:lastModifiedBy>Ausriukas</cp:lastModifiedBy>
  <cp:revision>138</cp:revision>
  <dcterms:created xsi:type="dcterms:W3CDTF">2012-03-29T14:00:00Z</dcterms:created>
  <dcterms:modified xsi:type="dcterms:W3CDTF">2012-04-19T19:25:00Z</dcterms:modified>
</cp:coreProperties>
</file>